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3.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word/intelligence2.xml" ContentType="application/vnd.ms-office.intelligence2+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5D29EF" w14:textId="556185A0" w:rsidR="00DA3ED4" w:rsidRPr="00306F4D" w:rsidRDefault="00DA3ED4" w:rsidP="00847603">
      <w:pPr>
        <w:spacing w:after="0" w:line="276" w:lineRule="auto"/>
        <w:jc w:val="center"/>
        <w:rPr>
          <w:rFonts w:ascii="Arial" w:eastAsia="Arial" w:hAnsi="Arial" w:cs="Arial"/>
          <w:sz w:val="20"/>
          <w:szCs w:val="20"/>
        </w:rPr>
      </w:pPr>
      <w:r w:rsidRPr="00306F4D">
        <w:rPr>
          <w:noProof/>
        </w:rPr>
        <w:drawing>
          <wp:anchor distT="0" distB="0" distL="114300" distR="114300" simplePos="0" relativeHeight="251658242" behindDoc="0" locked="0" layoutInCell="1" allowOverlap="1" wp14:anchorId="781CAE5C" wp14:editId="2C227F51">
            <wp:simplePos x="0" y="0"/>
            <wp:positionH relativeFrom="margin">
              <wp:posOffset>2421255</wp:posOffset>
            </wp:positionH>
            <wp:positionV relativeFrom="paragraph">
              <wp:posOffset>-182245</wp:posOffset>
            </wp:positionV>
            <wp:extent cx="1581150" cy="942975"/>
            <wp:effectExtent l="0" t="0" r="0" b="9525"/>
            <wp:wrapNone/>
            <wp:docPr id="1758531752" name="Picture 1758531752" descr="P:\Adaptation Fund\Marketing\Logo\AF_logo.jpg,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81150" cy="942975"/>
                    </a:xfrm>
                    <a:prstGeom prst="rect">
                      <a:avLst/>
                    </a:prstGeom>
                  </pic:spPr>
                </pic:pic>
              </a:graphicData>
            </a:graphic>
          </wp:anchor>
        </w:drawing>
      </w:r>
    </w:p>
    <w:p w14:paraId="09936F3B" w14:textId="524E819F" w:rsidR="00DA3ED4" w:rsidRPr="00306F4D" w:rsidRDefault="00DA3ED4" w:rsidP="00847603">
      <w:pPr>
        <w:spacing w:after="0" w:line="276" w:lineRule="auto"/>
        <w:jc w:val="center"/>
        <w:rPr>
          <w:rFonts w:ascii="Arial" w:eastAsia="Arial" w:hAnsi="Arial" w:cs="Arial"/>
          <w:sz w:val="20"/>
          <w:szCs w:val="20"/>
        </w:rPr>
      </w:pPr>
    </w:p>
    <w:p w14:paraId="1C428218" w14:textId="0EE8E73D" w:rsidR="003E4649" w:rsidRPr="00306F4D" w:rsidRDefault="003E4649" w:rsidP="00847603">
      <w:pPr>
        <w:spacing w:after="0" w:line="276" w:lineRule="auto"/>
        <w:jc w:val="center"/>
        <w:rPr>
          <w:rFonts w:ascii="Arial" w:eastAsia="Arial" w:hAnsi="Arial" w:cs="Arial"/>
          <w:sz w:val="20"/>
          <w:szCs w:val="20"/>
        </w:rPr>
      </w:pPr>
    </w:p>
    <w:p w14:paraId="2CF79735" w14:textId="16D1D16B" w:rsidR="003E4649" w:rsidRPr="00306F4D" w:rsidRDefault="003E4649" w:rsidP="00847603">
      <w:pPr>
        <w:spacing w:after="0" w:line="276" w:lineRule="auto"/>
        <w:jc w:val="center"/>
        <w:rPr>
          <w:rFonts w:ascii="Arial" w:eastAsia="Arial" w:hAnsi="Arial" w:cs="Arial"/>
          <w:sz w:val="20"/>
          <w:szCs w:val="20"/>
        </w:rPr>
      </w:pPr>
    </w:p>
    <w:p w14:paraId="759C9583" w14:textId="1F80FAC7" w:rsidR="003E4649" w:rsidRPr="00306F4D" w:rsidRDefault="002E6498" w:rsidP="00847603">
      <w:pPr>
        <w:spacing w:after="0" w:line="276" w:lineRule="auto"/>
        <w:jc w:val="center"/>
        <w:rPr>
          <w:rFonts w:ascii="Arial" w:eastAsia="Arial" w:hAnsi="Arial" w:cs="Arial"/>
          <w:sz w:val="20"/>
          <w:szCs w:val="20"/>
        </w:rPr>
      </w:pPr>
      <w:r w:rsidRPr="00306F4D">
        <w:rPr>
          <w:rFonts w:ascii="Times New Roman" w:eastAsiaTheme="minorEastAsia" w:hAnsi="Times New Roman" w:cs="Times New Roman"/>
          <w:noProof/>
          <w:color w:val="auto"/>
          <w:sz w:val="24"/>
          <w:szCs w:val="24"/>
        </w:rPr>
        <mc:AlternateContent>
          <mc:Choice Requires="wps">
            <w:drawing>
              <wp:anchor distT="0" distB="0" distL="114300" distR="114300" simplePos="0" relativeHeight="251658244" behindDoc="0" locked="0" layoutInCell="1" allowOverlap="1" wp14:anchorId="17307055" wp14:editId="322161CF">
                <wp:simplePos x="0" y="0"/>
                <wp:positionH relativeFrom="page">
                  <wp:align>left</wp:align>
                </wp:positionH>
                <wp:positionV relativeFrom="paragraph">
                  <wp:posOffset>198755</wp:posOffset>
                </wp:positionV>
                <wp:extent cx="7854950" cy="736600"/>
                <wp:effectExtent l="0" t="0" r="12700" b="2540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4950" cy="736600"/>
                        </a:xfrm>
                        <a:prstGeom prst="rect">
                          <a:avLst/>
                        </a:prstGeom>
                        <a:solidFill>
                          <a:srgbClr val="B1D34A"/>
                        </a:solidFill>
                        <a:ln w="9525">
                          <a:solidFill>
                            <a:srgbClr val="B1D34A"/>
                          </a:solidFill>
                          <a:miter lim="800000"/>
                          <a:headEnd/>
                          <a:tailEnd/>
                        </a:ln>
                      </wps:spPr>
                      <wps:txbx>
                        <w:txbxContent>
                          <w:p w14:paraId="38522A52" w14:textId="79F154C9" w:rsidR="002E6498" w:rsidRDefault="002E6498" w:rsidP="002E6498">
                            <w:pPr>
                              <w:shd w:val="clear" w:color="auto" w:fill="B1D34A"/>
                              <w:jc w:val="center"/>
                              <w:rPr>
                                <w:rFonts w:ascii="Arial" w:hAnsi="Arial" w:cs="Arial"/>
                                <w:b/>
                              </w:rPr>
                            </w:pPr>
                            <w:r>
                              <w:rPr>
                                <w:rFonts w:ascii="Arial" w:hAnsi="Arial" w:cs="Arial"/>
                                <w:b/>
                              </w:rPr>
                              <w:br/>
                            </w:r>
                            <w:r>
                              <w:rPr>
                                <w:rFonts w:ascii="Arial" w:hAnsi="Arial" w:cs="Arial"/>
                                <w:b/>
                                <w:sz w:val="32"/>
                              </w:rPr>
                              <w:t>REGIONAL INNOVATION PROJECT/PROGRAMME PROPOSAL</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7307055" id="_x0000_t202" coordsize="21600,21600" o:spt="202" path="m,l,21600r21600,l21600,xe">
                <v:stroke joinstyle="miter"/>
                <v:path gradientshapeok="t" o:connecttype="rect"/>
              </v:shapetype>
              <v:shape id="Text Box 2" o:spid="_x0000_s1026" type="#_x0000_t202" style="position:absolute;left:0;text-align:left;margin-left:0;margin-top:15.65pt;width:618.5pt;height:58pt;z-index:2516582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" fillcolor="#b1d34a" strokecolor="#b1d34a">
                <v:textbox>
                  <w:txbxContent>
                    <w:p w14:paraId="38522A52" w14:textId="79F154C9" w:rsidR="002E6498" w:rsidRDefault="002E6498" w:rsidP="002E6498">
                      <w:pPr>
                        <w:shd w:val="clear" w:color="auto" w:fill="B1D34A"/>
                        <w:jc w:val="center"/>
                        <w:rPr>
                          <w:rFonts w:ascii="Arial" w:hAnsi="Arial" w:cs="Arial"/>
                          <w:b/>
                        </w:rPr>
                      </w:pPr>
                      <w:r>
                        <w:rPr>
                          <w:rFonts w:ascii="Arial" w:hAnsi="Arial" w:cs="Arial"/>
                          <w:b/>
                        </w:rPr>
                        <w:br/>
                      </w:r>
                      <w:r>
                        <w:rPr>
                          <w:rFonts w:ascii="Arial" w:hAnsi="Arial" w:cs="Arial"/>
                          <w:b/>
                          <w:sz w:val="32"/>
                        </w:rPr>
                        <w:t>REGIONAL INNOVATION PROJECT/PROGRAMME PROPOSAL</w:t>
                      </w:r>
                    </w:p>
                  </w:txbxContent>
                </v:textbox>
                <w10:wrap anchorx="page"/>
              </v:shape>
            </w:pict>
          </mc:Fallback>
        </mc:AlternateContent>
      </w:r>
    </w:p>
    <w:p w14:paraId="4AE68871" w14:textId="10E95CBD" w:rsidR="003E4649" w:rsidRPr="00306F4D" w:rsidRDefault="003E4649" w:rsidP="00847603">
      <w:pPr>
        <w:spacing w:after="0" w:line="276" w:lineRule="auto"/>
        <w:jc w:val="center"/>
        <w:rPr>
          <w:rFonts w:ascii="Arial" w:eastAsia="Arial" w:hAnsi="Arial" w:cs="Arial"/>
          <w:sz w:val="20"/>
          <w:szCs w:val="20"/>
        </w:rPr>
      </w:pPr>
    </w:p>
    <w:p w14:paraId="41C7B7B9" w14:textId="2D426304" w:rsidR="003E4649" w:rsidRPr="00306F4D" w:rsidRDefault="003E4649" w:rsidP="00847603">
      <w:pPr>
        <w:spacing w:after="0" w:line="276" w:lineRule="auto"/>
        <w:jc w:val="center"/>
        <w:rPr>
          <w:rFonts w:ascii="Arial" w:eastAsia="Arial" w:hAnsi="Arial" w:cs="Arial"/>
          <w:sz w:val="20"/>
          <w:szCs w:val="20"/>
        </w:rPr>
      </w:pPr>
    </w:p>
    <w:p w14:paraId="7FFE56ED" w14:textId="53708A93" w:rsidR="00233092" w:rsidRPr="00306F4D" w:rsidRDefault="00233092" w:rsidP="00847603">
      <w:pPr>
        <w:spacing w:after="0" w:line="276" w:lineRule="auto"/>
        <w:jc w:val="center"/>
        <w:rPr>
          <w:rFonts w:ascii="Arial" w:eastAsia="Arial" w:hAnsi="Arial" w:cs="Arial"/>
          <w:sz w:val="20"/>
          <w:szCs w:val="20"/>
        </w:rPr>
      </w:pPr>
    </w:p>
    <w:p w14:paraId="1C190AA2" w14:textId="487C9E2B" w:rsidR="00F04FEE" w:rsidRPr="00306F4D" w:rsidRDefault="00F04FEE" w:rsidP="00847603">
      <w:pPr>
        <w:spacing w:after="0" w:line="276" w:lineRule="auto"/>
        <w:ind w:left="-1440"/>
        <w:rPr>
          <w:rFonts w:ascii="Arial" w:eastAsia="Arial" w:hAnsi="Arial" w:cs="Arial"/>
          <w:sz w:val="20"/>
          <w:szCs w:val="20"/>
        </w:rPr>
      </w:pPr>
    </w:p>
    <w:p w14:paraId="333527D7" w14:textId="7EFFA74E" w:rsidR="00F04FEE" w:rsidRPr="00306F4D" w:rsidRDefault="00F04FEE" w:rsidP="338C5E83">
      <w:pPr>
        <w:spacing w:after="0" w:line="276" w:lineRule="auto"/>
        <w:rPr>
          <w:rFonts w:ascii="Arial" w:eastAsia="Arial" w:hAnsi="Arial" w:cs="Arial"/>
          <w:sz w:val="20"/>
          <w:szCs w:val="20"/>
        </w:rPr>
      </w:pPr>
    </w:p>
    <w:p w14:paraId="4E48725D" w14:textId="3B0725F1" w:rsidR="20D8B71C" w:rsidRPr="00306F4D" w:rsidRDefault="009C0904" w:rsidP="00DA3ED4">
      <w:pPr>
        <w:spacing w:after="0" w:line="276" w:lineRule="auto"/>
        <w:ind w:left="-1440"/>
      </w:pPr>
      <w:r w:rsidRPr="00306F4D">
        <w:rPr>
          <w:noProof/>
        </w:rPr>
        <mc:AlternateContent>
          <mc:Choice Requires="wps">
            <w:drawing>
              <wp:anchor distT="0" distB="0" distL="114300" distR="114300" simplePos="0" relativeHeight="251658245" behindDoc="1" locked="0" layoutInCell="1" allowOverlap="1" wp14:anchorId="6894D623" wp14:editId="59D4C122">
                <wp:simplePos x="0" y="0"/>
                <wp:positionH relativeFrom="page">
                  <wp:align>left</wp:align>
                </wp:positionH>
                <wp:positionV relativeFrom="paragraph">
                  <wp:posOffset>135255</wp:posOffset>
                </wp:positionV>
                <wp:extent cx="7854950" cy="246380"/>
                <wp:effectExtent l="0" t="0" r="0" b="1270"/>
                <wp:wrapNone/>
                <wp:docPr id="18"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54950" cy="246380"/>
                        </a:xfrm>
                        <a:prstGeom prst="roundRect">
                          <a:avLst>
                            <a:gd name="adj" fmla="val 16667"/>
                          </a:avLst>
                        </a:prstGeom>
                        <a:solidFill>
                          <a:srgbClr val="FCAF17"/>
                        </a:solidFill>
                        <a:ln>
                          <a:noFill/>
                        </a:ln>
                        <a:effectLst/>
                        <a:extLst>
                          <a:ext uri="{91240B29-F687-4F45-9708-019B960494DF}">
                            <a14:hiddenLine xmlns:a14="http://schemas.microsoft.com/office/drawing/2010/main" w="38100">
                              <a:solidFill>
                                <a:srgbClr val="F2F2F2"/>
                              </a:solidFill>
                              <a:round/>
                              <a:headEnd/>
                              <a:tailEnd/>
                            </a14:hiddenLine>
                          </a:ex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14:paraId="4C55AA15" w14:textId="77777777" w:rsidR="009C0904" w:rsidRPr="002737C7" w:rsidRDefault="009C0904" w:rsidP="002F37F5">
                            <w:pPr>
                              <w:pStyle w:val="Footer"/>
                              <w:ind w:left="900"/>
                              <w:jc w:val="both"/>
                              <w:rPr>
                                <w:rFonts w:ascii="Arial" w:hAnsi="Arial" w:cs="Arial"/>
                                <w:b/>
                                <w:lang w:val="en-GB"/>
                              </w:rPr>
                            </w:pPr>
                            <w:r w:rsidRPr="002737C7">
                              <w:rPr>
                                <w:rFonts w:ascii="Arial" w:hAnsi="Arial" w:cs="Arial"/>
                                <w:b/>
                                <w:lang w:val="en-GB"/>
                              </w:rPr>
                              <w:t>PART I: PROJECT/PROGRAMME INFORMATION</w:t>
                            </w:r>
                          </w:p>
                          <w:p w14:paraId="1C4751FD" w14:textId="77777777" w:rsidR="009C0904" w:rsidRDefault="009C0904" w:rsidP="009C090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94D623" id="Rectangle: Rounded Corners 18" o:spid="_x0000_s1027" style="position:absolute;left:0;text-align:left;margin-left:0;margin-top:10.65pt;width:618.5pt;height:19.4pt;z-index:-25165823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" fillcolor="#fcaf17" stroked="f" strokecolor="#f2f2f2" strokeweight="3pt">
                <v:shadow color="#974706" opacity=".5" offset="1pt"/>
                <v:textbox>
                  <w:txbxContent>
                    <w:p w14:paraId="4C55AA15" w14:textId="77777777" w:rsidR="009C0904" w:rsidRPr="002737C7" w:rsidRDefault="009C0904" w:rsidP="002F37F5">
                      <w:pPr>
                        <w:pStyle w:val="Footer"/>
                        <w:ind w:left="900"/>
                        <w:jc w:val="both"/>
                        <w:rPr>
                          <w:rFonts w:ascii="Arial" w:hAnsi="Arial" w:cs="Arial"/>
                          <w:b/>
                          <w:lang w:val="en-GB"/>
                        </w:rPr>
                      </w:pPr>
                      <w:r w:rsidRPr="002737C7">
                        <w:rPr>
                          <w:rFonts w:ascii="Arial" w:hAnsi="Arial" w:cs="Arial"/>
                          <w:b/>
                          <w:lang w:val="en-GB"/>
                        </w:rPr>
                        <w:t>PART I: PROJECT/PROGRAMME INFORMATION</w:t>
                      </w:r>
                    </w:p>
                    <w:p w14:paraId="1C4751FD" w14:textId="77777777" w:rsidR="009C0904" w:rsidRDefault="009C0904" w:rsidP="009C0904">
                      <w:pPr>
                        <w:jc w:val="center"/>
                      </w:pPr>
                    </w:p>
                  </w:txbxContent>
                </v:textbox>
                <w10:wrap anchorx="page"/>
              </v:roundrect>
            </w:pict>
          </mc:Fallback>
        </mc:AlternateContent>
      </w:r>
    </w:p>
    <w:p w14:paraId="0ECB26BB" w14:textId="65F67584" w:rsidR="00F04FEE" w:rsidRPr="00306F4D" w:rsidRDefault="00F04FEE" w:rsidP="000D7DD8">
      <w:pPr>
        <w:pStyle w:val="paragraph"/>
        <w:spacing w:before="0" w:beforeAutospacing="0" w:after="0" w:afterAutospacing="0" w:line="276" w:lineRule="auto"/>
        <w:ind w:left="-1134"/>
        <w:rPr>
          <w:rFonts w:ascii="Arial" w:eastAsia="Arial" w:hAnsi="Arial" w:cs="Arial"/>
          <w:b/>
          <w:bCs/>
          <w:sz w:val="20"/>
          <w:szCs w:val="20"/>
          <w:lang w:val="en-GB"/>
        </w:rPr>
      </w:pPr>
    </w:p>
    <w:p w14:paraId="47395FD1" w14:textId="76F34F97" w:rsidR="00F04FEE" w:rsidRPr="00306F4D" w:rsidRDefault="7A8EF0B7" w:rsidP="0035534C">
      <w:pPr>
        <w:spacing w:before="240" w:after="240" w:line="276" w:lineRule="auto"/>
        <w:ind w:left="4320" w:hanging="4320"/>
        <w:rPr>
          <w:rFonts w:ascii="Arial" w:hAnsi="Arial" w:cs="Arial"/>
          <w:sz w:val="20"/>
          <w:szCs w:val="20"/>
        </w:rPr>
      </w:pPr>
      <w:r w:rsidRPr="00306F4D">
        <w:rPr>
          <w:rFonts w:ascii="Arial" w:eastAsia="Arial" w:hAnsi="Arial" w:cs="Arial"/>
          <w:sz w:val="20"/>
          <w:szCs w:val="20"/>
          <w:lang w:val="en-GB"/>
        </w:rPr>
        <w:t>Title of Project/Programme:</w:t>
      </w:r>
      <w:r w:rsidR="0035534C" w:rsidRPr="00306F4D">
        <w:rPr>
          <w:rFonts w:ascii="Arial" w:hAnsi="Arial" w:cs="Arial"/>
          <w:sz w:val="20"/>
          <w:szCs w:val="20"/>
        </w:rPr>
        <w:tab/>
      </w:r>
      <w:r w:rsidR="783D55AE" w:rsidRPr="00306F4D">
        <w:rPr>
          <w:rFonts w:ascii="Arial" w:eastAsia="Arial" w:hAnsi="Arial" w:cs="Arial"/>
          <w:sz w:val="20"/>
          <w:szCs w:val="20"/>
        </w:rPr>
        <w:t>B</w:t>
      </w:r>
      <w:r w:rsidR="755EC18A" w:rsidRPr="00306F4D">
        <w:rPr>
          <w:rFonts w:ascii="Arial" w:eastAsia="Arial" w:hAnsi="Arial" w:cs="Arial"/>
          <w:sz w:val="20"/>
          <w:szCs w:val="20"/>
        </w:rPr>
        <w:t>alkan</w:t>
      </w:r>
      <w:r w:rsidR="1E688A09" w:rsidRPr="00306F4D">
        <w:rPr>
          <w:rFonts w:ascii="Arial" w:eastAsia="Arial" w:hAnsi="Arial" w:cs="Arial"/>
          <w:sz w:val="20"/>
          <w:szCs w:val="20"/>
        </w:rPr>
        <w:t xml:space="preserve"> </w:t>
      </w:r>
      <w:r w:rsidR="6DAF9A72" w:rsidRPr="00306F4D">
        <w:rPr>
          <w:rFonts w:ascii="Arial" w:eastAsia="Arial" w:hAnsi="Arial" w:cs="Arial"/>
          <w:sz w:val="20"/>
          <w:szCs w:val="20"/>
        </w:rPr>
        <w:t xml:space="preserve">Climate </w:t>
      </w:r>
      <w:r w:rsidR="4189B14A" w:rsidRPr="00306F4D">
        <w:rPr>
          <w:rFonts w:ascii="Arial" w:hAnsi="Arial" w:cs="Arial"/>
          <w:sz w:val="20"/>
          <w:szCs w:val="20"/>
        </w:rPr>
        <w:t xml:space="preserve">Adaptation Futures: A Regional Innovation Initiative for </w:t>
      </w:r>
      <w:r w:rsidR="1FC6909B" w:rsidRPr="00306F4D">
        <w:rPr>
          <w:rFonts w:ascii="Arial" w:hAnsi="Arial" w:cs="Arial"/>
          <w:sz w:val="20"/>
          <w:szCs w:val="20"/>
        </w:rPr>
        <w:t>R</w:t>
      </w:r>
      <w:r w:rsidR="753A68CF" w:rsidRPr="00306F4D">
        <w:rPr>
          <w:rFonts w:ascii="Arial" w:hAnsi="Arial" w:cs="Arial"/>
          <w:sz w:val="20"/>
          <w:szCs w:val="20"/>
        </w:rPr>
        <w:t>esilience</w:t>
      </w:r>
    </w:p>
    <w:p w14:paraId="1E3E011F" w14:textId="45AFA255" w:rsidR="00F04FEE" w:rsidRPr="00306F4D" w:rsidRDefault="34256E79" w:rsidP="6A910C5D">
      <w:pPr>
        <w:spacing w:line="276" w:lineRule="auto"/>
        <w:ind w:left="4320" w:hanging="4320"/>
        <w:rPr>
          <w:rFonts w:ascii="Arial" w:eastAsia="Arial" w:hAnsi="Arial" w:cs="Arial"/>
          <w:color w:val="000000" w:themeColor="text1"/>
          <w:sz w:val="20"/>
          <w:szCs w:val="20"/>
        </w:rPr>
      </w:pPr>
      <w:r w:rsidRPr="00306F4D">
        <w:rPr>
          <w:rFonts w:ascii="Arial" w:eastAsia="Arial" w:hAnsi="Arial" w:cs="Arial"/>
          <w:sz w:val="20"/>
          <w:szCs w:val="20"/>
          <w:lang w:val="en-GB"/>
        </w:rPr>
        <w:t xml:space="preserve">Country/ Countries: </w:t>
      </w:r>
      <w:r w:rsidRPr="00306F4D">
        <w:rPr>
          <w:rFonts w:ascii="Arial" w:hAnsi="Arial" w:cs="Arial"/>
          <w:sz w:val="20"/>
          <w:szCs w:val="20"/>
        </w:rPr>
        <w:tab/>
      </w:r>
      <w:r w:rsidRPr="00306F4D">
        <w:rPr>
          <w:rFonts w:ascii="Arial" w:eastAsia="Arial" w:hAnsi="Arial" w:cs="Arial"/>
          <w:color w:val="000000" w:themeColor="text1"/>
          <w:sz w:val="20"/>
          <w:szCs w:val="20"/>
          <w:lang w:val="en-GB"/>
        </w:rPr>
        <w:t>Four Countries in the Western Balkans Region: Bosnia and Herzegovina (BiH), Montenegro, North Macedonia, Serbia</w:t>
      </w:r>
    </w:p>
    <w:p w14:paraId="1D19E72B" w14:textId="65BEB0D7" w:rsidR="00F04FEE" w:rsidRPr="00306F4D" w:rsidRDefault="2C2E093E" w:rsidP="378F2AB5">
      <w:pPr>
        <w:spacing w:line="276" w:lineRule="auto"/>
        <w:rPr>
          <w:rFonts w:ascii="Arial" w:eastAsia="Arial" w:hAnsi="Arial" w:cs="Arial"/>
          <w:color w:val="000000" w:themeColor="text1"/>
          <w:sz w:val="20"/>
          <w:szCs w:val="20"/>
        </w:rPr>
      </w:pPr>
      <w:r w:rsidRPr="00306F4D">
        <w:rPr>
          <w:rFonts w:ascii="Arial" w:eastAsia="Arial" w:hAnsi="Arial" w:cs="Arial"/>
          <w:sz w:val="20"/>
          <w:szCs w:val="20"/>
          <w:lang w:val="en-GB"/>
        </w:rPr>
        <w:t>Thematic Focal Area</w:t>
      </w:r>
      <w:r w:rsidR="00F04FEE" w:rsidRPr="00306F4D">
        <w:rPr>
          <w:rStyle w:val="FootnoteReference"/>
          <w:rFonts w:ascii="Arial" w:eastAsia="Arial" w:hAnsi="Arial" w:cs="Arial"/>
          <w:sz w:val="20"/>
          <w:szCs w:val="20"/>
          <w:lang w:val="en-GB"/>
        </w:rPr>
        <w:footnoteReference w:id="2"/>
      </w:r>
      <w:r w:rsidRPr="00306F4D">
        <w:rPr>
          <w:rFonts w:ascii="Arial" w:eastAsia="Arial" w:hAnsi="Arial" w:cs="Arial"/>
          <w:sz w:val="20"/>
          <w:szCs w:val="20"/>
          <w:lang w:val="en-GB"/>
        </w:rPr>
        <w:t xml:space="preserve">: </w:t>
      </w:r>
      <w:r w:rsidR="00F04FEE" w:rsidRPr="00306F4D">
        <w:rPr>
          <w:rFonts w:ascii="Arial" w:hAnsi="Arial" w:cs="Arial"/>
          <w:sz w:val="20"/>
          <w:szCs w:val="20"/>
        </w:rPr>
        <w:tab/>
      </w:r>
      <w:r w:rsidR="00F04FEE" w:rsidRPr="00306F4D">
        <w:rPr>
          <w:rFonts w:ascii="Arial" w:hAnsi="Arial" w:cs="Arial"/>
          <w:sz w:val="20"/>
          <w:szCs w:val="20"/>
        </w:rPr>
        <w:tab/>
      </w:r>
      <w:r w:rsidRPr="00306F4D">
        <w:rPr>
          <w:rFonts w:ascii="Arial" w:eastAsia="Arial" w:hAnsi="Arial" w:cs="Arial"/>
          <w:sz w:val="20"/>
          <w:szCs w:val="20"/>
          <w:lang w:val="en-GB"/>
        </w:rPr>
        <w:t xml:space="preserve">           </w:t>
      </w:r>
      <w:r w:rsidR="7B032204" w:rsidRPr="00306F4D">
        <w:rPr>
          <w:rFonts w:ascii="Arial" w:hAnsi="Arial" w:cs="Arial"/>
          <w:sz w:val="20"/>
          <w:szCs w:val="20"/>
        </w:rPr>
        <w:tab/>
      </w:r>
      <w:r w:rsidR="55DACCF8" w:rsidRPr="00306F4D">
        <w:rPr>
          <w:rFonts w:ascii="Arial" w:eastAsia="Arial" w:hAnsi="Arial" w:cs="Arial"/>
          <w:sz w:val="20"/>
          <w:szCs w:val="20"/>
        </w:rPr>
        <w:t xml:space="preserve">            </w:t>
      </w:r>
      <w:r w:rsidR="48641E11" w:rsidRPr="00306F4D">
        <w:rPr>
          <w:rFonts w:ascii="Arial" w:eastAsia="Arial" w:hAnsi="Arial" w:cs="Arial"/>
          <w:sz w:val="20"/>
          <w:szCs w:val="20"/>
        </w:rPr>
        <w:t>I</w:t>
      </w:r>
      <w:r w:rsidRPr="00306F4D">
        <w:rPr>
          <w:rFonts w:ascii="Arial" w:eastAsia="Arial" w:hAnsi="Arial" w:cs="Arial"/>
          <w:color w:val="000000" w:themeColor="text1"/>
          <w:sz w:val="20"/>
          <w:szCs w:val="20"/>
        </w:rPr>
        <w:t>nnovative climate finance</w:t>
      </w:r>
    </w:p>
    <w:p w14:paraId="65065B6E" w14:textId="4FCB1114" w:rsidR="00F04FEE" w:rsidRPr="00306F4D" w:rsidRDefault="34256E79" w:rsidP="378F2AB5">
      <w:pPr>
        <w:spacing w:line="276" w:lineRule="auto"/>
        <w:rPr>
          <w:rFonts w:ascii="Arial" w:eastAsia="Arial" w:hAnsi="Arial" w:cs="Arial"/>
          <w:sz w:val="20"/>
          <w:szCs w:val="20"/>
          <w:lang w:val="en-GB"/>
        </w:rPr>
      </w:pPr>
      <w:r w:rsidRPr="00306F4D">
        <w:rPr>
          <w:rFonts w:ascii="Arial" w:eastAsia="Arial" w:hAnsi="Arial" w:cs="Arial"/>
          <w:sz w:val="20"/>
          <w:szCs w:val="20"/>
          <w:lang w:val="en-GB"/>
        </w:rPr>
        <w:t xml:space="preserve">Type of Implementing Entity: </w:t>
      </w:r>
      <w:r w:rsidR="00F04FEE" w:rsidRPr="00306F4D">
        <w:rPr>
          <w:rFonts w:ascii="Arial" w:hAnsi="Arial" w:cs="Arial"/>
          <w:sz w:val="20"/>
          <w:szCs w:val="20"/>
        </w:rPr>
        <w:tab/>
      </w:r>
      <w:r w:rsidR="00F04FEE" w:rsidRPr="00306F4D">
        <w:rPr>
          <w:rFonts w:ascii="Arial" w:hAnsi="Arial" w:cs="Arial"/>
          <w:sz w:val="20"/>
          <w:szCs w:val="20"/>
        </w:rPr>
        <w:tab/>
      </w:r>
      <w:r w:rsidR="00F04FEE" w:rsidRPr="00306F4D">
        <w:rPr>
          <w:rFonts w:ascii="Arial" w:hAnsi="Arial" w:cs="Arial"/>
          <w:sz w:val="20"/>
          <w:szCs w:val="20"/>
        </w:rPr>
        <w:tab/>
      </w:r>
      <w:r w:rsidRPr="00306F4D">
        <w:rPr>
          <w:rFonts w:ascii="Arial" w:eastAsia="Arial" w:hAnsi="Arial" w:cs="Arial"/>
          <w:color w:val="000000" w:themeColor="text1"/>
          <w:sz w:val="20"/>
          <w:szCs w:val="20"/>
        </w:rPr>
        <w:t>Multilateral Implementing Entity (MIE)</w:t>
      </w:r>
    </w:p>
    <w:p w14:paraId="73D148EE" w14:textId="084C4922" w:rsidR="00F04FEE" w:rsidRPr="00306F4D" w:rsidRDefault="34256E79" w:rsidP="378F2AB5">
      <w:pPr>
        <w:spacing w:line="276" w:lineRule="auto"/>
        <w:rPr>
          <w:rFonts w:ascii="Arial" w:eastAsia="Arial" w:hAnsi="Arial" w:cs="Arial"/>
          <w:sz w:val="20"/>
          <w:szCs w:val="20"/>
          <w:lang w:val="en-GB"/>
        </w:rPr>
      </w:pPr>
      <w:r w:rsidRPr="00306F4D">
        <w:rPr>
          <w:rFonts w:ascii="Arial" w:eastAsia="Arial" w:hAnsi="Arial" w:cs="Arial"/>
          <w:sz w:val="20"/>
          <w:szCs w:val="20"/>
          <w:lang w:val="en-GB"/>
        </w:rPr>
        <w:t xml:space="preserve">Implementing Entity: </w:t>
      </w:r>
      <w:r w:rsidR="00F04FEE" w:rsidRPr="00306F4D">
        <w:rPr>
          <w:rFonts w:ascii="Arial" w:hAnsi="Arial" w:cs="Arial"/>
          <w:sz w:val="20"/>
          <w:szCs w:val="20"/>
        </w:rPr>
        <w:tab/>
      </w:r>
      <w:r w:rsidR="00F04FEE" w:rsidRPr="00306F4D">
        <w:rPr>
          <w:rFonts w:ascii="Arial" w:hAnsi="Arial" w:cs="Arial"/>
          <w:sz w:val="20"/>
          <w:szCs w:val="20"/>
        </w:rPr>
        <w:tab/>
      </w:r>
      <w:r w:rsidR="00F04FEE" w:rsidRPr="00306F4D">
        <w:rPr>
          <w:rFonts w:ascii="Arial" w:hAnsi="Arial" w:cs="Arial"/>
          <w:sz w:val="20"/>
          <w:szCs w:val="20"/>
        </w:rPr>
        <w:tab/>
      </w:r>
      <w:r w:rsidR="00F04FEE" w:rsidRPr="00306F4D">
        <w:rPr>
          <w:rFonts w:ascii="Arial" w:hAnsi="Arial" w:cs="Arial"/>
          <w:sz w:val="20"/>
          <w:szCs w:val="20"/>
        </w:rPr>
        <w:tab/>
      </w:r>
      <w:r w:rsidRPr="00306F4D">
        <w:rPr>
          <w:rFonts w:ascii="Arial" w:eastAsia="Arial" w:hAnsi="Arial" w:cs="Arial"/>
          <w:color w:val="000000" w:themeColor="text1"/>
          <w:sz w:val="20"/>
          <w:szCs w:val="20"/>
        </w:rPr>
        <w:t>United Nations Development Programme (UNDP)</w:t>
      </w:r>
    </w:p>
    <w:p w14:paraId="0EB3F2D6" w14:textId="04FF50FE" w:rsidR="00F04FEE" w:rsidRPr="00306F4D" w:rsidRDefault="34256E79" w:rsidP="378F2AB5">
      <w:pPr>
        <w:spacing w:line="276" w:lineRule="auto"/>
        <w:rPr>
          <w:rFonts w:ascii="Arial" w:eastAsia="Arial" w:hAnsi="Arial" w:cs="Arial"/>
          <w:sz w:val="20"/>
          <w:szCs w:val="20"/>
          <w:lang w:val="en-GB"/>
        </w:rPr>
      </w:pPr>
      <w:r w:rsidRPr="00306F4D">
        <w:rPr>
          <w:rFonts w:ascii="Arial" w:eastAsia="Arial" w:hAnsi="Arial" w:cs="Arial"/>
          <w:sz w:val="20"/>
          <w:szCs w:val="20"/>
          <w:lang w:val="en-GB"/>
        </w:rPr>
        <w:t xml:space="preserve">Executing Entities: </w:t>
      </w:r>
      <w:r w:rsidR="00F04FEE" w:rsidRPr="00306F4D">
        <w:rPr>
          <w:rFonts w:ascii="Arial" w:hAnsi="Arial" w:cs="Arial"/>
          <w:sz w:val="20"/>
          <w:szCs w:val="20"/>
        </w:rPr>
        <w:tab/>
      </w:r>
      <w:r w:rsidR="00F04FEE" w:rsidRPr="00306F4D">
        <w:rPr>
          <w:rFonts w:ascii="Arial" w:hAnsi="Arial" w:cs="Arial"/>
          <w:sz w:val="20"/>
          <w:szCs w:val="20"/>
        </w:rPr>
        <w:tab/>
      </w:r>
      <w:r w:rsidR="00F04FEE" w:rsidRPr="00306F4D">
        <w:rPr>
          <w:rFonts w:ascii="Arial" w:hAnsi="Arial" w:cs="Arial"/>
          <w:sz w:val="20"/>
          <w:szCs w:val="20"/>
        </w:rPr>
        <w:tab/>
      </w:r>
      <w:r w:rsidR="00F04FEE" w:rsidRPr="00306F4D">
        <w:rPr>
          <w:rFonts w:ascii="Arial" w:hAnsi="Arial" w:cs="Arial"/>
          <w:sz w:val="20"/>
          <w:szCs w:val="20"/>
        </w:rPr>
        <w:tab/>
      </w:r>
      <w:r w:rsidRPr="00306F4D">
        <w:rPr>
          <w:rFonts w:ascii="Arial" w:eastAsia="Arial" w:hAnsi="Arial" w:cs="Arial"/>
          <w:sz w:val="20"/>
          <w:szCs w:val="20"/>
          <w:lang w:val="en-GB"/>
        </w:rPr>
        <w:t>UNDP</w:t>
      </w:r>
    </w:p>
    <w:p w14:paraId="52BB242F" w14:textId="57C6BE24" w:rsidR="49C6F20D" w:rsidRPr="00306F4D" w:rsidRDefault="69B4B0AA" w:rsidP="338C5E83">
      <w:pPr>
        <w:spacing w:line="276" w:lineRule="auto"/>
        <w:rPr>
          <w:rFonts w:ascii="Arial" w:eastAsia="Arial" w:hAnsi="Arial" w:cs="Arial"/>
          <w:sz w:val="20"/>
          <w:szCs w:val="20"/>
          <w:lang w:val="en-GB"/>
        </w:rPr>
      </w:pPr>
      <w:r w:rsidRPr="00306F4D">
        <w:rPr>
          <w:rFonts w:ascii="Arial" w:eastAsia="Arial" w:hAnsi="Arial" w:cs="Arial"/>
          <w:sz w:val="20"/>
          <w:szCs w:val="20"/>
          <w:lang w:val="en-GB"/>
        </w:rPr>
        <w:t xml:space="preserve">Amount of Financing Requested: </w:t>
      </w:r>
      <w:r w:rsidR="49C6F20D" w:rsidRPr="00306F4D">
        <w:tab/>
      </w:r>
      <w:r w:rsidR="49C6F20D" w:rsidRPr="00306F4D">
        <w:tab/>
      </w:r>
      <w:r w:rsidRPr="00306F4D">
        <w:rPr>
          <w:rFonts w:ascii="Arial" w:eastAsia="Arial" w:hAnsi="Arial" w:cs="Arial"/>
          <w:color w:val="000000" w:themeColor="text1"/>
          <w:sz w:val="20"/>
          <w:szCs w:val="20"/>
        </w:rPr>
        <w:t>US$ 5,000,000.00</w:t>
      </w:r>
    </w:p>
    <w:p w14:paraId="2DE20355" w14:textId="59B8F251" w:rsidR="00713C7C" w:rsidRPr="00306F4D" w:rsidRDefault="00713C7C" w:rsidP="338C5E83">
      <w:pPr>
        <w:tabs>
          <w:tab w:val="left" w:pos="2865"/>
        </w:tabs>
        <w:spacing w:line="276" w:lineRule="auto"/>
        <w:rPr>
          <w:rFonts w:ascii="Arial" w:eastAsia="Arial" w:hAnsi="Arial" w:cs="Arial"/>
          <w:smallCaps/>
          <w:sz w:val="20"/>
          <w:szCs w:val="20"/>
          <w:lang w:val="en-GB"/>
        </w:rPr>
      </w:pPr>
    </w:p>
    <w:p w14:paraId="3F26D0EA" w14:textId="26F97A40" w:rsidR="007004C7" w:rsidRPr="00306F4D" w:rsidRDefault="007004C7">
      <w:pPr>
        <w:rPr>
          <w:rFonts w:ascii="Arial" w:eastAsia="Arial" w:hAnsi="Arial" w:cs="Arial"/>
          <w:smallCaps/>
          <w:sz w:val="20"/>
          <w:szCs w:val="20"/>
        </w:rPr>
      </w:pPr>
      <w:bookmarkStart w:id="0" w:name="_Toc1022632756"/>
      <w:r w:rsidRPr="00306F4D">
        <w:rPr>
          <w:rFonts w:ascii="Arial" w:eastAsia="Arial" w:hAnsi="Arial" w:cs="Arial"/>
          <w:smallCaps/>
          <w:sz w:val="20"/>
          <w:szCs w:val="20"/>
        </w:rPr>
        <w:br w:type="page"/>
      </w:r>
    </w:p>
    <w:bookmarkStart w:id="1" w:name="_Toc202165702" w:displacedByCustomXml="next"/>
    <w:sdt>
      <w:sdtPr>
        <w:rPr>
          <w:rFonts w:ascii="Arial" w:eastAsia="Calibri" w:hAnsi="Arial" w:cs="Arial"/>
          <w:color w:val="000000"/>
          <w:sz w:val="20"/>
          <w:szCs w:val="20"/>
        </w:rPr>
        <w:id w:val="2015258931"/>
        <w:docPartObj>
          <w:docPartGallery w:val="Table of Contents"/>
          <w:docPartUnique/>
        </w:docPartObj>
      </w:sdtPr>
      <w:sdtEndPr>
        <w:rPr>
          <w:rFonts w:ascii="Calibri" w:hAnsi="Calibri" w:cs="Calibri"/>
          <w:b/>
          <w:bCs/>
          <w:color w:val="000000" w:themeColor="text1"/>
          <w:sz w:val="22"/>
          <w:szCs w:val="22"/>
        </w:rPr>
      </w:sdtEndPr>
      <w:sdtContent>
        <w:p w14:paraId="744C3FF0" w14:textId="4925144F" w:rsidR="0004143D" w:rsidRPr="00306F4D" w:rsidRDefault="0004143D" w:rsidP="00891BD1">
          <w:pPr>
            <w:pStyle w:val="TOCHeading"/>
            <w:spacing w:before="60" w:line="240" w:lineRule="auto"/>
            <w:rPr>
              <w:rFonts w:ascii="Arial" w:hAnsi="Arial" w:cs="Arial"/>
              <w:sz w:val="20"/>
              <w:szCs w:val="20"/>
            </w:rPr>
          </w:pPr>
          <w:r w:rsidRPr="00306F4D">
            <w:rPr>
              <w:rFonts w:ascii="Arial" w:hAnsi="Arial" w:cs="Arial"/>
              <w:sz w:val="20"/>
              <w:szCs w:val="20"/>
            </w:rPr>
            <w:t>Table of Contents</w:t>
          </w:r>
        </w:p>
        <w:p w14:paraId="1AEF58BB" w14:textId="4A60646C" w:rsidR="00304420" w:rsidRPr="00306F4D" w:rsidRDefault="00681E35" w:rsidP="00891BD1">
          <w:pPr>
            <w:pStyle w:val="TOC1"/>
            <w:tabs>
              <w:tab w:val="right" w:leader="dot" w:pos="9962"/>
            </w:tabs>
            <w:spacing w:before="60" w:line="240" w:lineRule="auto"/>
            <w:rPr>
              <w:rFonts w:ascii="Arial" w:eastAsiaTheme="minorEastAsia" w:hAnsi="Arial" w:cs="Arial"/>
              <w:b w:val="0"/>
              <w:bCs w:val="0"/>
              <w:i w:val="0"/>
              <w:iCs w:val="0"/>
              <w:noProof/>
              <w:color w:val="auto"/>
              <w:kern w:val="2"/>
              <w:sz w:val="20"/>
              <w:szCs w:val="20"/>
              <w14:ligatures w14:val="standardContextual"/>
            </w:rPr>
          </w:pPr>
          <w:r w:rsidRPr="00306F4D">
            <w:rPr>
              <w:rFonts w:ascii="Arial" w:hAnsi="Arial" w:cs="Arial"/>
              <w:b w:val="0"/>
              <w:bCs w:val="0"/>
              <w:i w:val="0"/>
              <w:iCs w:val="0"/>
              <w:sz w:val="20"/>
              <w:szCs w:val="20"/>
            </w:rPr>
            <w:fldChar w:fldCharType="begin"/>
          </w:r>
          <w:r w:rsidRPr="00306F4D">
            <w:rPr>
              <w:rFonts w:ascii="Arial" w:hAnsi="Arial" w:cs="Arial"/>
              <w:b w:val="0"/>
              <w:bCs w:val="0"/>
              <w:i w:val="0"/>
              <w:iCs w:val="0"/>
              <w:sz w:val="20"/>
              <w:szCs w:val="20"/>
            </w:rPr>
            <w:instrText xml:space="preserve"> TOC \o "1-2" \h \z \u </w:instrText>
          </w:r>
          <w:r w:rsidRPr="00306F4D">
            <w:rPr>
              <w:rFonts w:ascii="Arial" w:hAnsi="Arial" w:cs="Arial"/>
              <w:b w:val="0"/>
              <w:bCs w:val="0"/>
              <w:i w:val="0"/>
              <w:iCs w:val="0"/>
              <w:sz w:val="20"/>
              <w:szCs w:val="20"/>
            </w:rPr>
            <w:fldChar w:fldCharType="separate"/>
          </w:r>
          <w:hyperlink w:anchor="_Toc202893724" w:history="1">
            <w:r w:rsidR="00304420" w:rsidRPr="00306F4D">
              <w:rPr>
                <w:rStyle w:val="Hyperlink"/>
                <w:rFonts w:ascii="Arial" w:hAnsi="Arial" w:cs="Arial"/>
                <w:b w:val="0"/>
                <w:bCs w:val="0"/>
                <w:noProof/>
                <w:sz w:val="20"/>
                <w:szCs w:val="20"/>
                <w:lang w:val="en-GB"/>
              </w:rPr>
              <w:t>PART I: PROJECT INFORMATION</w:t>
            </w:r>
            <w:r w:rsidR="00304420" w:rsidRPr="00306F4D">
              <w:rPr>
                <w:rFonts w:ascii="Arial" w:hAnsi="Arial" w:cs="Arial"/>
                <w:b w:val="0"/>
                <w:bCs w:val="0"/>
                <w:noProof/>
                <w:webHidden/>
                <w:sz w:val="20"/>
                <w:szCs w:val="20"/>
              </w:rPr>
              <w:tab/>
            </w:r>
            <w:r w:rsidR="00304420" w:rsidRPr="00306F4D">
              <w:rPr>
                <w:rFonts w:ascii="Arial" w:hAnsi="Arial" w:cs="Arial"/>
                <w:b w:val="0"/>
                <w:bCs w:val="0"/>
                <w:noProof/>
                <w:webHidden/>
                <w:sz w:val="20"/>
                <w:szCs w:val="20"/>
              </w:rPr>
              <w:fldChar w:fldCharType="begin"/>
            </w:r>
            <w:r w:rsidR="00304420" w:rsidRPr="00306F4D">
              <w:rPr>
                <w:rFonts w:ascii="Arial" w:hAnsi="Arial" w:cs="Arial"/>
                <w:b w:val="0"/>
                <w:bCs w:val="0"/>
                <w:noProof/>
                <w:webHidden/>
                <w:sz w:val="20"/>
                <w:szCs w:val="20"/>
              </w:rPr>
              <w:instrText xml:space="preserve"> PAGEREF _Toc202893724 \h </w:instrText>
            </w:r>
            <w:r w:rsidR="00304420" w:rsidRPr="00306F4D">
              <w:rPr>
                <w:rFonts w:ascii="Arial" w:hAnsi="Arial" w:cs="Arial"/>
                <w:b w:val="0"/>
                <w:bCs w:val="0"/>
                <w:noProof/>
                <w:webHidden/>
                <w:sz w:val="20"/>
                <w:szCs w:val="20"/>
              </w:rPr>
            </w:r>
            <w:r w:rsidR="00304420" w:rsidRPr="00306F4D">
              <w:rPr>
                <w:rFonts w:ascii="Arial" w:hAnsi="Arial" w:cs="Arial"/>
                <w:b w:val="0"/>
                <w:bCs w:val="0"/>
                <w:noProof/>
                <w:webHidden/>
                <w:sz w:val="20"/>
                <w:szCs w:val="20"/>
              </w:rPr>
              <w:fldChar w:fldCharType="separate"/>
            </w:r>
            <w:r w:rsidR="00304420" w:rsidRPr="00306F4D">
              <w:rPr>
                <w:rFonts w:ascii="Arial" w:hAnsi="Arial" w:cs="Arial"/>
                <w:b w:val="0"/>
                <w:bCs w:val="0"/>
                <w:noProof/>
                <w:webHidden/>
                <w:sz w:val="20"/>
                <w:szCs w:val="20"/>
              </w:rPr>
              <w:t>3</w:t>
            </w:r>
            <w:r w:rsidR="00304420" w:rsidRPr="00306F4D">
              <w:rPr>
                <w:rFonts w:ascii="Arial" w:hAnsi="Arial" w:cs="Arial"/>
                <w:b w:val="0"/>
                <w:bCs w:val="0"/>
                <w:noProof/>
                <w:webHidden/>
                <w:sz w:val="20"/>
                <w:szCs w:val="20"/>
              </w:rPr>
              <w:fldChar w:fldCharType="end"/>
            </w:r>
          </w:hyperlink>
        </w:p>
        <w:p w14:paraId="6B2BBFA5" w14:textId="704C09DF" w:rsidR="00304420" w:rsidRPr="00306F4D" w:rsidRDefault="00304420" w:rsidP="00891BD1">
          <w:pPr>
            <w:pStyle w:val="TOC1"/>
            <w:tabs>
              <w:tab w:val="right" w:leader="dot" w:pos="9962"/>
            </w:tabs>
            <w:spacing w:before="60" w:line="240" w:lineRule="auto"/>
            <w:rPr>
              <w:rFonts w:ascii="Arial" w:eastAsiaTheme="minorEastAsia" w:hAnsi="Arial" w:cs="Arial"/>
              <w:b w:val="0"/>
              <w:bCs w:val="0"/>
              <w:i w:val="0"/>
              <w:iCs w:val="0"/>
              <w:noProof/>
              <w:color w:val="auto"/>
              <w:kern w:val="2"/>
              <w:sz w:val="20"/>
              <w:szCs w:val="20"/>
              <w14:ligatures w14:val="standardContextual"/>
            </w:rPr>
          </w:pPr>
          <w:hyperlink w:anchor="_Toc202893725" w:history="1">
            <w:r w:rsidRPr="00306F4D">
              <w:rPr>
                <w:rStyle w:val="Hyperlink"/>
                <w:rFonts w:ascii="Arial" w:hAnsi="Arial" w:cs="Arial"/>
                <w:b w:val="0"/>
                <w:bCs w:val="0"/>
                <w:noProof/>
                <w:sz w:val="20"/>
                <w:szCs w:val="20"/>
                <w:lang w:val="en-GB"/>
              </w:rPr>
              <w:t>Project Background and Context</w:t>
            </w:r>
            <w:r w:rsidRPr="00306F4D">
              <w:rPr>
                <w:rFonts w:ascii="Arial" w:hAnsi="Arial" w:cs="Arial"/>
                <w:b w:val="0"/>
                <w:bCs w:val="0"/>
                <w:noProof/>
                <w:webHidden/>
                <w:sz w:val="20"/>
                <w:szCs w:val="20"/>
              </w:rPr>
              <w:tab/>
            </w:r>
            <w:r w:rsidRPr="00306F4D">
              <w:rPr>
                <w:rFonts w:ascii="Arial" w:hAnsi="Arial" w:cs="Arial"/>
                <w:b w:val="0"/>
                <w:bCs w:val="0"/>
                <w:noProof/>
                <w:webHidden/>
                <w:sz w:val="20"/>
                <w:szCs w:val="20"/>
              </w:rPr>
              <w:fldChar w:fldCharType="begin"/>
            </w:r>
            <w:r w:rsidRPr="00306F4D">
              <w:rPr>
                <w:rFonts w:ascii="Arial" w:hAnsi="Arial" w:cs="Arial"/>
                <w:b w:val="0"/>
                <w:bCs w:val="0"/>
                <w:noProof/>
                <w:webHidden/>
                <w:sz w:val="20"/>
                <w:szCs w:val="20"/>
              </w:rPr>
              <w:instrText xml:space="preserve"> PAGEREF _Toc202893725 \h </w:instrText>
            </w:r>
            <w:r w:rsidRPr="00306F4D">
              <w:rPr>
                <w:rFonts w:ascii="Arial" w:hAnsi="Arial" w:cs="Arial"/>
                <w:b w:val="0"/>
                <w:bCs w:val="0"/>
                <w:noProof/>
                <w:webHidden/>
                <w:sz w:val="20"/>
                <w:szCs w:val="20"/>
              </w:rPr>
            </w:r>
            <w:r w:rsidRPr="00306F4D">
              <w:rPr>
                <w:rFonts w:ascii="Arial" w:hAnsi="Arial" w:cs="Arial"/>
                <w:b w:val="0"/>
                <w:bCs w:val="0"/>
                <w:noProof/>
                <w:webHidden/>
                <w:sz w:val="20"/>
                <w:szCs w:val="20"/>
              </w:rPr>
              <w:fldChar w:fldCharType="separate"/>
            </w:r>
            <w:r w:rsidRPr="00306F4D">
              <w:rPr>
                <w:rFonts w:ascii="Arial" w:hAnsi="Arial" w:cs="Arial"/>
                <w:b w:val="0"/>
                <w:bCs w:val="0"/>
                <w:noProof/>
                <w:webHidden/>
                <w:sz w:val="20"/>
                <w:szCs w:val="20"/>
              </w:rPr>
              <w:t>3</w:t>
            </w:r>
            <w:r w:rsidRPr="00306F4D">
              <w:rPr>
                <w:rFonts w:ascii="Arial" w:hAnsi="Arial" w:cs="Arial"/>
                <w:b w:val="0"/>
                <w:bCs w:val="0"/>
                <w:noProof/>
                <w:webHidden/>
                <w:sz w:val="20"/>
                <w:szCs w:val="20"/>
              </w:rPr>
              <w:fldChar w:fldCharType="end"/>
            </w:r>
          </w:hyperlink>
        </w:p>
        <w:p w14:paraId="08640240" w14:textId="63CA441F" w:rsidR="00304420" w:rsidRPr="00306F4D" w:rsidRDefault="00304420" w:rsidP="00891BD1">
          <w:pPr>
            <w:pStyle w:val="TOC2"/>
            <w:tabs>
              <w:tab w:val="right" w:leader="dot" w:pos="9962"/>
            </w:tabs>
            <w:spacing w:before="60" w:line="240" w:lineRule="auto"/>
            <w:rPr>
              <w:rFonts w:ascii="Arial" w:eastAsiaTheme="minorEastAsia" w:hAnsi="Arial" w:cs="Arial"/>
              <w:b w:val="0"/>
              <w:bCs w:val="0"/>
              <w:noProof/>
              <w:color w:val="auto"/>
              <w:kern w:val="2"/>
              <w:sz w:val="20"/>
              <w:szCs w:val="20"/>
              <w14:ligatures w14:val="standardContextual"/>
            </w:rPr>
          </w:pPr>
          <w:hyperlink w:anchor="_Toc202893726" w:history="1">
            <w:r w:rsidRPr="00306F4D">
              <w:rPr>
                <w:rStyle w:val="Hyperlink"/>
                <w:rFonts w:ascii="Arial" w:hAnsi="Arial" w:cs="Arial"/>
                <w:b w:val="0"/>
                <w:bCs w:val="0"/>
                <w:noProof/>
                <w:sz w:val="20"/>
                <w:szCs w:val="20"/>
                <w:lang w:val="en-GB"/>
              </w:rPr>
              <w:t>Problem Statement</w:t>
            </w:r>
            <w:r w:rsidRPr="00306F4D">
              <w:rPr>
                <w:rFonts w:ascii="Arial" w:hAnsi="Arial" w:cs="Arial"/>
                <w:b w:val="0"/>
                <w:bCs w:val="0"/>
                <w:noProof/>
                <w:webHidden/>
                <w:sz w:val="20"/>
                <w:szCs w:val="20"/>
              </w:rPr>
              <w:tab/>
            </w:r>
            <w:r w:rsidRPr="00306F4D">
              <w:rPr>
                <w:rFonts w:ascii="Arial" w:hAnsi="Arial" w:cs="Arial"/>
                <w:b w:val="0"/>
                <w:bCs w:val="0"/>
                <w:noProof/>
                <w:webHidden/>
                <w:sz w:val="20"/>
                <w:szCs w:val="20"/>
              </w:rPr>
              <w:fldChar w:fldCharType="begin"/>
            </w:r>
            <w:r w:rsidRPr="00306F4D">
              <w:rPr>
                <w:rFonts w:ascii="Arial" w:hAnsi="Arial" w:cs="Arial"/>
                <w:b w:val="0"/>
                <w:bCs w:val="0"/>
                <w:noProof/>
                <w:webHidden/>
                <w:sz w:val="20"/>
                <w:szCs w:val="20"/>
              </w:rPr>
              <w:instrText xml:space="preserve"> PAGEREF _Toc202893726 \h </w:instrText>
            </w:r>
            <w:r w:rsidRPr="00306F4D">
              <w:rPr>
                <w:rFonts w:ascii="Arial" w:hAnsi="Arial" w:cs="Arial"/>
                <w:b w:val="0"/>
                <w:bCs w:val="0"/>
                <w:noProof/>
                <w:webHidden/>
                <w:sz w:val="20"/>
                <w:szCs w:val="20"/>
              </w:rPr>
            </w:r>
            <w:r w:rsidRPr="00306F4D">
              <w:rPr>
                <w:rFonts w:ascii="Arial" w:hAnsi="Arial" w:cs="Arial"/>
                <w:b w:val="0"/>
                <w:bCs w:val="0"/>
                <w:noProof/>
                <w:webHidden/>
                <w:sz w:val="20"/>
                <w:szCs w:val="20"/>
              </w:rPr>
              <w:fldChar w:fldCharType="separate"/>
            </w:r>
            <w:r w:rsidRPr="00306F4D">
              <w:rPr>
                <w:rFonts w:ascii="Arial" w:hAnsi="Arial" w:cs="Arial"/>
                <w:b w:val="0"/>
                <w:bCs w:val="0"/>
                <w:noProof/>
                <w:webHidden/>
                <w:sz w:val="20"/>
                <w:szCs w:val="20"/>
              </w:rPr>
              <w:t>3</w:t>
            </w:r>
            <w:r w:rsidRPr="00306F4D">
              <w:rPr>
                <w:rFonts w:ascii="Arial" w:hAnsi="Arial" w:cs="Arial"/>
                <w:b w:val="0"/>
                <w:bCs w:val="0"/>
                <w:noProof/>
                <w:webHidden/>
                <w:sz w:val="20"/>
                <w:szCs w:val="20"/>
              </w:rPr>
              <w:fldChar w:fldCharType="end"/>
            </w:r>
          </w:hyperlink>
        </w:p>
        <w:p w14:paraId="7FB6F48A" w14:textId="780367AB" w:rsidR="00304420" w:rsidRPr="00306F4D" w:rsidRDefault="00304420" w:rsidP="00891BD1">
          <w:pPr>
            <w:pStyle w:val="TOC2"/>
            <w:tabs>
              <w:tab w:val="right" w:leader="dot" w:pos="9962"/>
            </w:tabs>
            <w:spacing w:before="60" w:line="240" w:lineRule="auto"/>
            <w:rPr>
              <w:rFonts w:ascii="Arial" w:eastAsiaTheme="minorEastAsia" w:hAnsi="Arial" w:cs="Arial"/>
              <w:b w:val="0"/>
              <w:bCs w:val="0"/>
              <w:noProof/>
              <w:color w:val="auto"/>
              <w:kern w:val="2"/>
              <w:sz w:val="20"/>
              <w:szCs w:val="20"/>
              <w14:ligatures w14:val="standardContextual"/>
            </w:rPr>
          </w:pPr>
          <w:hyperlink w:anchor="_Toc202893727" w:history="1">
            <w:r w:rsidRPr="00306F4D">
              <w:rPr>
                <w:rStyle w:val="Hyperlink"/>
                <w:rFonts w:ascii="Arial" w:hAnsi="Arial" w:cs="Arial"/>
                <w:b w:val="0"/>
                <w:bCs w:val="0"/>
                <w:noProof/>
                <w:sz w:val="20"/>
                <w:szCs w:val="20"/>
                <w:lang w:val="en-GB"/>
              </w:rPr>
              <w:t>The Western Balkans Region</w:t>
            </w:r>
            <w:r w:rsidRPr="00306F4D">
              <w:rPr>
                <w:rFonts w:ascii="Arial" w:hAnsi="Arial" w:cs="Arial"/>
                <w:b w:val="0"/>
                <w:bCs w:val="0"/>
                <w:noProof/>
                <w:webHidden/>
                <w:sz w:val="20"/>
                <w:szCs w:val="20"/>
              </w:rPr>
              <w:tab/>
            </w:r>
            <w:r w:rsidRPr="00306F4D">
              <w:rPr>
                <w:rFonts w:ascii="Arial" w:hAnsi="Arial" w:cs="Arial"/>
                <w:b w:val="0"/>
                <w:bCs w:val="0"/>
                <w:noProof/>
                <w:webHidden/>
                <w:sz w:val="20"/>
                <w:szCs w:val="20"/>
              </w:rPr>
              <w:fldChar w:fldCharType="begin"/>
            </w:r>
            <w:r w:rsidRPr="00306F4D">
              <w:rPr>
                <w:rFonts w:ascii="Arial" w:hAnsi="Arial" w:cs="Arial"/>
                <w:b w:val="0"/>
                <w:bCs w:val="0"/>
                <w:noProof/>
                <w:webHidden/>
                <w:sz w:val="20"/>
                <w:szCs w:val="20"/>
              </w:rPr>
              <w:instrText xml:space="preserve"> PAGEREF _Toc202893727 \h </w:instrText>
            </w:r>
            <w:r w:rsidRPr="00306F4D">
              <w:rPr>
                <w:rFonts w:ascii="Arial" w:hAnsi="Arial" w:cs="Arial"/>
                <w:b w:val="0"/>
                <w:bCs w:val="0"/>
                <w:noProof/>
                <w:webHidden/>
                <w:sz w:val="20"/>
                <w:szCs w:val="20"/>
              </w:rPr>
            </w:r>
            <w:r w:rsidRPr="00306F4D">
              <w:rPr>
                <w:rFonts w:ascii="Arial" w:hAnsi="Arial" w:cs="Arial"/>
                <w:b w:val="0"/>
                <w:bCs w:val="0"/>
                <w:noProof/>
                <w:webHidden/>
                <w:sz w:val="20"/>
                <w:szCs w:val="20"/>
              </w:rPr>
              <w:fldChar w:fldCharType="separate"/>
            </w:r>
            <w:r w:rsidRPr="00306F4D">
              <w:rPr>
                <w:rFonts w:ascii="Arial" w:hAnsi="Arial" w:cs="Arial"/>
                <w:b w:val="0"/>
                <w:bCs w:val="0"/>
                <w:noProof/>
                <w:webHidden/>
                <w:sz w:val="20"/>
                <w:szCs w:val="20"/>
              </w:rPr>
              <w:t>4</w:t>
            </w:r>
            <w:r w:rsidRPr="00306F4D">
              <w:rPr>
                <w:rFonts w:ascii="Arial" w:hAnsi="Arial" w:cs="Arial"/>
                <w:b w:val="0"/>
                <w:bCs w:val="0"/>
                <w:noProof/>
                <w:webHidden/>
                <w:sz w:val="20"/>
                <w:szCs w:val="20"/>
              </w:rPr>
              <w:fldChar w:fldCharType="end"/>
            </w:r>
          </w:hyperlink>
        </w:p>
        <w:p w14:paraId="28D0412E" w14:textId="493C7079" w:rsidR="00304420" w:rsidRPr="00306F4D" w:rsidRDefault="00304420" w:rsidP="00891BD1">
          <w:pPr>
            <w:pStyle w:val="TOC2"/>
            <w:tabs>
              <w:tab w:val="right" w:leader="dot" w:pos="9962"/>
            </w:tabs>
            <w:spacing w:before="60" w:line="240" w:lineRule="auto"/>
            <w:rPr>
              <w:rFonts w:ascii="Arial" w:eastAsiaTheme="minorEastAsia" w:hAnsi="Arial" w:cs="Arial"/>
              <w:b w:val="0"/>
              <w:bCs w:val="0"/>
              <w:noProof/>
              <w:color w:val="auto"/>
              <w:kern w:val="2"/>
              <w:sz w:val="20"/>
              <w:szCs w:val="20"/>
              <w14:ligatures w14:val="standardContextual"/>
            </w:rPr>
          </w:pPr>
          <w:hyperlink w:anchor="_Toc202893728" w:history="1">
            <w:r w:rsidRPr="00306F4D">
              <w:rPr>
                <w:rStyle w:val="Hyperlink"/>
                <w:rFonts w:ascii="Arial" w:eastAsia="Arial" w:hAnsi="Arial" w:cs="Arial"/>
                <w:b w:val="0"/>
                <w:bCs w:val="0"/>
                <w:noProof/>
                <w:sz w:val="20"/>
                <w:szCs w:val="20"/>
                <w:lang w:val="en-GB"/>
              </w:rPr>
              <w:t>Climate Risk and Climate Change Vulnerabilities in the Western Balkans Region</w:t>
            </w:r>
            <w:r w:rsidRPr="00306F4D">
              <w:rPr>
                <w:rFonts w:ascii="Arial" w:hAnsi="Arial" w:cs="Arial"/>
                <w:b w:val="0"/>
                <w:bCs w:val="0"/>
                <w:noProof/>
                <w:webHidden/>
                <w:sz w:val="20"/>
                <w:szCs w:val="20"/>
              </w:rPr>
              <w:tab/>
            </w:r>
            <w:r w:rsidRPr="00306F4D">
              <w:rPr>
                <w:rFonts w:ascii="Arial" w:hAnsi="Arial" w:cs="Arial"/>
                <w:b w:val="0"/>
                <w:bCs w:val="0"/>
                <w:noProof/>
                <w:webHidden/>
                <w:sz w:val="20"/>
                <w:szCs w:val="20"/>
              </w:rPr>
              <w:fldChar w:fldCharType="begin"/>
            </w:r>
            <w:r w:rsidRPr="00306F4D">
              <w:rPr>
                <w:rFonts w:ascii="Arial" w:hAnsi="Arial" w:cs="Arial"/>
                <w:b w:val="0"/>
                <w:bCs w:val="0"/>
                <w:noProof/>
                <w:webHidden/>
                <w:sz w:val="20"/>
                <w:szCs w:val="20"/>
              </w:rPr>
              <w:instrText xml:space="preserve"> PAGEREF _Toc202893728 \h </w:instrText>
            </w:r>
            <w:r w:rsidRPr="00306F4D">
              <w:rPr>
                <w:rFonts w:ascii="Arial" w:hAnsi="Arial" w:cs="Arial"/>
                <w:b w:val="0"/>
                <w:bCs w:val="0"/>
                <w:noProof/>
                <w:webHidden/>
                <w:sz w:val="20"/>
                <w:szCs w:val="20"/>
              </w:rPr>
            </w:r>
            <w:r w:rsidRPr="00306F4D">
              <w:rPr>
                <w:rFonts w:ascii="Arial" w:hAnsi="Arial" w:cs="Arial"/>
                <w:b w:val="0"/>
                <w:bCs w:val="0"/>
                <w:noProof/>
                <w:webHidden/>
                <w:sz w:val="20"/>
                <w:szCs w:val="20"/>
              </w:rPr>
              <w:fldChar w:fldCharType="separate"/>
            </w:r>
            <w:r w:rsidRPr="00306F4D">
              <w:rPr>
                <w:rFonts w:ascii="Arial" w:hAnsi="Arial" w:cs="Arial"/>
                <w:b w:val="0"/>
                <w:bCs w:val="0"/>
                <w:noProof/>
                <w:webHidden/>
                <w:sz w:val="20"/>
                <w:szCs w:val="20"/>
              </w:rPr>
              <w:t>8</w:t>
            </w:r>
            <w:r w:rsidRPr="00306F4D">
              <w:rPr>
                <w:rFonts w:ascii="Arial" w:hAnsi="Arial" w:cs="Arial"/>
                <w:b w:val="0"/>
                <w:bCs w:val="0"/>
                <w:noProof/>
                <w:webHidden/>
                <w:sz w:val="20"/>
                <w:szCs w:val="20"/>
              </w:rPr>
              <w:fldChar w:fldCharType="end"/>
            </w:r>
          </w:hyperlink>
        </w:p>
        <w:p w14:paraId="58613C87" w14:textId="3DBE63B0" w:rsidR="00304420" w:rsidRPr="00306F4D" w:rsidRDefault="00304420" w:rsidP="00891BD1">
          <w:pPr>
            <w:pStyle w:val="TOC2"/>
            <w:tabs>
              <w:tab w:val="right" w:leader="dot" w:pos="9962"/>
            </w:tabs>
            <w:spacing w:before="60" w:line="240" w:lineRule="auto"/>
            <w:rPr>
              <w:rFonts w:ascii="Arial" w:eastAsiaTheme="minorEastAsia" w:hAnsi="Arial" w:cs="Arial"/>
              <w:b w:val="0"/>
              <w:bCs w:val="0"/>
              <w:noProof/>
              <w:color w:val="auto"/>
              <w:kern w:val="2"/>
              <w:sz w:val="20"/>
              <w:szCs w:val="20"/>
              <w14:ligatures w14:val="standardContextual"/>
            </w:rPr>
          </w:pPr>
          <w:hyperlink w:anchor="_Toc202893729" w:history="1">
            <w:r w:rsidRPr="00306F4D">
              <w:rPr>
                <w:rStyle w:val="Hyperlink"/>
                <w:rFonts w:ascii="Arial" w:eastAsia="Arial" w:hAnsi="Arial" w:cs="Arial"/>
                <w:b w:val="0"/>
                <w:bCs w:val="0"/>
                <w:noProof/>
                <w:sz w:val="20"/>
                <w:szCs w:val="20"/>
              </w:rPr>
              <w:t>Vulnerable Populations in the Western Balkans</w:t>
            </w:r>
            <w:r w:rsidRPr="00306F4D">
              <w:rPr>
                <w:rFonts w:ascii="Arial" w:hAnsi="Arial" w:cs="Arial"/>
                <w:b w:val="0"/>
                <w:bCs w:val="0"/>
                <w:noProof/>
                <w:webHidden/>
                <w:sz w:val="20"/>
                <w:szCs w:val="20"/>
              </w:rPr>
              <w:tab/>
            </w:r>
            <w:r w:rsidRPr="00306F4D">
              <w:rPr>
                <w:rFonts w:ascii="Arial" w:hAnsi="Arial" w:cs="Arial"/>
                <w:b w:val="0"/>
                <w:bCs w:val="0"/>
                <w:noProof/>
                <w:webHidden/>
                <w:sz w:val="20"/>
                <w:szCs w:val="20"/>
              </w:rPr>
              <w:fldChar w:fldCharType="begin"/>
            </w:r>
            <w:r w:rsidRPr="00306F4D">
              <w:rPr>
                <w:rFonts w:ascii="Arial" w:hAnsi="Arial" w:cs="Arial"/>
                <w:b w:val="0"/>
                <w:bCs w:val="0"/>
                <w:noProof/>
                <w:webHidden/>
                <w:sz w:val="20"/>
                <w:szCs w:val="20"/>
              </w:rPr>
              <w:instrText xml:space="preserve"> PAGEREF _Toc202893729 \h </w:instrText>
            </w:r>
            <w:r w:rsidRPr="00306F4D">
              <w:rPr>
                <w:rFonts w:ascii="Arial" w:hAnsi="Arial" w:cs="Arial"/>
                <w:b w:val="0"/>
                <w:bCs w:val="0"/>
                <w:noProof/>
                <w:webHidden/>
                <w:sz w:val="20"/>
                <w:szCs w:val="20"/>
              </w:rPr>
            </w:r>
            <w:r w:rsidRPr="00306F4D">
              <w:rPr>
                <w:rFonts w:ascii="Arial" w:hAnsi="Arial" w:cs="Arial"/>
                <w:b w:val="0"/>
                <w:bCs w:val="0"/>
                <w:noProof/>
                <w:webHidden/>
                <w:sz w:val="20"/>
                <w:szCs w:val="20"/>
              </w:rPr>
              <w:fldChar w:fldCharType="separate"/>
            </w:r>
            <w:r w:rsidRPr="00306F4D">
              <w:rPr>
                <w:rFonts w:ascii="Arial" w:hAnsi="Arial" w:cs="Arial"/>
                <w:b w:val="0"/>
                <w:bCs w:val="0"/>
                <w:noProof/>
                <w:webHidden/>
                <w:sz w:val="20"/>
                <w:szCs w:val="20"/>
              </w:rPr>
              <w:t>21</w:t>
            </w:r>
            <w:r w:rsidRPr="00306F4D">
              <w:rPr>
                <w:rFonts w:ascii="Arial" w:hAnsi="Arial" w:cs="Arial"/>
                <w:b w:val="0"/>
                <w:bCs w:val="0"/>
                <w:noProof/>
                <w:webHidden/>
                <w:sz w:val="20"/>
                <w:szCs w:val="20"/>
              </w:rPr>
              <w:fldChar w:fldCharType="end"/>
            </w:r>
          </w:hyperlink>
        </w:p>
        <w:p w14:paraId="255BF770" w14:textId="2FF4C52B" w:rsidR="00304420" w:rsidRPr="00306F4D" w:rsidRDefault="00304420" w:rsidP="00891BD1">
          <w:pPr>
            <w:pStyle w:val="TOC2"/>
            <w:tabs>
              <w:tab w:val="right" w:leader="dot" w:pos="9962"/>
            </w:tabs>
            <w:spacing w:before="60" w:line="240" w:lineRule="auto"/>
            <w:rPr>
              <w:rFonts w:ascii="Arial" w:eastAsiaTheme="minorEastAsia" w:hAnsi="Arial" w:cs="Arial"/>
              <w:b w:val="0"/>
              <w:bCs w:val="0"/>
              <w:noProof/>
              <w:color w:val="auto"/>
              <w:kern w:val="2"/>
              <w:sz w:val="20"/>
              <w:szCs w:val="20"/>
              <w14:ligatures w14:val="standardContextual"/>
            </w:rPr>
          </w:pPr>
          <w:hyperlink w:anchor="_Toc202893730" w:history="1">
            <w:r w:rsidRPr="00306F4D">
              <w:rPr>
                <w:rStyle w:val="Hyperlink"/>
                <w:rFonts w:ascii="Arial" w:eastAsia="Arial" w:hAnsi="Arial" w:cs="Arial"/>
                <w:b w:val="0"/>
                <w:bCs w:val="0"/>
                <w:noProof/>
                <w:sz w:val="20"/>
                <w:szCs w:val="20"/>
              </w:rPr>
              <w:t>Socio-Economic Dimensions of Vulnerability</w:t>
            </w:r>
            <w:r w:rsidRPr="00306F4D">
              <w:rPr>
                <w:rFonts w:ascii="Arial" w:hAnsi="Arial" w:cs="Arial"/>
                <w:b w:val="0"/>
                <w:bCs w:val="0"/>
                <w:noProof/>
                <w:webHidden/>
                <w:sz w:val="20"/>
                <w:szCs w:val="20"/>
              </w:rPr>
              <w:tab/>
            </w:r>
            <w:r w:rsidRPr="00306F4D">
              <w:rPr>
                <w:rFonts w:ascii="Arial" w:hAnsi="Arial" w:cs="Arial"/>
                <w:b w:val="0"/>
                <w:bCs w:val="0"/>
                <w:noProof/>
                <w:webHidden/>
                <w:sz w:val="20"/>
                <w:szCs w:val="20"/>
              </w:rPr>
              <w:fldChar w:fldCharType="begin"/>
            </w:r>
            <w:r w:rsidRPr="00306F4D">
              <w:rPr>
                <w:rFonts w:ascii="Arial" w:hAnsi="Arial" w:cs="Arial"/>
                <w:b w:val="0"/>
                <w:bCs w:val="0"/>
                <w:noProof/>
                <w:webHidden/>
                <w:sz w:val="20"/>
                <w:szCs w:val="20"/>
              </w:rPr>
              <w:instrText xml:space="preserve"> PAGEREF _Toc202893730 \h </w:instrText>
            </w:r>
            <w:r w:rsidRPr="00306F4D">
              <w:rPr>
                <w:rFonts w:ascii="Arial" w:hAnsi="Arial" w:cs="Arial"/>
                <w:b w:val="0"/>
                <w:bCs w:val="0"/>
                <w:noProof/>
                <w:webHidden/>
                <w:sz w:val="20"/>
                <w:szCs w:val="20"/>
              </w:rPr>
            </w:r>
            <w:r w:rsidRPr="00306F4D">
              <w:rPr>
                <w:rFonts w:ascii="Arial" w:hAnsi="Arial" w:cs="Arial"/>
                <w:b w:val="0"/>
                <w:bCs w:val="0"/>
                <w:noProof/>
                <w:webHidden/>
                <w:sz w:val="20"/>
                <w:szCs w:val="20"/>
              </w:rPr>
              <w:fldChar w:fldCharType="separate"/>
            </w:r>
            <w:r w:rsidRPr="00306F4D">
              <w:rPr>
                <w:rFonts w:ascii="Arial" w:hAnsi="Arial" w:cs="Arial"/>
                <w:b w:val="0"/>
                <w:bCs w:val="0"/>
                <w:noProof/>
                <w:webHidden/>
                <w:sz w:val="20"/>
                <w:szCs w:val="20"/>
              </w:rPr>
              <w:t>23</w:t>
            </w:r>
            <w:r w:rsidRPr="00306F4D">
              <w:rPr>
                <w:rFonts w:ascii="Arial" w:hAnsi="Arial" w:cs="Arial"/>
                <w:b w:val="0"/>
                <w:bCs w:val="0"/>
                <w:noProof/>
                <w:webHidden/>
                <w:sz w:val="20"/>
                <w:szCs w:val="20"/>
              </w:rPr>
              <w:fldChar w:fldCharType="end"/>
            </w:r>
          </w:hyperlink>
        </w:p>
        <w:p w14:paraId="543048D8" w14:textId="21B7FC85" w:rsidR="00304420" w:rsidRPr="00306F4D" w:rsidRDefault="00304420" w:rsidP="00891BD1">
          <w:pPr>
            <w:pStyle w:val="TOC2"/>
            <w:tabs>
              <w:tab w:val="right" w:leader="dot" w:pos="9962"/>
            </w:tabs>
            <w:spacing w:before="60" w:line="240" w:lineRule="auto"/>
            <w:rPr>
              <w:rFonts w:ascii="Arial" w:eastAsiaTheme="minorEastAsia" w:hAnsi="Arial" w:cs="Arial"/>
              <w:b w:val="0"/>
              <w:bCs w:val="0"/>
              <w:noProof/>
              <w:color w:val="auto"/>
              <w:kern w:val="2"/>
              <w:sz w:val="20"/>
              <w:szCs w:val="20"/>
              <w14:ligatures w14:val="standardContextual"/>
            </w:rPr>
          </w:pPr>
          <w:hyperlink w:anchor="_Toc202893731" w:history="1">
            <w:r w:rsidRPr="00306F4D">
              <w:rPr>
                <w:rStyle w:val="Hyperlink"/>
                <w:rFonts w:ascii="Arial" w:hAnsi="Arial" w:cs="Arial"/>
                <w:b w:val="0"/>
                <w:bCs w:val="0"/>
                <w:noProof/>
                <w:sz w:val="20"/>
                <w:szCs w:val="20"/>
                <w:lang w:val="en-GB"/>
              </w:rPr>
              <w:t>Innovation Context in the Western Balkans</w:t>
            </w:r>
            <w:r w:rsidRPr="00306F4D">
              <w:rPr>
                <w:rFonts w:ascii="Arial" w:hAnsi="Arial" w:cs="Arial"/>
                <w:b w:val="0"/>
                <w:bCs w:val="0"/>
                <w:noProof/>
                <w:webHidden/>
                <w:sz w:val="20"/>
                <w:szCs w:val="20"/>
              </w:rPr>
              <w:tab/>
            </w:r>
            <w:r w:rsidRPr="00306F4D">
              <w:rPr>
                <w:rFonts w:ascii="Arial" w:hAnsi="Arial" w:cs="Arial"/>
                <w:b w:val="0"/>
                <w:bCs w:val="0"/>
                <w:noProof/>
                <w:webHidden/>
                <w:sz w:val="20"/>
                <w:szCs w:val="20"/>
              </w:rPr>
              <w:fldChar w:fldCharType="begin"/>
            </w:r>
            <w:r w:rsidRPr="00306F4D">
              <w:rPr>
                <w:rFonts w:ascii="Arial" w:hAnsi="Arial" w:cs="Arial"/>
                <w:b w:val="0"/>
                <w:bCs w:val="0"/>
                <w:noProof/>
                <w:webHidden/>
                <w:sz w:val="20"/>
                <w:szCs w:val="20"/>
              </w:rPr>
              <w:instrText xml:space="preserve"> PAGEREF _Toc202893731 \h </w:instrText>
            </w:r>
            <w:r w:rsidRPr="00306F4D">
              <w:rPr>
                <w:rFonts w:ascii="Arial" w:hAnsi="Arial" w:cs="Arial"/>
                <w:b w:val="0"/>
                <w:bCs w:val="0"/>
                <w:noProof/>
                <w:webHidden/>
                <w:sz w:val="20"/>
                <w:szCs w:val="20"/>
              </w:rPr>
            </w:r>
            <w:r w:rsidRPr="00306F4D">
              <w:rPr>
                <w:rFonts w:ascii="Arial" w:hAnsi="Arial" w:cs="Arial"/>
                <w:b w:val="0"/>
                <w:bCs w:val="0"/>
                <w:noProof/>
                <w:webHidden/>
                <w:sz w:val="20"/>
                <w:szCs w:val="20"/>
              </w:rPr>
              <w:fldChar w:fldCharType="separate"/>
            </w:r>
            <w:r w:rsidRPr="00306F4D">
              <w:rPr>
                <w:rFonts w:ascii="Arial" w:hAnsi="Arial" w:cs="Arial"/>
                <w:b w:val="0"/>
                <w:bCs w:val="0"/>
                <w:noProof/>
                <w:webHidden/>
                <w:sz w:val="20"/>
                <w:szCs w:val="20"/>
              </w:rPr>
              <w:t>24</w:t>
            </w:r>
            <w:r w:rsidRPr="00306F4D">
              <w:rPr>
                <w:rFonts w:ascii="Arial" w:hAnsi="Arial" w:cs="Arial"/>
                <w:b w:val="0"/>
                <w:bCs w:val="0"/>
                <w:noProof/>
                <w:webHidden/>
                <w:sz w:val="20"/>
                <w:szCs w:val="20"/>
              </w:rPr>
              <w:fldChar w:fldCharType="end"/>
            </w:r>
          </w:hyperlink>
        </w:p>
        <w:p w14:paraId="5B677968" w14:textId="25437EAE" w:rsidR="00304420" w:rsidRPr="00306F4D" w:rsidRDefault="00304420" w:rsidP="00891BD1">
          <w:pPr>
            <w:pStyle w:val="TOC2"/>
            <w:tabs>
              <w:tab w:val="right" w:leader="dot" w:pos="9962"/>
            </w:tabs>
            <w:spacing w:before="60" w:line="240" w:lineRule="auto"/>
            <w:rPr>
              <w:rFonts w:ascii="Arial" w:eastAsiaTheme="minorEastAsia" w:hAnsi="Arial" w:cs="Arial"/>
              <w:b w:val="0"/>
              <w:bCs w:val="0"/>
              <w:noProof/>
              <w:color w:val="auto"/>
              <w:kern w:val="2"/>
              <w:sz w:val="20"/>
              <w:szCs w:val="20"/>
              <w14:ligatures w14:val="standardContextual"/>
            </w:rPr>
          </w:pPr>
          <w:hyperlink w:anchor="_Toc202893732" w:history="1">
            <w:r w:rsidRPr="00306F4D">
              <w:rPr>
                <w:rStyle w:val="Hyperlink"/>
                <w:rFonts w:ascii="Arial" w:eastAsia="Arial" w:hAnsi="Arial" w:cs="Arial"/>
                <w:b w:val="0"/>
                <w:bCs w:val="0"/>
                <w:noProof/>
                <w:sz w:val="20"/>
                <w:szCs w:val="20"/>
                <w:lang w:val="en-GB"/>
              </w:rPr>
              <w:t>Urgency of Adaptation Investments at the Local Level</w:t>
            </w:r>
            <w:r w:rsidRPr="00306F4D">
              <w:rPr>
                <w:rFonts w:ascii="Arial" w:hAnsi="Arial" w:cs="Arial"/>
                <w:b w:val="0"/>
                <w:bCs w:val="0"/>
                <w:noProof/>
                <w:webHidden/>
                <w:sz w:val="20"/>
                <w:szCs w:val="20"/>
              </w:rPr>
              <w:tab/>
            </w:r>
            <w:r w:rsidRPr="00306F4D">
              <w:rPr>
                <w:rFonts w:ascii="Arial" w:hAnsi="Arial" w:cs="Arial"/>
                <w:b w:val="0"/>
                <w:bCs w:val="0"/>
                <w:noProof/>
                <w:webHidden/>
                <w:sz w:val="20"/>
                <w:szCs w:val="20"/>
              </w:rPr>
              <w:fldChar w:fldCharType="begin"/>
            </w:r>
            <w:r w:rsidRPr="00306F4D">
              <w:rPr>
                <w:rFonts w:ascii="Arial" w:hAnsi="Arial" w:cs="Arial"/>
                <w:b w:val="0"/>
                <w:bCs w:val="0"/>
                <w:noProof/>
                <w:webHidden/>
                <w:sz w:val="20"/>
                <w:szCs w:val="20"/>
              </w:rPr>
              <w:instrText xml:space="preserve"> PAGEREF _Toc202893732 \h </w:instrText>
            </w:r>
            <w:r w:rsidRPr="00306F4D">
              <w:rPr>
                <w:rFonts w:ascii="Arial" w:hAnsi="Arial" w:cs="Arial"/>
                <w:b w:val="0"/>
                <w:bCs w:val="0"/>
                <w:noProof/>
                <w:webHidden/>
                <w:sz w:val="20"/>
                <w:szCs w:val="20"/>
              </w:rPr>
            </w:r>
            <w:r w:rsidRPr="00306F4D">
              <w:rPr>
                <w:rFonts w:ascii="Arial" w:hAnsi="Arial" w:cs="Arial"/>
                <w:b w:val="0"/>
                <w:bCs w:val="0"/>
                <w:noProof/>
                <w:webHidden/>
                <w:sz w:val="20"/>
                <w:szCs w:val="20"/>
              </w:rPr>
              <w:fldChar w:fldCharType="separate"/>
            </w:r>
            <w:r w:rsidRPr="00306F4D">
              <w:rPr>
                <w:rFonts w:ascii="Arial" w:hAnsi="Arial" w:cs="Arial"/>
                <w:b w:val="0"/>
                <w:bCs w:val="0"/>
                <w:noProof/>
                <w:webHidden/>
                <w:sz w:val="20"/>
                <w:szCs w:val="20"/>
              </w:rPr>
              <w:t>29</w:t>
            </w:r>
            <w:r w:rsidRPr="00306F4D">
              <w:rPr>
                <w:rFonts w:ascii="Arial" w:hAnsi="Arial" w:cs="Arial"/>
                <w:b w:val="0"/>
                <w:bCs w:val="0"/>
                <w:noProof/>
                <w:webHidden/>
                <w:sz w:val="20"/>
                <w:szCs w:val="20"/>
              </w:rPr>
              <w:fldChar w:fldCharType="end"/>
            </w:r>
          </w:hyperlink>
        </w:p>
        <w:p w14:paraId="2BA97D0C" w14:textId="559BBFF5" w:rsidR="00304420" w:rsidRPr="00306F4D" w:rsidRDefault="00304420" w:rsidP="00891BD1">
          <w:pPr>
            <w:pStyle w:val="TOC1"/>
            <w:tabs>
              <w:tab w:val="right" w:leader="dot" w:pos="9962"/>
            </w:tabs>
            <w:spacing w:before="60" w:line="240" w:lineRule="auto"/>
            <w:rPr>
              <w:rFonts w:ascii="Arial" w:eastAsiaTheme="minorEastAsia" w:hAnsi="Arial" w:cs="Arial"/>
              <w:b w:val="0"/>
              <w:bCs w:val="0"/>
              <w:i w:val="0"/>
              <w:iCs w:val="0"/>
              <w:noProof/>
              <w:color w:val="auto"/>
              <w:kern w:val="2"/>
              <w:sz w:val="20"/>
              <w:szCs w:val="20"/>
              <w14:ligatures w14:val="standardContextual"/>
            </w:rPr>
          </w:pPr>
          <w:hyperlink w:anchor="_Toc202893733" w:history="1">
            <w:r w:rsidRPr="00306F4D">
              <w:rPr>
                <w:rStyle w:val="Hyperlink"/>
                <w:rFonts w:ascii="Arial" w:hAnsi="Arial" w:cs="Arial"/>
                <w:b w:val="0"/>
                <w:bCs w:val="0"/>
                <w:noProof/>
                <w:sz w:val="20"/>
                <w:szCs w:val="20"/>
                <w:lang w:val="en-GB"/>
              </w:rPr>
              <w:t>Project Objectives</w:t>
            </w:r>
            <w:r w:rsidRPr="00306F4D">
              <w:rPr>
                <w:rFonts w:ascii="Arial" w:hAnsi="Arial" w:cs="Arial"/>
                <w:b w:val="0"/>
                <w:bCs w:val="0"/>
                <w:noProof/>
                <w:webHidden/>
                <w:sz w:val="20"/>
                <w:szCs w:val="20"/>
              </w:rPr>
              <w:tab/>
            </w:r>
            <w:r w:rsidRPr="00306F4D">
              <w:rPr>
                <w:rFonts w:ascii="Arial" w:hAnsi="Arial" w:cs="Arial"/>
                <w:b w:val="0"/>
                <w:bCs w:val="0"/>
                <w:noProof/>
                <w:webHidden/>
                <w:sz w:val="20"/>
                <w:szCs w:val="20"/>
              </w:rPr>
              <w:fldChar w:fldCharType="begin"/>
            </w:r>
            <w:r w:rsidRPr="00306F4D">
              <w:rPr>
                <w:rFonts w:ascii="Arial" w:hAnsi="Arial" w:cs="Arial"/>
                <w:b w:val="0"/>
                <w:bCs w:val="0"/>
                <w:noProof/>
                <w:webHidden/>
                <w:sz w:val="20"/>
                <w:szCs w:val="20"/>
              </w:rPr>
              <w:instrText xml:space="preserve"> PAGEREF _Toc202893733 \h </w:instrText>
            </w:r>
            <w:r w:rsidRPr="00306F4D">
              <w:rPr>
                <w:rFonts w:ascii="Arial" w:hAnsi="Arial" w:cs="Arial"/>
                <w:b w:val="0"/>
                <w:bCs w:val="0"/>
                <w:noProof/>
                <w:webHidden/>
                <w:sz w:val="20"/>
                <w:szCs w:val="20"/>
              </w:rPr>
            </w:r>
            <w:r w:rsidRPr="00306F4D">
              <w:rPr>
                <w:rFonts w:ascii="Arial" w:hAnsi="Arial" w:cs="Arial"/>
                <w:b w:val="0"/>
                <w:bCs w:val="0"/>
                <w:noProof/>
                <w:webHidden/>
                <w:sz w:val="20"/>
                <w:szCs w:val="20"/>
              </w:rPr>
              <w:fldChar w:fldCharType="separate"/>
            </w:r>
            <w:r w:rsidRPr="00306F4D">
              <w:rPr>
                <w:rFonts w:ascii="Arial" w:hAnsi="Arial" w:cs="Arial"/>
                <w:b w:val="0"/>
                <w:bCs w:val="0"/>
                <w:noProof/>
                <w:webHidden/>
                <w:sz w:val="20"/>
                <w:szCs w:val="20"/>
              </w:rPr>
              <w:t>31</w:t>
            </w:r>
            <w:r w:rsidRPr="00306F4D">
              <w:rPr>
                <w:rFonts w:ascii="Arial" w:hAnsi="Arial" w:cs="Arial"/>
                <w:b w:val="0"/>
                <w:bCs w:val="0"/>
                <w:noProof/>
                <w:webHidden/>
                <w:sz w:val="20"/>
                <w:szCs w:val="20"/>
              </w:rPr>
              <w:fldChar w:fldCharType="end"/>
            </w:r>
          </w:hyperlink>
        </w:p>
        <w:p w14:paraId="202F0F47" w14:textId="0C3F129E" w:rsidR="00304420" w:rsidRPr="00306F4D" w:rsidRDefault="00304420" w:rsidP="00891BD1">
          <w:pPr>
            <w:pStyle w:val="TOC1"/>
            <w:tabs>
              <w:tab w:val="right" w:leader="dot" w:pos="9962"/>
            </w:tabs>
            <w:spacing w:before="60" w:line="240" w:lineRule="auto"/>
            <w:rPr>
              <w:rFonts w:ascii="Arial" w:eastAsiaTheme="minorEastAsia" w:hAnsi="Arial" w:cs="Arial"/>
              <w:b w:val="0"/>
              <w:bCs w:val="0"/>
              <w:i w:val="0"/>
              <w:iCs w:val="0"/>
              <w:noProof/>
              <w:color w:val="auto"/>
              <w:kern w:val="2"/>
              <w:sz w:val="20"/>
              <w:szCs w:val="20"/>
              <w14:ligatures w14:val="standardContextual"/>
            </w:rPr>
          </w:pPr>
          <w:hyperlink w:anchor="_Toc202893734" w:history="1">
            <w:r w:rsidRPr="00306F4D">
              <w:rPr>
                <w:rStyle w:val="Hyperlink"/>
                <w:rFonts w:ascii="Arial" w:hAnsi="Arial" w:cs="Arial"/>
                <w:b w:val="0"/>
                <w:bCs w:val="0"/>
                <w:noProof/>
                <w:sz w:val="20"/>
                <w:szCs w:val="20"/>
                <w:lang w:val="en-GB"/>
              </w:rPr>
              <w:t>Project Components and Financing</w:t>
            </w:r>
            <w:r w:rsidRPr="00306F4D">
              <w:rPr>
                <w:rFonts w:ascii="Arial" w:hAnsi="Arial" w:cs="Arial"/>
                <w:b w:val="0"/>
                <w:bCs w:val="0"/>
                <w:noProof/>
                <w:webHidden/>
                <w:sz w:val="20"/>
                <w:szCs w:val="20"/>
              </w:rPr>
              <w:tab/>
            </w:r>
            <w:r w:rsidRPr="00306F4D">
              <w:rPr>
                <w:rFonts w:ascii="Arial" w:hAnsi="Arial" w:cs="Arial"/>
                <w:b w:val="0"/>
                <w:bCs w:val="0"/>
                <w:noProof/>
                <w:webHidden/>
                <w:sz w:val="20"/>
                <w:szCs w:val="20"/>
              </w:rPr>
              <w:fldChar w:fldCharType="begin"/>
            </w:r>
            <w:r w:rsidRPr="00306F4D">
              <w:rPr>
                <w:rFonts w:ascii="Arial" w:hAnsi="Arial" w:cs="Arial"/>
                <w:b w:val="0"/>
                <w:bCs w:val="0"/>
                <w:noProof/>
                <w:webHidden/>
                <w:sz w:val="20"/>
                <w:szCs w:val="20"/>
              </w:rPr>
              <w:instrText xml:space="preserve"> PAGEREF _Toc202893734 \h </w:instrText>
            </w:r>
            <w:r w:rsidRPr="00306F4D">
              <w:rPr>
                <w:rFonts w:ascii="Arial" w:hAnsi="Arial" w:cs="Arial"/>
                <w:b w:val="0"/>
                <w:bCs w:val="0"/>
                <w:noProof/>
                <w:webHidden/>
                <w:sz w:val="20"/>
                <w:szCs w:val="20"/>
              </w:rPr>
            </w:r>
            <w:r w:rsidRPr="00306F4D">
              <w:rPr>
                <w:rFonts w:ascii="Arial" w:hAnsi="Arial" w:cs="Arial"/>
                <w:b w:val="0"/>
                <w:bCs w:val="0"/>
                <w:noProof/>
                <w:webHidden/>
                <w:sz w:val="20"/>
                <w:szCs w:val="20"/>
              </w:rPr>
              <w:fldChar w:fldCharType="separate"/>
            </w:r>
            <w:r w:rsidRPr="00306F4D">
              <w:rPr>
                <w:rFonts w:ascii="Arial" w:hAnsi="Arial" w:cs="Arial"/>
                <w:b w:val="0"/>
                <w:bCs w:val="0"/>
                <w:noProof/>
                <w:webHidden/>
                <w:sz w:val="20"/>
                <w:szCs w:val="20"/>
              </w:rPr>
              <w:t>34</w:t>
            </w:r>
            <w:r w:rsidRPr="00306F4D">
              <w:rPr>
                <w:rFonts w:ascii="Arial" w:hAnsi="Arial" w:cs="Arial"/>
                <w:b w:val="0"/>
                <w:bCs w:val="0"/>
                <w:noProof/>
                <w:webHidden/>
                <w:sz w:val="20"/>
                <w:szCs w:val="20"/>
              </w:rPr>
              <w:fldChar w:fldCharType="end"/>
            </w:r>
          </w:hyperlink>
        </w:p>
        <w:p w14:paraId="4869C912" w14:textId="7AC4B5EA" w:rsidR="00304420" w:rsidRPr="00306F4D" w:rsidRDefault="00304420" w:rsidP="00891BD1">
          <w:pPr>
            <w:pStyle w:val="TOC2"/>
            <w:tabs>
              <w:tab w:val="right" w:leader="dot" w:pos="9962"/>
            </w:tabs>
            <w:spacing w:before="60" w:line="240" w:lineRule="auto"/>
            <w:rPr>
              <w:rFonts w:ascii="Arial" w:eastAsiaTheme="minorEastAsia" w:hAnsi="Arial" w:cs="Arial"/>
              <w:b w:val="0"/>
              <w:bCs w:val="0"/>
              <w:noProof/>
              <w:color w:val="auto"/>
              <w:kern w:val="2"/>
              <w:sz w:val="20"/>
              <w:szCs w:val="20"/>
              <w14:ligatures w14:val="standardContextual"/>
            </w:rPr>
          </w:pPr>
          <w:hyperlink w:anchor="_Toc202893735" w:history="1">
            <w:r w:rsidRPr="00306F4D">
              <w:rPr>
                <w:rStyle w:val="Hyperlink"/>
                <w:rFonts w:ascii="Arial" w:eastAsia="Arial" w:hAnsi="Arial" w:cs="Arial"/>
                <w:b w:val="0"/>
                <w:bCs w:val="0"/>
                <w:noProof/>
                <w:sz w:val="20"/>
                <w:szCs w:val="20"/>
                <w:lang w:val="en-GB"/>
              </w:rPr>
              <w:t>Projected Calendar</w:t>
            </w:r>
            <w:r w:rsidRPr="00306F4D">
              <w:rPr>
                <w:rFonts w:ascii="Arial" w:hAnsi="Arial" w:cs="Arial"/>
                <w:b w:val="0"/>
                <w:bCs w:val="0"/>
                <w:noProof/>
                <w:webHidden/>
                <w:sz w:val="20"/>
                <w:szCs w:val="20"/>
              </w:rPr>
              <w:tab/>
            </w:r>
            <w:r w:rsidRPr="00306F4D">
              <w:rPr>
                <w:rFonts w:ascii="Arial" w:hAnsi="Arial" w:cs="Arial"/>
                <w:b w:val="0"/>
                <w:bCs w:val="0"/>
                <w:noProof/>
                <w:webHidden/>
                <w:sz w:val="20"/>
                <w:szCs w:val="20"/>
              </w:rPr>
              <w:fldChar w:fldCharType="begin"/>
            </w:r>
            <w:r w:rsidRPr="00306F4D">
              <w:rPr>
                <w:rFonts w:ascii="Arial" w:hAnsi="Arial" w:cs="Arial"/>
                <w:b w:val="0"/>
                <w:bCs w:val="0"/>
                <w:noProof/>
                <w:webHidden/>
                <w:sz w:val="20"/>
                <w:szCs w:val="20"/>
              </w:rPr>
              <w:instrText xml:space="preserve"> PAGEREF _Toc202893735 \h </w:instrText>
            </w:r>
            <w:r w:rsidRPr="00306F4D">
              <w:rPr>
                <w:rFonts w:ascii="Arial" w:hAnsi="Arial" w:cs="Arial"/>
                <w:b w:val="0"/>
                <w:bCs w:val="0"/>
                <w:noProof/>
                <w:webHidden/>
                <w:sz w:val="20"/>
                <w:szCs w:val="20"/>
              </w:rPr>
            </w:r>
            <w:r w:rsidRPr="00306F4D">
              <w:rPr>
                <w:rFonts w:ascii="Arial" w:hAnsi="Arial" w:cs="Arial"/>
                <w:b w:val="0"/>
                <w:bCs w:val="0"/>
                <w:noProof/>
                <w:webHidden/>
                <w:sz w:val="20"/>
                <w:szCs w:val="20"/>
              </w:rPr>
              <w:fldChar w:fldCharType="separate"/>
            </w:r>
            <w:r w:rsidRPr="00306F4D">
              <w:rPr>
                <w:rFonts w:ascii="Arial" w:hAnsi="Arial" w:cs="Arial"/>
                <w:b w:val="0"/>
                <w:bCs w:val="0"/>
                <w:noProof/>
                <w:webHidden/>
                <w:sz w:val="20"/>
                <w:szCs w:val="20"/>
              </w:rPr>
              <w:t>35</w:t>
            </w:r>
            <w:r w:rsidRPr="00306F4D">
              <w:rPr>
                <w:rFonts w:ascii="Arial" w:hAnsi="Arial" w:cs="Arial"/>
                <w:b w:val="0"/>
                <w:bCs w:val="0"/>
                <w:noProof/>
                <w:webHidden/>
                <w:sz w:val="20"/>
                <w:szCs w:val="20"/>
              </w:rPr>
              <w:fldChar w:fldCharType="end"/>
            </w:r>
          </w:hyperlink>
        </w:p>
        <w:p w14:paraId="1D538CCF" w14:textId="43CE79B3" w:rsidR="00304420" w:rsidRPr="00306F4D" w:rsidRDefault="00304420" w:rsidP="00891BD1">
          <w:pPr>
            <w:pStyle w:val="TOC1"/>
            <w:tabs>
              <w:tab w:val="right" w:leader="dot" w:pos="9962"/>
            </w:tabs>
            <w:spacing w:before="60" w:line="240" w:lineRule="auto"/>
            <w:rPr>
              <w:rFonts w:ascii="Arial" w:eastAsiaTheme="minorEastAsia" w:hAnsi="Arial" w:cs="Arial"/>
              <w:b w:val="0"/>
              <w:bCs w:val="0"/>
              <w:i w:val="0"/>
              <w:iCs w:val="0"/>
              <w:noProof/>
              <w:color w:val="auto"/>
              <w:kern w:val="2"/>
              <w:sz w:val="20"/>
              <w:szCs w:val="20"/>
              <w14:ligatures w14:val="standardContextual"/>
            </w:rPr>
          </w:pPr>
          <w:hyperlink w:anchor="_Toc202893736" w:history="1">
            <w:r w:rsidRPr="00306F4D">
              <w:rPr>
                <w:rStyle w:val="Hyperlink"/>
                <w:rFonts w:ascii="Arial" w:hAnsi="Arial" w:cs="Arial"/>
                <w:b w:val="0"/>
                <w:bCs w:val="0"/>
                <w:noProof/>
                <w:sz w:val="20"/>
                <w:szCs w:val="20"/>
                <w:lang w:val="en-GB"/>
              </w:rPr>
              <w:t>PART II: PROJECT JUSTIFICATION</w:t>
            </w:r>
            <w:r w:rsidRPr="00306F4D">
              <w:rPr>
                <w:rFonts w:ascii="Arial" w:hAnsi="Arial" w:cs="Arial"/>
                <w:b w:val="0"/>
                <w:bCs w:val="0"/>
                <w:noProof/>
                <w:webHidden/>
                <w:sz w:val="20"/>
                <w:szCs w:val="20"/>
              </w:rPr>
              <w:tab/>
            </w:r>
            <w:r w:rsidRPr="00306F4D">
              <w:rPr>
                <w:rFonts w:ascii="Arial" w:hAnsi="Arial" w:cs="Arial"/>
                <w:b w:val="0"/>
                <w:bCs w:val="0"/>
                <w:noProof/>
                <w:webHidden/>
                <w:sz w:val="20"/>
                <w:szCs w:val="20"/>
              </w:rPr>
              <w:fldChar w:fldCharType="begin"/>
            </w:r>
            <w:r w:rsidRPr="00306F4D">
              <w:rPr>
                <w:rFonts w:ascii="Arial" w:hAnsi="Arial" w:cs="Arial"/>
                <w:b w:val="0"/>
                <w:bCs w:val="0"/>
                <w:noProof/>
                <w:webHidden/>
                <w:sz w:val="20"/>
                <w:szCs w:val="20"/>
              </w:rPr>
              <w:instrText xml:space="preserve"> PAGEREF _Toc202893736 \h </w:instrText>
            </w:r>
            <w:r w:rsidRPr="00306F4D">
              <w:rPr>
                <w:rFonts w:ascii="Arial" w:hAnsi="Arial" w:cs="Arial"/>
                <w:b w:val="0"/>
                <w:bCs w:val="0"/>
                <w:noProof/>
                <w:webHidden/>
                <w:sz w:val="20"/>
                <w:szCs w:val="20"/>
              </w:rPr>
            </w:r>
            <w:r w:rsidRPr="00306F4D">
              <w:rPr>
                <w:rFonts w:ascii="Arial" w:hAnsi="Arial" w:cs="Arial"/>
                <w:b w:val="0"/>
                <w:bCs w:val="0"/>
                <w:noProof/>
                <w:webHidden/>
                <w:sz w:val="20"/>
                <w:szCs w:val="20"/>
              </w:rPr>
              <w:fldChar w:fldCharType="separate"/>
            </w:r>
            <w:r w:rsidRPr="00306F4D">
              <w:rPr>
                <w:rFonts w:ascii="Arial" w:hAnsi="Arial" w:cs="Arial"/>
                <w:b w:val="0"/>
                <w:bCs w:val="0"/>
                <w:noProof/>
                <w:webHidden/>
                <w:sz w:val="20"/>
                <w:szCs w:val="20"/>
              </w:rPr>
              <w:t>36</w:t>
            </w:r>
            <w:r w:rsidRPr="00306F4D">
              <w:rPr>
                <w:rFonts w:ascii="Arial" w:hAnsi="Arial" w:cs="Arial"/>
                <w:b w:val="0"/>
                <w:bCs w:val="0"/>
                <w:noProof/>
                <w:webHidden/>
                <w:sz w:val="20"/>
                <w:szCs w:val="20"/>
              </w:rPr>
              <w:fldChar w:fldCharType="end"/>
            </w:r>
          </w:hyperlink>
        </w:p>
        <w:p w14:paraId="294DAFCD" w14:textId="4EF37A6F" w:rsidR="00304420" w:rsidRPr="00306F4D" w:rsidRDefault="00304420" w:rsidP="00891BD1">
          <w:pPr>
            <w:pStyle w:val="TOC2"/>
            <w:tabs>
              <w:tab w:val="right" w:leader="dot" w:pos="9962"/>
            </w:tabs>
            <w:spacing w:before="60" w:line="240" w:lineRule="auto"/>
            <w:rPr>
              <w:rFonts w:ascii="Arial" w:eastAsiaTheme="minorEastAsia" w:hAnsi="Arial" w:cs="Arial"/>
              <w:b w:val="0"/>
              <w:bCs w:val="0"/>
              <w:noProof/>
              <w:color w:val="auto"/>
              <w:kern w:val="2"/>
              <w:sz w:val="20"/>
              <w:szCs w:val="20"/>
              <w14:ligatures w14:val="standardContextual"/>
            </w:rPr>
          </w:pPr>
          <w:hyperlink w:anchor="_Toc202893737" w:history="1">
            <w:r w:rsidRPr="00306F4D">
              <w:rPr>
                <w:rStyle w:val="Hyperlink"/>
                <w:rFonts w:ascii="Arial" w:eastAsia="Arial" w:hAnsi="Arial" w:cs="Arial"/>
                <w:b w:val="0"/>
                <w:bCs w:val="0"/>
                <w:noProof/>
                <w:sz w:val="20"/>
                <w:szCs w:val="20"/>
                <w:lang w:val="en-GB"/>
              </w:rPr>
              <w:t>Project Components and Contribution to Climate Resilience</w:t>
            </w:r>
            <w:r w:rsidRPr="00306F4D">
              <w:rPr>
                <w:rFonts w:ascii="Arial" w:hAnsi="Arial" w:cs="Arial"/>
                <w:b w:val="0"/>
                <w:bCs w:val="0"/>
                <w:noProof/>
                <w:webHidden/>
                <w:sz w:val="20"/>
                <w:szCs w:val="20"/>
              </w:rPr>
              <w:tab/>
            </w:r>
            <w:r w:rsidRPr="00306F4D">
              <w:rPr>
                <w:rFonts w:ascii="Arial" w:hAnsi="Arial" w:cs="Arial"/>
                <w:b w:val="0"/>
                <w:bCs w:val="0"/>
                <w:noProof/>
                <w:webHidden/>
                <w:sz w:val="20"/>
                <w:szCs w:val="20"/>
              </w:rPr>
              <w:fldChar w:fldCharType="begin"/>
            </w:r>
            <w:r w:rsidRPr="00306F4D">
              <w:rPr>
                <w:rFonts w:ascii="Arial" w:hAnsi="Arial" w:cs="Arial"/>
                <w:b w:val="0"/>
                <w:bCs w:val="0"/>
                <w:noProof/>
                <w:webHidden/>
                <w:sz w:val="20"/>
                <w:szCs w:val="20"/>
              </w:rPr>
              <w:instrText xml:space="preserve"> PAGEREF _Toc202893737 \h </w:instrText>
            </w:r>
            <w:r w:rsidRPr="00306F4D">
              <w:rPr>
                <w:rFonts w:ascii="Arial" w:hAnsi="Arial" w:cs="Arial"/>
                <w:b w:val="0"/>
                <w:bCs w:val="0"/>
                <w:noProof/>
                <w:webHidden/>
                <w:sz w:val="20"/>
                <w:szCs w:val="20"/>
              </w:rPr>
            </w:r>
            <w:r w:rsidRPr="00306F4D">
              <w:rPr>
                <w:rFonts w:ascii="Arial" w:hAnsi="Arial" w:cs="Arial"/>
                <w:b w:val="0"/>
                <w:bCs w:val="0"/>
                <w:noProof/>
                <w:webHidden/>
                <w:sz w:val="20"/>
                <w:szCs w:val="20"/>
              </w:rPr>
              <w:fldChar w:fldCharType="separate"/>
            </w:r>
            <w:r w:rsidRPr="00306F4D">
              <w:rPr>
                <w:rFonts w:ascii="Arial" w:hAnsi="Arial" w:cs="Arial"/>
                <w:b w:val="0"/>
                <w:bCs w:val="0"/>
                <w:noProof/>
                <w:webHidden/>
                <w:sz w:val="20"/>
                <w:szCs w:val="20"/>
              </w:rPr>
              <w:t>36</w:t>
            </w:r>
            <w:r w:rsidRPr="00306F4D">
              <w:rPr>
                <w:rFonts w:ascii="Arial" w:hAnsi="Arial" w:cs="Arial"/>
                <w:b w:val="0"/>
                <w:bCs w:val="0"/>
                <w:noProof/>
                <w:webHidden/>
                <w:sz w:val="20"/>
                <w:szCs w:val="20"/>
              </w:rPr>
              <w:fldChar w:fldCharType="end"/>
            </w:r>
          </w:hyperlink>
        </w:p>
        <w:p w14:paraId="245E13B5" w14:textId="18D599C9" w:rsidR="00304420" w:rsidRPr="00306F4D" w:rsidRDefault="00304420" w:rsidP="00891BD1">
          <w:pPr>
            <w:pStyle w:val="TOC2"/>
            <w:tabs>
              <w:tab w:val="right" w:leader="dot" w:pos="9962"/>
            </w:tabs>
            <w:spacing w:before="60" w:line="240" w:lineRule="auto"/>
            <w:rPr>
              <w:rFonts w:ascii="Arial" w:eastAsiaTheme="minorEastAsia" w:hAnsi="Arial" w:cs="Arial"/>
              <w:b w:val="0"/>
              <w:bCs w:val="0"/>
              <w:noProof/>
              <w:color w:val="auto"/>
              <w:kern w:val="2"/>
              <w:sz w:val="20"/>
              <w:szCs w:val="20"/>
              <w14:ligatures w14:val="standardContextual"/>
            </w:rPr>
          </w:pPr>
          <w:hyperlink w:anchor="_Toc202893738" w:history="1">
            <w:r w:rsidRPr="00306F4D">
              <w:rPr>
                <w:rStyle w:val="Hyperlink"/>
                <w:rFonts w:ascii="Arial" w:hAnsi="Arial" w:cs="Arial"/>
                <w:b w:val="0"/>
                <w:bCs w:val="0"/>
                <w:noProof/>
                <w:sz w:val="20"/>
                <w:szCs w:val="20"/>
                <w:lang w:val="en-GB"/>
              </w:rPr>
              <w:t>Description of the Project Components</w:t>
            </w:r>
            <w:r w:rsidRPr="00306F4D">
              <w:rPr>
                <w:rFonts w:ascii="Arial" w:hAnsi="Arial" w:cs="Arial"/>
                <w:b w:val="0"/>
                <w:bCs w:val="0"/>
                <w:noProof/>
                <w:webHidden/>
                <w:sz w:val="20"/>
                <w:szCs w:val="20"/>
              </w:rPr>
              <w:tab/>
            </w:r>
            <w:r w:rsidRPr="00306F4D">
              <w:rPr>
                <w:rFonts w:ascii="Arial" w:hAnsi="Arial" w:cs="Arial"/>
                <w:b w:val="0"/>
                <w:bCs w:val="0"/>
                <w:noProof/>
                <w:webHidden/>
                <w:sz w:val="20"/>
                <w:szCs w:val="20"/>
              </w:rPr>
              <w:fldChar w:fldCharType="begin"/>
            </w:r>
            <w:r w:rsidRPr="00306F4D">
              <w:rPr>
                <w:rFonts w:ascii="Arial" w:hAnsi="Arial" w:cs="Arial"/>
                <w:b w:val="0"/>
                <w:bCs w:val="0"/>
                <w:noProof/>
                <w:webHidden/>
                <w:sz w:val="20"/>
                <w:szCs w:val="20"/>
              </w:rPr>
              <w:instrText xml:space="preserve"> PAGEREF _Toc202893738 \h </w:instrText>
            </w:r>
            <w:r w:rsidRPr="00306F4D">
              <w:rPr>
                <w:rFonts w:ascii="Arial" w:hAnsi="Arial" w:cs="Arial"/>
                <w:b w:val="0"/>
                <w:bCs w:val="0"/>
                <w:noProof/>
                <w:webHidden/>
                <w:sz w:val="20"/>
                <w:szCs w:val="20"/>
              </w:rPr>
            </w:r>
            <w:r w:rsidRPr="00306F4D">
              <w:rPr>
                <w:rFonts w:ascii="Arial" w:hAnsi="Arial" w:cs="Arial"/>
                <w:b w:val="0"/>
                <w:bCs w:val="0"/>
                <w:noProof/>
                <w:webHidden/>
                <w:sz w:val="20"/>
                <w:szCs w:val="20"/>
              </w:rPr>
              <w:fldChar w:fldCharType="separate"/>
            </w:r>
            <w:r w:rsidRPr="00306F4D">
              <w:rPr>
                <w:rFonts w:ascii="Arial" w:hAnsi="Arial" w:cs="Arial"/>
                <w:b w:val="0"/>
                <w:bCs w:val="0"/>
                <w:noProof/>
                <w:webHidden/>
                <w:sz w:val="20"/>
                <w:szCs w:val="20"/>
              </w:rPr>
              <w:t>39</w:t>
            </w:r>
            <w:r w:rsidRPr="00306F4D">
              <w:rPr>
                <w:rFonts w:ascii="Arial" w:hAnsi="Arial" w:cs="Arial"/>
                <w:b w:val="0"/>
                <w:bCs w:val="0"/>
                <w:noProof/>
                <w:webHidden/>
                <w:sz w:val="20"/>
                <w:szCs w:val="20"/>
              </w:rPr>
              <w:fldChar w:fldCharType="end"/>
            </w:r>
          </w:hyperlink>
        </w:p>
        <w:p w14:paraId="4826BE20" w14:textId="3172578C" w:rsidR="00304420" w:rsidRPr="00306F4D" w:rsidRDefault="00304420" w:rsidP="00891BD1">
          <w:pPr>
            <w:pStyle w:val="TOC2"/>
            <w:tabs>
              <w:tab w:val="right" w:leader="dot" w:pos="9962"/>
            </w:tabs>
            <w:spacing w:before="60" w:line="240" w:lineRule="auto"/>
            <w:rPr>
              <w:rFonts w:ascii="Arial" w:eastAsiaTheme="minorEastAsia" w:hAnsi="Arial" w:cs="Arial"/>
              <w:b w:val="0"/>
              <w:bCs w:val="0"/>
              <w:noProof/>
              <w:color w:val="auto"/>
              <w:kern w:val="2"/>
              <w:sz w:val="20"/>
              <w:szCs w:val="20"/>
              <w14:ligatures w14:val="standardContextual"/>
            </w:rPr>
          </w:pPr>
          <w:hyperlink w:anchor="_Toc202893739" w:history="1">
            <w:r w:rsidRPr="00306F4D">
              <w:rPr>
                <w:rStyle w:val="Hyperlink"/>
                <w:rFonts w:ascii="Arial" w:eastAsia="Arial" w:hAnsi="Arial" w:cs="Arial"/>
                <w:b w:val="0"/>
                <w:bCs w:val="0"/>
                <w:noProof/>
                <w:sz w:val="20"/>
                <w:szCs w:val="20"/>
                <w:lang w:val="en-GB"/>
              </w:rPr>
              <w:t>Promoting New and Innovative Solutions to Climate Change Adaptation</w:t>
            </w:r>
            <w:r w:rsidRPr="00306F4D">
              <w:rPr>
                <w:rFonts w:ascii="Arial" w:hAnsi="Arial" w:cs="Arial"/>
                <w:b w:val="0"/>
                <w:bCs w:val="0"/>
                <w:noProof/>
                <w:webHidden/>
                <w:sz w:val="20"/>
                <w:szCs w:val="20"/>
              </w:rPr>
              <w:tab/>
            </w:r>
            <w:r w:rsidRPr="00306F4D">
              <w:rPr>
                <w:rFonts w:ascii="Arial" w:hAnsi="Arial" w:cs="Arial"/>
                <w:b w:val="0"/>
                <w:bCs w:val="0"/>
                <w:noProof/>
                <w:webHidden/>
                <w:sz w:val="20"/>
                <w:szCs w:val="20"/>
              </w:rPr>
              <w:fldChar w:fldCharType="begin"/>
            </w:r>
            <w:r w:rsidRPr="00306F4D">
              <w:rPr>
                <w:rFonts w:ascii="Arial" w:hAnsi="Arial" w:cs="Arial"/>
                <w:b w:val="0"/>
                <w:bCs w:val="0"/>
                <w:noProof/>
                <w:webHidden/>
                <w:sz w:val="20"/>
                <w:szCs w:val="20"/>
              </w:rPr>
              <w:instrText xml:space="preserve"> PAGEREF _Toc202893739 \h </w:instrText>
            </w:r>
            <w:r w:rsidRPr="00306F4D">
              <w:rPr>
                <w:rFonts w:ascii="Arial" w:hAnsi="Arial" w:cs="Arial"/>
                <w:b w:val="0"/>
                <w:bCs w:val="0"/>
                <w:noProof/>
                <w:webHidden/>
                <w:sz w:val="20"/>
                <w:szCs w:val="20"/>
              </w:rPr>
            </w:r>
            <w:r w:rsidRPr="00306F4D">
              <w:rPr>
                <w:rFonts w:ascii="Arial" w:hAnsi="Arial" w:cs="Arial"/>
                <w:b w:val="0"/>
                <w:bCs w:val="0"/>
                <w:noProof/>
                <w:webHidden/>
                <w:sz w:val="20"/>
                <w:szCs w:val="20"/>
              </w:rPr>
              <w:fldChar w:fldCharType="separate"/>
            </w:r>
            <w:r w:rsidRPr="00306F4D">
              <w:rPr>
                <w:rFonts w:ascii="Arial" w:hAnsi="Arial" w:cs="Arial"/>
                <w:b w:val="0"/>
                <w:bCs w:val="0"/>
                <w:noProof/>
                <w:webHidden/>
                <w:sz w:val="20"/>
                <w:szCs w:val="20"/>
              </w:rPr>
              <w:t>56</w:t>
            </w:r>
            <w:r w:rsidRPr="00306F4D">
              <w:rPr>
                <w:rFonts w:ascii="Arial" w:hAnsi="Arial" w:cs="Arial"/>
                <w:b w:val="0"/>
                <w:bCs w:val="0"/>
                <w:noProof/>
                <w:webHidden/>
                <w:sz w:val="20"/>
                <w:szCs w:val="20"/>
              </w:rPr>
              <w:fldChar w:fldCharType="end"/>
            </w:r>
          </w:hyperlink>
        </w:p>
        <w:p w14:paraId="1158B462" w14:textId="1E6A200D" w:rsidR="00304420" w:rsidRPr="00306F4D" w:rsidRDefault="00304420" w:rsidP="00891BD1">
          <w:pPr>
            <w:pStyle w:val="TOC2"/>
            <w:tabs>
              <w:tab w:val="right" w:leader="dot" w:pos="9962"/>
            </w:tabs>
            <w:spacing w:before="60" w:line="240" w:lineRule="auto"/>
            <w:rPr>
              <w:rFonts w:ascii="Arial" w:eastAsiaTheme="minorEastAsia" w:hAnsi="Arial" w:cs="Arial"/>
              <w:b w:val="0"/>
              <w:bCs w:val="0"/>
              <w:noProof/>
              <w:color w:val="auto"/>
              <w:kern w:val="2"/>
              <w:sz w:val="20"/>
              <w:szCs w:val="20"/>
              <w14:ligatures w14:val="standardContextual"/>
            </w:rPr>
          </w:pPr>
          <w:hyperlink w:anchor="_Toc202893740" w:history="1">
            <w:r w:rsidRPr="00306F4D">
              <w:rPr>
                <w:rStyle w:val="Hyperlink"/>
                <w:rFonts w:ascii="Arial" w:eastAsia="Arial" w:hAnsi="Arial" w:cs="Arial"/>
                <w:b w:val="0"/>
                <w:bCs w:val="0"/>
                <w:noProof/>
                <w:sz w:val="20"/>
                <w:szCs w:val="20"/>
                <w:lang w:val="en-GB"/>
              </w:rPr>
              <w:t>Scaling Up and Rolling Out Successful Adaptation Innovations</w:t>
            </w:r>
            <w:r w:rsidRPr="00306F4D">
              <w:rPr>
                <w:rFonts w:ascii="Arial" w:hAnsi="Arial" w:cs="Arial"/>
                <w:b w:val="0"/>
                <w:bCs w:val="0"/>
                <w:noProof/>
                <w:webHidden/>
                <w:sz w:val="20"/>
                <w:szCs w:val="20"/>
              </w:rPr>
              <w:tab/>
            </w:r>
            <w:r w:rsidRPr="00306F4D">
              <w:rPr>
                <w:rFonts w:ascii="Arial" w:hAnsi="Arial" w:cs="Arial"/>
                <w:b w:val="0"/>
                <w:bCs w:val="0"/>
                <w:noProof/>
                <w:webHidden/>
                <w:sz w:val="20"/>
                <w:szCs w:val="20"/>
              </w:rPr>
              <w:fldChar w:fldCharType="begin"/>
            </w:r>
            <w:r w:rsidRPr="00306F4D">
              <w:rPr>
                <w:rFonts w:ascii="Arial" w:hAnsi="Arial" w:cs="Arial"/>
                <w:b w:val="0"/>
                <w:bCs w:val="0"/>
                <w:noProof/>
                <w:webHidden/>
                <w:sz w:val="20"/>
                <w:szCs w:val="20"/>
              </w:rPr>
              <w:instrText xml:space="preserve"> PAGEREF _Toc202893740 \h </w:instrText>
            </w:r>
            <w:r w:rsidRPr="00306F4D">
              <w:rPr>
                <w:rFonts w:ascii="Arial" w:hAnsi="Arial" w:cs="Arial"/>
                <w:b w:val="0"/>
                <w:bCs w:val="0"/>
                <w:noProof/>
                <w:webHidden/>
                <w:sz w:val="20"/>
                <w:szCs w:val="20"/>
              </w:rPr>
            </w:r>
            <w:r w:rsidRPr="00306F4D">
              <w:rPr>
                <w:rFonts w:ascii="Arial" w:hAnsi="Arial" w:cs="Arial"/>
                <w:b w:val="0"/>
                <w:bCs w:val="0"/>
                <w:noProof/>
                <w:webHidden/>
                <w:sz w:val="20"/>
                <w:szCs w:val="20"/>
              </w:rPr>
              <w:fldChar w:fldCharType="separate"/>
            </w:r>
            <w:r w:rsidRPr="00306F4D">
              <w:rPr>
                <w:rFonts w:ascii="Arial" w:hAnsi="Arial" w:cs="Arial"/>
                <w:b w:val="0"/>
                <w:bCs w:val="0"/>
                <w:noProof/>
                <w:webHidden/>
                <w:sz w:val="20"/>
                <w:szCs w:val="20"/>
              </w:rPr>
              <w:t>61</w:t>
            </w:r>
            <w:r w:rsidRPr="00306F4D">
              <w:rPr>
                <w:rFonts w:ascii="Arial" w:hAnsi="Arial" w:cs="Arial"/>
                <w:b w:val="0"/>
                <w:bCs w:val="0"/>
                <w:noProof/>
                <w:webHidden/>
                <w:sz w:val="20"/>
                <w:szCs w:val="20"/>
              </w:rPr>
              <w:fldChar w:fldCharType="end"/>
            </w:r>
          </w:hyperlink>
        </w:p>
        <w:p w14:paraId="130CD684" w14:textId="39E382D5" w:rsidR="00304420" w:rsidRPr="00306F4D" w:rsidRDefault="00304420" w:rsidP="00891BD1">
          <w:pPr>
            <w:pStyle w:val="TOC2"/>
            <w:tabs>
              <w:tab w:val="right" w:leader="dot" w:pos="9962"/>
            </w:tabs>
            <w:spacing w:before="60" w:line="240" w:lineRule="auto"/>
            <w:rPr>
              <w:rFonts w:ascii="Arial" w:eastAsiaTheme="minorEastAsia" w:hAnsi="Arial" w:cs="Arial"/>
              <w:b w:val="0"/>
              <w:bCs w:val="0"/>
              <w:noProof/>
              <w:color w:val="auto"/>
              <w:kern w:val="2"/>
              <w:sz w:val="20"/>
              <w:szCs w:val="20"/>
              <w14:ligatures w14:val="standardContextual"/>
            </w:rPr>
          </w:pPr>
          <w:hyperlink w:anchor="_Toc202893741" w:history="1">
            <w:r w:rsidRPr="00306F4D">
              <w:rPr>
                <w:rStyle w:val="Hyperlink"/>
                <w:rFonts w:ascii="Arial" w:eastAsia="Arial" w:hAnsi="Arial" w:cs="Arial"/>
                <w:b w:val="0"/>
                <w:bCs w:val="0"/>
                <w:noProof/>
                <w:sz w:val="20"/>
                <w:szCs w:val="20"/>
                <w:lang w:val="en-GB"/>
              </w:rPr>
              <w:t>Economic, Social, and Environmental Benefits and Safeguards</w:t>
            </w:r>
            <w:r w:rsidRPr="00306F4D">
              <w:rPr>
                <w:rFonts w:ascii="Arial" w:hAnsi="Arial" w:cs="Arial"/>
                <w:b w:val="0"/>
                <w:bCs w:val="0"/>
                <w:noProof/>
                <w:webHidden/>
                <w:sz w:val="20"/>
                <w:szCs w:val="20"/>
              </w:rPr>
              <w:tab/>
            </w:r>
            <w:r w:rsidRPr="00306F4D">
              <w:rPr>
                <w:rFonts w:ascii="Arial" w:hAnsi="Arial" w:cs="Arial"/>
                <w:b w:val="0"/>
                <w:bCs w:val="0"/>
                <w:noProof/>
                <w:webHidden/>
                <w:sz w:val="20"/>
                <w:szCs w:val="20"/>
              </w:rPr>
              <w:fldChar w:fldCharType="begin"/>
            </w:r>
            <w:r w:rsidRPr="00306F4D">
              <w:rPr>
                <w:rFonts w:ascii="Arial" w:hAnsi="Arial" w:cs="Arial"/>
                <w:b w:val="0"/>
                <w:bCs w:val="0"/>
                <w:noProof/>
                <w:webHidden/>
                <w:sz w:val="20"/>
                <w:szCs w:val="20"/>
              </w:rPr>
              <w:instrText xml:space="preserve"> PAGEREF _Toc202893741 \h </w:instrText>
            </w:r>
            <w:r w:rsidRPr="00306F4D">
              <w:rPr>
                <w:rFonts w:ascii="Arial" w:hAnsi="Arial" w:cs="Arial"/>
                <w:b w:val="0"/>
                <w:bCs w:val="0"/>
                <w:noProof/>
                <w:webHidden/>
                <w:sz w:val="20"/>
                <w:szCs w:val="20"/>
              </w:rPr>
            </w:r>
            <w:r w:rsidRPr="00306F4D">
              <w:rPr>
                <w:rFonts w:ascii="Arial" w:hAnsi="Arial" w:cs="Arial"/>
                <w:b w:val="0"/>
                <w:bCs w:val="0"/>
                <w:noProof/>
                <w:webHidden/>
                <w:sz w:val="20"/>
                <w:szCs w:val="20"/>
              </w:rPr>
              <w:fldChar w:fldCharType="separate"/>
            </w:r>
            <w:r w:rsidRPr="00306F4D">
              <w:rPr>
                <w:rFonts w:ascii="Arial" w:hAnsi="Arial" w:cs="Arial"/>
                <w:b w:val="0"/>
                <w:bCs w:val="0"/>
                <w:noProof/>
                <w:webHidden/>
                <w:sz w:val="20"/>
                <w:szCs w:val="20"/>
              </w:rPr>
              <w:t>61</w:t>
            </w:r>
            <w:r w:rsidRPr="00306F4D">
              <w:rPr>
                <w:rFonts w:ascii="Arial" w:hAnsi="Arial" w:cs="Arial"/>
                <w:b w:val="0"/>
                <w:bCs w:val="0"/>
                <w:noProof/>
                <w:webHidden/>
                <w:sz w:val="20"/>
                <w:szCs w:val="20"/>
              </w:rPr>
              <w:fldChar w:fldCharType="end"/>
            </w:r>
          </w:hyperlink>
        </w:p>
        <w:p w14:paraId="6E8E414B" w14:textId="09C446EA" w:rsidR="00304420" w:rsidRPr="00306F4D" w:rsidRDefault="00304420" w:rsidP="00891BD1">
          <w:pPr>
            <w:pStyle w:val="TOC2"/>
            <w:tabs>
              <w:tab w:val="right" w:leader="dot" w:pos="9962"/>
            </w:tabs>
            <w:spacing w:before="60" w:line="240" w:lineRule="auto"/>
            <w:rPr>
              <w:rFonts w:ascii="Arial" w:eastAsiaTheme="minorEastAsia" w:hAnsi="Arial" w:cs="Arial"/>
              <w:b w:val="0"/>
              <w:bCs w:val="0"/>
              <w:noProof/>
              <w:color w:val="auto"/>
              <w:kern w:val="2"/>
              <w:sz w:val="20"/>
              <w:szCs w:val="20"/>
              <w14:ligatures w14:val="standardContextual"/>
            </w:rPr>
          </w:pPr>
          <w:hyperlink w:anchor="_Toc202893742" w:history="1">
            <w:r w:rsidRPr="00306F4D">
              <w:rPr>
                <w:rStyle w:val="Hyperlink"/>
                <w:rFonts w:ascii="Arial" w:eastAsia="Arial" w:hAnsi="Arial" w:cs="Arial"/>
                <w:b w:val="0"/>
                <w:bCs w:val="0"/>
                <w:noProof/>
                <w:sz w:val="20"/>
                <w:szCs w:val="20"/>
                <w:lang w:val="en-GB"/>
              </w:rPr>
              <w:t>Cost-Effectiveness of the Proposed Project and Added Value of the Regional Approach</w:t>
            </w:r>
            <w:r w:rsidRPr="00306F4D">
              <w:rPr>
                <w:rFonts w:ascii="Arial" w:hAnsi="Arial" w:cs="Arial"/>
                <w:b w:val="0"/>
                <w:bCs w:val="0"/>
                <w:noProof/>
                <w:webHidden/>
                <w:sz w:val="20"/>
                <w:szCs w:val="20"/>
              </w:rPr>
              <w:tab/>
            </w:r>
            <w:r w:rsidRPr="00306F4D">
              <w:rPr>
                <w:rFonts w:ascii="Arial" w:hAnsi="Arial" w:cs="Arial"/>
                <w:b w:val="0"/>
                <w:bCs w:val="0"/>
                <w:noProof/>
                <w:webHidden/>
                <w:sz w:val="20"/>
                <w:szCs w:val="20"/>
              </w:rPr>
              <w:fldChar w:fldCharType="begin"/>
            </w:r>
            <w:r w:rsidRPr="00306F4D">
              <w:rPr>
                <w:rFonts w:ascii="Arial" w:hAnsi="Arial" w:cs="Arial"/>
                <w:b w:val="0"/>
                <w:bCs w:val="0"/>
                <w:noProof/>
                <w:webHidden/>
                <w:sz w:val="20"/>
                <w:szCs w:val="20"/>
              </w:rPr>
              <w:instrText xml:space="preserve"> PAGEREF _Toc202893742 \h </w:instrText>
            </w:r>
            <w:r w:rsidRPr="00306F4D">
              <w:rPr>
                <w:rFonts w:ascii="Arial" w:hAnsi="Arial" w:cs="Arial"/>
                <w:b w:val="0"/>
                <w:bCs w:val="0"/>
                <w:noProof/>
                <w:webHidden/>
                <w:sz w:val="20"/>
                <w:szCs w:val="20"/>
              </w:rPr>
            </w:r>
            <w:r w:rsidRPr="00306F4D">
              <w:rPr>
                <w:rFonts w:ascii="Arial" w:hAnsi="Arial" w:cs="Arial"/>
                <w:b w:val="0"/>
                <w:bCs w:val="0"/>
                <w:noProof/>
                <w:webHidden/>
                <w:sz w:val="20"/>
                <w:szCs w:val="20"/>
              </w:rPr>
              <w:fldChar w:fldCharType="separate"/>
            </w:r>
            <w:r w:rsidRPr="00306F4D">
              <w:rPr>
                <w:rFonts w:ascii="Arial" w:hAnsi="Arial" w:cs="Arial"/>
                <w:b w:val="0"/>
                <w:bCs w:val="0"/>
                <w:noProof/>
                <w:webHidden/>
                <w:sz w:val="20"/>
                <w:szCs w:val="20"/>
              </w:rPr>
              <w:t>63</w:t>
            </w:r>
            <w:r w:rsidRPr="00306F4D">
              <w:rPr>
                <w:rFonts w:ascii="Arial" w:hAnsi="Arial" w:cs="Arial"/>
                <w:b w:val="0"/>
                <w:bCs w:val="0"/>
                <w:noProof/>
                <w:webHidden/>
                <w:sz w:val="20"/>
                <w:szCs w:val="20"/>
              </w:rPr>
              <w:fldChar w:fldCharType="end"/>
            </w:r>
          </w:hyperlink>
        </w:p>
        <w:p w14:paraId="626BD50D" w14:textId="5F0FD414" w:rsidR="00304420" w:rsidRPr="00306F4D" w:rsidRDefault="00304420" w:rsidP="00891BD1">
          <w:pPr>
            <w:pStyle w:val="TOC2"/>
            <w:tabs>
              <w:tab w:val="right" w:leader="dot" w:pos="9962"/>
            </w:tabs>
            <w:spacing w:before="60" w:line="240" w:lineRule="auto"/>
            <w:rPr>
              <w:rFonts w:ascii="Arial" w:eastAsiaTheme="minorEastAsia" w:hAnsi="Arial" w:cs="Arial"/>
              <w:b w:val="0"/>
              <w:bCs w:val="0"/>
              <w:noProof/>
              <w:color w:val="auto"/>
              <w:kern w:val="2"/>
              <w:sz w:val="20"/>
              <w:szCs w:val="20"/>
              <w14:ligatures w14:val="standardContextual"/>
            </w:rPr>
          </w:pPr>
          <w:hyperlink w:anchor="_Toc202893743" w:history="1">
            <w:r w:rsidRPr="00306F4D">
              <w:rPr>
                <w:rStyle w:val="Hyperlink"/>
                <w:rFonts w:ascii="Arial" w:eastAsia="Arial" w:hAnsi="Arial" w:cs="Arial"/>
                <w:b w:val="0"/>
                <w:bCs w:val="0"/>
                <w:noProof/>
                <w:sz w:val="20"/>
                <w:szCs w:val="20"/>
                <w:lang w:val="en-GB"/>
              </w:rPr>
              <w:t>Alignment with National, Sub-National and Regional Adaptation and Development Strategies</w:t>
            </w:r>
            <w:r w:rsidRPr="00306F4D">
              <w:rPr>
                <w:rFonts w:ascii="Arial" w:hAnsi="Arial" w:cs="Arial"/>
                <w:b w:val="0"/>
                <w:bCs w:val="0"/>
                <w:noProof/>
                <w:webHidden/>
                <w:sz w:val="20"/>
                <w:szCs w:val="20"/>
              </w:rPr>
              <w:tab/>
            </w:r>
            <w:r w:rsidRPr="00306F4D">
              <w:rPr>
                <w:rFonts w:ascii="Arial" w:hAnsi="Arial" w:cs="Arial"/>
                <w:b w:val="0"/>
                <w:bCs w:val="0"/>
                <w:noProof/>
                <w:webHidden/>
                <w:sz w:val="20"/>
                <w:szCs w:val="20"/>
              </w:rPr>
              <w:fldChar w:fldCharType="begin"/>
            </w:r>
            <w:r w:rsidRPr="00306F4D">
              <w:rPr>
                <w:rFonts w:ascii="Arial" w:hAnsi="Arial" w:cs="Arial"/>
                <w:b w:val="0"/>
                <w:bCs w:val="0"/>
                <w:noProof/>
                <w:webHidden/>
                <w:sz w:val="20"/>
                <w:szCs w:val="20"/>
              </w:rPr>
              <w:instrText xml:space="preserve"> PAGEREF _Toc202893743 \h </w:instrText>
            </w:r>
            <w:r w:rsidRPr="00306F4D">
              <w:rPr>
                <w:rFonts w:ascii="Arial" w:hAnsi="Arial" w:cs="Arial"/>
                <w:b w:val="0"/>
                <w:bCs w:val="0"/>
                <w:noProof/>
                <w:webHidden/>
                <w:sz w:val="20"/>
                <w:szCs w:val="20"/>
              </w:rPr>
            </w:r>
            <w:r w:rsidRPr="00306F4D">
              <w:rPr>
                <w:rFonts w:ascii="Arial" w:hAnsi="Arial" w:cs="Arial"/>
                <w:b w:val="0"/>
                <w:bCs w:val="0"/>
                <w:noProof/>
                <w:webHidden/>
                <w:sz w:val="20"/>
                <w:szCs w:val="20"/>
              </w:rPr>
              <w:fldChar w:fldCharType="separate"/>
            </w:r>
            <w:r w:rsidRPr="00306F4D">
              <w:rPr>
                <w:rFonts w:ascii="Arial" w:hAnsi="Arial" w:cs="Arial"/>
                <w:b w:val="0"/>
                <w:bCs w:val="0"/>
                <w:noProof/>
                <w:webHidden/>
                <w:sz w:val="20"/>
                <w:szCs w:val="20"/>
              </w:rPr>
              <w:t>65</w:t>
            </w:r>
            <w:r w:rsidRPr="00306F4D">
              <w:rPr>
                <w:rFonts w:ascii="Arial" w:hAnsi="Arial" w:cs="Arial"/>
                <w:b w:val="0"/>
                <w:bCs w:val="0"/>
                <w:noProof/>
                <w:webHidden/>
                <w:sz w:val="20"/>
                <w:szCs w:val="20"/>
              </w:rPr>
              <w:fldChar w:fldCharType="end"/>
            </w:r>
          </w:hyperlink>
        </w:p>
        <w:p w14:paraId="5DD948D6" w14:textId="4D77F2C0" w:rsidR="00304420" w:rsidRPr="00306F4D" w:rsidRDefault="00304420" w:rsidP="00891BD1">
          <w:pPr>
            <w:pStyle w:val="TOC2"/>
            <w:tabs>
              <w:tab w:val="right" w:leader="dot" w:pos="9962"/>
            </w:tabs>
            <w:spacing w:before="60" w:line="240" w:lineRule="auto"/>
            <w:rPr>
              <w:rFonts w:ascii="Arial" w:eastAsiaTheme="minorEastAsia" w:hAnsi="Arial" w:cs="Arial"/>
              <w:b w:val="0"/>
              <w:bCs w:val="0"/>
              <w:noProof/>
              <w:color w:val="auto"/>
              <w:kern w:val="2"/>
              <w:sz w:val="20"/>
              <w:szCs w:val="20"/>
              <w14:ligatures w14:val="standardContextual"/>
            </w:rPr>
          </w:pPr>
          <w:hyperlink w:anchor="_Toc202893744" w:history="1">
            <w:r w:rsidRPr="00306F4D">
              <w:rPr>
                <w:rStyle w:val="Hyperlink"/>
                <w:rFonts w:ascii="Arial" w:eastAsia="Arial" w:hAnsi="Arial" w:cs="Arial"/>
                <w:b w:val="0"/>
                <w:bCs w:val="0"/>
                <w:noProof/>
                <w:sz w:val="20"/>
                <w:szCs w:val="20"/>
                <w:lang w:val="en-GB"/>
              </w:rPr>
              <w:t>Compliance with National Technical Standards and the Adaptation Fund’s Environmental and Social Policy</w:t>
            </w:r>
            <w:r w:rsidRPr="00306F4D">
              <w:rPr>
                <w:rFonts w:ascii="Arial" w:hAnsi="Arial" w:cs="Arial"/>
                <w:b w:val="0"/>
                <w:bCs w:val="0"/>
                <w:noProof/>
                <w:webHidden/>
                <w:sz w:val="20"/>
                <w:szCs w:val="20"/>
              </w:rPr>
              <w:tab/>
            </w:r>
            <w:r w:rsidRPr="00306F4D">
              <w:rPr>
                <w:rFonts w:ascii="Arial" w:hAnsi="Arial" w:cs="Arial"/>
                <w:b w:val="0"/>
                <w:bCs w:val="0"/>
                <w:noProof/>
                <w:webHidden/>
                <w:sz w:val="20"/>
                <w:szCs w:val="20"/>
              </w:rPr>
              <w:fldChar w:fldCharType="begin"/>
            </w:r>
            <w:r w:rsidRPr="00306F4D">
              <w:rPr>
                <w:rFonts w:ascii="Arial" w:hAnsi="Arial" w:cs="Arial"/>
                <w:b w:val="0"/>
                <w:bCs w:val="0"/>
                <w:noProof/>
                <w:webHidden/>
                <w:sz w:val="20"/>
                <w:szCs w:val="20"/>
              </w:rPr>
              <w:instrText xml:space="preserve"> PAGEREF _Toc202893744 \h </w:instrText>
            </w:r>
            <w:r w:rsidRPr="00306F4D">
              <w:rPr>
                <w:rFonts w:ascii="Arial" w:hAnsi="Arial" w:cs="Arial"/>
                <w:b w:val="0"/>
                <w:bCs w:val="0"/>
                <w:noProof/>
                <w:webHidden/>
                <w:sz w:val="20"/>
                <w:szCs w:val="20"/>
              </w:rPr>
            </w:r>
            <w:r w:rsidRPr="00306F4D">
              <w:rPr>
                <w:rFonts w:ascii="Arial" w:hAnsi="Arial" w:cs="Arial"/>
                <w:b w:val="0"/>
                <w:bCs w:val="0"/>
                <w:noProof/>
                <w:webHidden/>
                <w:sz w:val="20"/>
                <w:szCs w:val="20"/>
              </w:rPr>
              <w:fldChar w:fldCharType="separate"/>
            </w:r>
            <w:r w:rsidRPr="00306F4D">
              <w:rPr>
                <w:rFonts w:ascii="Arial" w:hAnsi="Arial" w:cs="Arial"/>
                <w:b w:val="0"/>
                <w:bCs w:val="0"/>
                <w:noProof/>
                <w:webHidden/>
                <w:sz w:val="20"/>
                <w:szCs w:val="20"/>
              </w:rPr>
              <w:t>67</w:t>
            </w:r>
            <w:r w:rsidRPr="00306F4D">
              <w:rPr>
                <w:rFonts w:ascii="Arial" w:hAnsi="Arial" w:cs="Arial"/>
                <w:b w:val="0"/>
                <w:bCs w:val="0"/>
                <w:noProof/>
                <w:webHidden/>
                <w:sz w:val="20"/>
                <w:szCs w:val="20"/>
              </w:rPr>
              <w:fldChar w:fldCharType="end"/>
            </w:r>
          </w:hyperlink>
        </w:p>
        <w:p w14:paraId="73CC0FE8" w14:textId="15CFF63D" w:rsidR="00304420" w:rsidRPr="00306F4D" w:rsidRDefault="00304420" w:rsidP="00891BD1">
          <w:pPr>
            <w:pStyle w:val="TOC2"/>
            <w:tabs>
              <w:tab w:val="right" w:leader="dot" w:pos="9962"/>
            </w:tabs>
            <w:spacing w:before="60" w:line="240" w:lineRule="auto"/>
            <w:rPr>
              <w:rFonts w:ascii="Arial" w:eastAsiaTheme="minorEastAsia" w:hAnsi="Arial" w:cs="Arial"/>
              <w:b w:val="0"/>
              <w:bCs w:val="0"/>
              <w:noProof/>
              <w:color w:val="auto"/>
              <w:kern w:val="2"/>
              <w:sz w:val="20"/>
              <w:szCs w:val="20"/>
              <w14:ligatures w14:val="standardContextual"/>
            </w:rPr>
          </w:pPr>
          <w:hyperlink w:anchor="_Toc202893745" w:history="1">
            <w:r w:rsidRPr="00306F4D">
              <w:rPr>
                <w:rStyle w:val="Hyperlink"/>
                <w:rFonts w:ascii="Arial" w:eastAsia="Arial" w:hAnsi="Arial" w:cs="Arial"/>
                <w:b w:val="0"/>
                <w:bCs w:val="0"/>
                <w:noProof/>
                <w:sz w:val="20"/>
                <w:szCs w:val="20"/>
                <w:lang w:val="en-GB"/>
              </w:rPr>
              <w:t>Maximizing Synergy: Enhancing Regional Climate Resilience through Complementary Adaptation Initiatives</w:t>
            </w:r>
            <w:r w:rsidRPr="00306F4D">
              <w:rPr>
                <w:rFonts w:ascii="Arial" w:hAnsi="Arial" w:cs="Arial"/>
                <w:b w:val="0"/>
                <w:bCs w:val="0"/>
                <w:noProof/>
                <w:webHidden/>
                <w:sz w:val="20"/>
                <w:szCs w:val="20"/>
              </w:rPr>
              <w:tab/>
            </w:r>
            <w:r w:rsidRPr="00306F4D">
              <w:rPr>
                <w:rFonts w:ascii="Arial" w:hAnsi="Arial" w:cs="Arial"/>
                <w:b w:val="0"/>
                <w:bCs w:val="0"/>
                <w:noProof/>
                <w:webHidden/>
                <w:sz w:val="20"/>
                <w:szCs w:val="20"/>
              </w:rPr>
              <w:fldChar w:fldCharType="begin"/>
            </w:r>
            <w:r w:rsidRPr="00306F4D">
              <w:rPr>
                <w:rFonts w:ascii="Arial" w:hAnsi="Arial" w:cs="Arial"/>
                <w:b w:val="0"/>
                <w:bCs w:val="0"/>
                <w:noProof/>
                <w:webHidden/>
                <w:sz w:val="20"/>
                <w:szCs w:val="20"/>
              </w:rPr>
              <w:instrText xml:space="preserve"> PAGEREF _Toc202893745 \h </w:instrText>
            </w:r>
            <w:r w:rsidRPr="00306F4D">
              <w:rPr>
                <w:rFonts w:ascii="Arial" w:hAnsi="Arial" w:cs="Arial"/>
                <w:b w:val="0"/>
                <w:bCs w:val="0"/>
                <w:noProof/>
                <w:webHidden/>
                <w:sz w:val="20"/>
                <w:szCs w:val="20"/>
              </w:rPr>
            </w:r>
            <w:r w:rsidRPr="00306F4D">
              <w:rPr>
                <w:rFonts w:ascii="Arial" w:hAnsi="Arial" w:cs="Arial"/>
                <w:b w:val="0"/>
                <w:bCs w:val="0"/>
                <w:noProof/>
                <w:webHidden/>
                <w:sz w:val="20"/>
                <w:szCs w:val="20"/>
              </w:rPr>
              <w:fldChar w:fldCharType="separate"/>
            </w:r>
            <w:r w:rsidRPr="00306F4D">
              <w:rPr>
                <w:rFonts w:ascii="Arial" w:hAnsi="Arial" w:cs="Arial"/>
                <w:b w:val="0"/>
                <w:bCs w:val="0"/>
                <w:noProof/>
                <w:webHidden/>
                <w:sz w:val="20"/>
                <w:szCs w:val="20"/>
              </w:rPr>
              <w:t>68</w:t>
            </w:r>
            <w:r w:rsidRPr="00306F4D">
              <w:rPr>
                <w:rFonts w:ascii="Arial" w:hAnsi="Arial" w:cs="Arial"/>
                <w:b w:val="0"/>
                <w:bCs w:val="0"/>
                <w:noProof/>
                <w:webHidden/>
                <w:sz w:val="20"/>
                <w:szCs w:val="20"/>
              </w:rPr>
              <w:fldChar w:fldCharType="end"/>
            </w:r>
          </w:hyperlink>
        </w:p>
        <w:p w14:paraId="768B3322" w14:textId="62660593" w:rsidR="00304420" w:rsidRPr="00306F4D" w:rsidRDefault="00304420" w:rsidP="00891BD1">
          <w:pPr>
            <w:pStyle w:val="TOC2"/>
            <w:tabs>
              <w:tab w:val="right" w:leader="dot" w:pos="9962"/>
            </w:tabs>
            <w:spacing w:before="60" w:line="240" w:lineRule="auto"/>
            <w:rPr>
              <w:rFonts w:ascii="Arial" w:eastAsiaTheme="minorEastAsia" w:hAnsi="Arial" w:cs="Arial"/>
              <w:b w:val="0"/>
              <w:bCs w:val="0"/>
              <w:noProof/>
              <w:color w:val="auto"/>
              <w:kern w:val="2"/>
              <w:sz w:val="20"/>
              <w:szCs w:val="20"/>
              <w14:ligatures w14:val="standardContextual"/>
            </w:rPr>
          </w:pPr>
          <w:hyperlink w:anchor="_Toc202893746" w:history="1">
            <w:r w:rsidRPr="00306F4D">
              <w:rPr>
                <w:rStyle w:val="Hyperlink"/>
                <w:rFonts w:ascii="Arial" w:eastAsia="Arial" w:hAnsi="Arial" w:cs="Arial"/>
                <w:b w:val="0"/>
                <w:bCs w:val="0"/>
                <w:noProof/>
                <w:sz w:val="20"/>
                <w:szCs w:val="20"/>
                <w:lang w:val="en-GB"/>
              </w:rPr>
              <w:t>Learning and Knowledge Management Component</w:t>
            </w:r>
            <w:r w:rsidRPr="00306F4D">
              <w:rPr>
                <w:rFonts w:ascii="Arial" w:hAnsi="Arial" w:cs="Arial"/>
                <w:b w:val="0"/>
                <w:bCs w:val="0"/>
                <w:noProof/>
                <w:webHidden/>
                <w:sz w:val="20"/>
                <w:szCs w:val="20"/>
              </w:rPr>
              <w:tab/>
            </w:r>
            <w:r w:rsidRPr="00306F4D">
              <w:rPr>
                <w:rFonts w:ascii="Arial" w:hAnsi="Arial" w:cs="Arial"/>
                <w:b w:val="0"/>
                <w:bCs w:val="0"/>
                <w:noProof/>
                <w:webHidden/>
                <w:sz w:val="20"/>
                <w:szCs w:val="20"/>
              </w:rPr>
              <w:fldChar w:fldCharType="begin"/>
            </w:r>
            <w:r w:rsidRPr="00306F4D">
              <w:rPr>
                <w:rFonts w:ascii="Arial" w:hAnsi="Arial" w:cs="Arial"/>
                <w:b w:val="0"/>
                <w:bCs w:val="0"/>
                <w:noProof/>
                <w:webHidden/>
                <w:sz w:val="20"/>
                <w:szCs w:val="20"/>
              </w:rPr>
              <w:instrText xml:space="preserve"> PAGEREF _Toc202893746 \h </w:instrText>
            </w:r>
            <w:r w:rsidRPr="00306F4D">
              <w:rPr>
                <w:rFonts w:ascii="Arial" w:hAnsi="Arial" w:cs="Arial"/>
                <w:b w:val="0"/>
                <w:bCs w:val="0"/>
                <w:noProof/>
                <w:webHidden/>
                <w:sz w:val="20"/>
                <w:szCs w:val="20"/>
              </w:rPr>
            </w:r>
            <w:r w:rsidRPr="00306F4D">
              <w:rPr>
                <w:rFonts w:ascii="Arial" w:hAnsi="Arial" w:cs="Arial"/>
                <w:b w:val="0"/>
                <w:bCs w:val="0"/>
                <w:noProof/>
                <w:webHidden/>
                <w:sz w:val="20"/>
                <w:szCs w:val="20"/>
              </w:rPr>
              <w:fldChar w:fldCharType="separate"/>
            </w:r>
            <w:r w:rsidRPr="00306F4D">
              <w:rPr>
                <w:rFonts w:ascii="Arial" w:hAnsi="Arial" w:cs="Arial"/>
                <w:b w:val="0"/>
                <w:bCs w:val="0"/>
                <w:noProof/>
                <w:webHidden/>
                <w:sz w:val="20"/>
                <w:szCs w:val="20"/>
              </w:rPr>
              <w:t>70</w:t>
            </w:r>
            <w:r w:rsidRPr="00306F4D">
              <w:rPr>
                <w:rFonts w:ascii="Arial" w:hAnsi="Arial" w:cs="Arial"/>
                <w:b w:val="0"/>
                <w:bCs w:val="0"/>
                <w:noProof/>
                <w:webHidden/>
                <w:sz w:val="20"/>
                <w:szCs w:val="20"/>
              </w:rPr>
              <w:fldChar w:fldCharType="end"/>
            </w:r>
          </w:hyperlink>
        </w:p>
        <w:p w14:paraId="5535A94B" w14:textId="770ED6DC" w:rsidR="00304420" w:rsidRPr="00306F4D" w:rsidRDefault="00304420" w:rsidP="00891BD1">
          <w:pPr>
            <w:pStyle w:val="TOC2"/>
            <w:tabs>
              <w:tab w:val="right" w:leader="dot" w:pos="9962"/>
            </w:tabs>
            <w:spacing w:before="60" w:line="240" w:lineRule="auto"/>
            <w:rPr>
              <w:rFonts w:ascii="Arial" w:eastAsiaTheme="minorEastAsia" w:hAnsi="Arial" w:cs="Arial"/>
              <w:b w:val="0"/>
              <w:bCs w:val="0"/>
              <w:noProof/>
              <w:color w:val="auto"/>
              <w:kern w:val="2"/>
              <w:sz w:val="20"/>
              <w:szCs w:val="20"/>
              <w14:ligatures w14:val="standardContextual"/>
            </w:rPr>
          </w:pPr>
          <w:hyperlink w:anchor="_Toc202893747" w:history="1">
            <w:r w:rsidRPr="00306F4D">
              <w:rPr>
                <w:rStyle w:val="Hyperlink"/>
                <w:rFonts w:ascii="Arial" w:eastAsia="Arial" w:hAnsi="Arial" w:cs="Arial"/>
                <w:b w:val="0"/>
                <w:bCs w:val="0"/>
                <w:noProof/>
                <w:sz w:val="20"/>
                <w:szCs w:val="20"/>
                <w:lang w:val="en-GB"/>
              </w:rPr>
              <w:t>Consultative Process and Stakeholder Engagement Approach</w:t>
            </w:r>
            <w:r w:rsidRPr="00306F4D">
              <w:rPr>
                <w:rFonts w:ascii="Arial" w:hAnsi="Arial" w:cs="Arial"/>
                <w:b w:val="0"/>
                <w:bCs w:val="0"/>
                <w:noProof/>
                <w:webHidden/>
                <w:sz w:val="20"/>
                <w:szCs w:val="20"/>
              </w:rPr>
              <w:tab/>
            </w:r>
            <w:r w:rsidRPr="00306F4D">
              <w:rPr>
                <w:rFonts w:ascii="Arial" w:hAnsi="Arial" w:cs="Arial"/>
                <w:b w:val="0"/>
                <w:bCs w:val="0"/>
                <w:noProof/>
                <w:webHidden/>
                <w:sz w:val="20"/>
                <w:szCs w:val="20"/>
              </w:rPr>
              <w:fldChar w:fldCharType="begin"/>
            </w:r>
            <w:r w:rsidRPr="00306F4D">
              <w:rPr>
                <w:rFonts w:ascii="Arial" w:hAnsi="Arial" w:cs="Arial"/>
                <w:b w:val="0"/>
                <w:bCs w:val="0"/>
                <w:noProof/>
                <w:webHidden/>
                <w:sz w:val="20"/>
                <w:szCs w:val="20"/>
              </w:rPr>
              <w:instrText xml:space="preserve"> PAGEREF _Toc202893747 \h </w:instrText>
            </w:r>
            <w:r w:rsidRPr="00306F4D">
              <w:rPr>
                <w:rFonts w:ascii="Arial" w:hAnsi="Arial" w:cs="Arial"/>
                <w:b w:val="0"/>
                <w:bCs w:val="0"/>
                <w:noProof/>
                <w:webHidden/>
                <w:sz w:val="20"/>
                <w:szCs w:val="20"/>
              </w:rPr>
            </w:r>
            <w:r w:rsidRPr="00306F4D">
              <w:rPr>
                <w:rFonts w:ascii="Arial" w:hAnsi="Arial" w:cs="Arial"/>
                <w:b w:val="0"/>
                <w:bCs w:val="0"/>
                <w:noProof/>
                <w:webHidden/>
                <w:sz w:val="20"/>
                <w:szCs w:val="20"/>
              </w:rPr>
              <w:fldChar w:fldCharType="separate"/>
            </w:r>
            <w:r w:rsidRPr="00306F4D">
              <w:rPr>
                <w:rFonts w:ascii="Arial" w:hAnsi="Arial" w:cs="Arial"/>
                <w:b w:val="0"/>
                <w:bCs w:val="0"/>
                <w:noProof/>
                <w:webHidden/>
                <w:sz w:val="20"/>
                <w:szCs w:val="20"/>
              </w:rPr>
              <w:t>72</w:t>
            </w:r>
            <w:r w:rsidRPr="00306F4D">
              <w:rPr>
                <w:rFonts w:ascii="Arial" w:hAnsi="Arial" w:cs="Arial"/>
                <w:b w:val="0"/>
                <w:bCs w:val="0"/>
                <w:noProof/>
                <w:webHidden/>
                <w:sz w:val="20"/>
                <w:szCs w:val="20"/>
              </w:rPr>
              <w:fldChar w:fldCharType="end"/>
            </w:r>
          </w:hyperlink>
        </w:p>
        <w:p w14:paraId="06AC8B86" w14:textId="6455D119" w:rsidR="00304420" w:rsidRPr="00306F4D" w:rsidRDefault="00304420" w:rsidP="00891BD1">
          <w:pPr>
            <w:pStyle w:val="TOC2"/>
            <w:tabs>
              <w:tab w:val="right" w:leader="dot" w:pos="9962"/>
            </w:tabs>
            <w:spacing w:before="60" w:line="240" w:lineRule="auto"/>
            <w:rPr>
              <w:rFonts w:ascii="Arial" w:eastAsiaTheme="minorEastAsia" w:hAnsi="Arial" w:cs="Arial"/>
              <w:b w:val="0"/>
              <w:bCs w:val="0"/>
              <w:noProof/>
              <w:color w:val="auto"/>
              <w:kern w:val="2"/>
              <w:sz w:val="20"/>
              <w:szCs w:val="20"/>
              <w14:ligatures w14:val="standardContextual"/>
            </w:rPr>
          </w:pPr>
          <w:hyperlink w:anchor="_Toc202893748" w:history="1">
            <w:r w:rsidRPr="00306F4D">
              <w:rPr>
                <w:rStyle w:val="Hyperlink"/>
                <w:rFonts w:ascii="Arial" w:eastAsia="Arial" w:hAnsi="Arial" w:cs="Arial"/>
                <w:b w:val="0"/>
                <w:bCs w:val="0"/>
                <w:noProof/>
                <w:sz w:val="20"/>
                <w:szCs w:val="20"/>
                <w:lang w:val="en-GB"/>
              </w:rPr>
              <w:t>Incorporating Diverse Perspectives on Innovation from Different Stakeholders</w:t>
            </w:r>
            <w:r w:rsidRPr="00306F4D">
              <w:rPr>
                <w:rFonts w:ascii="Arial" w:hAnsi="Arial" w:cs="Arial"/>
                <w:b w:val="0"/>
                <w:bCs w:val="0"/>
                <w:noProof/>
                <w:webHidden/>
                <w:sz w:val="20"/>
                <w:szCs w:val="20"/>
              </w:rPr>
              <w:tab/>
            </w:r>
            <w:r w:rsidRPr="00306F4D">
              <w:rPr>
                <w:rFonts w:ascii="Arial" w:hAnsi="Arial" w:cs="Arial"/>
                <w:b w:val="0"/>
                <w:bCs w:val="0"/>
                <w:noProof/>
                <w:webHidden/>
                <w:sz w:val="20"/>
                <w:szCs w:val="20"/>
              </w:rPr>
              <w:fldChar w:fldCharType="begin"/>
            </w:r>
            <w:r w:rsidRPr="00306F4D">
              <w:rPr>
                <w:rFonts w:ascii="Arial" w:hAnsi="Arial" w:cs="Arial"/>
                <w:b w:val="0"/>
                <w:bCs w:val="0"/>
                <w:noProof/>
                <w:webHidden/>
                <w:sz w:val="20"/>
                <w:szCs w:val="20"/>
              </w:rPr>
              <w:instrText xml:space="preserve"> PAGEREF _Toc202893748 \h </w:instrText>
            </w:r>
            <w:r w:rsidRPr="00306F4D">
              <w:rPr>
                <w:rFonts w:ascii="Arial" w:hAnsi="Arial" w:cs="Arial"/>
                <w:b w:val="0"/>
                <w:bCs w:val="0"/>
                <w:noProof/>
                <w:webHidden/>
                <w:sz w:val="20"/>
                <w:szCs w:val="20"/>
              </w:rPr>
            </w:r>
            <w:r w:rsidRPr="00306F4D">
              <w:rPr>
                <w:rFonts w:ascii="Arial" w:hAnsi="Arial" w:cs="Arial"/>
                <w:b w:val="0"/>
                <w:bCs w:val="0"/>
                <w:noProof/>
                <w:webHidden/>
                <w:sz w:val="20"/>
                <w:szCs w:val="20"/>
              </w:rPr>
              <w:fldChar w:fldCharType="separate"/>
            </w:r>
            <w:r w:rsidRPr="00306F4D">
              <w:rPr>
                <w:rFonts w:ascii="Arial" w:hAnsi="Arial" w:cs="Arial"/>
                <w:b w:val="0"/>
                <w:bCs w:val="0"/>
                <w:noProof/>
                <w:webHidden/>
                <w:sz w:val="20"/>
                <w:szCs w:val="20"/>
              </w:rPr>
              <w:t>75</w:t>
            </w:r>
            <w:r w:rsidRPr="00306F4D">
              <w:rPr>
                <w:rFonts w:ascii="Arial" w:hAnsi="Arial" w:cs="Arial"/>
                <w:b w:val="0"/>
                <w:bCs w:val="0"/>
                <w:noProof/>
                <w:webHidden/>
                <w:sz w:val="20"/>
                <w:szCs w:val="20"/>
              </w:rPr>
              <w:fldChar w:fldCharType="end"/>
            </w:r>
          </w:hyperlink>
        </w:p>
        <w:p w14:paraId="24714F06" w14:textId="79B4920C" w:rsidR="00304420" w:rsidRPr="00306F4D" w:rsidRDefault="00304420" w:rsidP="00891BD1">
          <w:pPr>
            <w:pStyle w:val="TOC2"/>
            <w:tabs>
              <w:tab w:val="right" w:leader="dot" w:pos="9962"/>
            </w:tabs>
            <w:spacing w:before="60" w:line="240" w:lineRule="auto"/>
            <w:rPr>
              <w:rFonts w:ascii="Arial" w:eastAsiaTheme="minorEastAsia" w:hAnsi="Arial" w:cs="Arial"/>
              <w:b w:val="0"/>
              <w:bCs w:val="0"/>
              <w:noProof/>
              <w:color w:val="auto"/>
              <w:kern w:val="2"/>
              <w:sz w:val="20"/>
              <w:szCs w:val="20"/>
              <w14:ligatures w14:val="standardContextual"/>
            </w:rPr>
          </w:pPr>
          <w:hyperlink w:anchor="_Toc202893749" w:history="1">
            <w:r w:rsidRPr="00306F4D">
              <w:rPr>
                <w:rStyle w:val="Hyperlink"/>
                <w:rFonts w:ascii="Arial" w:eastAsia="Arial" w:hAnsi="Arial" w:cs="Arial"/>
                <w:b w:val="0"/>
                <w:bCs w:val="0"/>
                <w:noProof/>
                <w:sz w:val="20"/>
                <w:szCs w:val="20"/>
                <w:lang w:val="en-GB"/>
              </w:rPr>
              <w:t>Justification for Funding Requested: Addressing the Full Cost of Climate Adaptation in the Western Balkans</w:t>
            </w:r>
            <w:r w:rsidRPr="00306F4D">
              <w:rPr>
                <w:rFonts w:ascii="Arial" w:hAnsi="Arial" w:cs="Arial"/>
                <w:b w:val="0"/>
                <w:bCs w:val="0"/>
                <w:noProof/>
                <w:webHidden/>
                <w:sz w:val="20"/>
                <w:szCs w:val="20"/>
              </w:rPr>
              <w:tab/>
            </w:r>
            <w:r w:rsidRPr="00306F4D">
              <w:rPr>
                <w:rFonts w:ascii="Arial" w:hAnsi="Arial" w:cs="Arial"/>
                <w:b w:val="0"/>
                <w:bCs w:val="0"/>
                <w:noProof/>
                <w:webHidden/>
                <w:sz w:val="20"/>
                <w:szCs w:val="20"/>
              </w:rPr>
              <w:fldChar w:fldCharType="begin"/>
            </w:r>
            <w:r w:rsidRPr="00306F4D">
              <w:rPr>
                <w:rFonts w:ascii="Arial" w:hAnsi="Arial" w:cs="Arial"/>
                <w:b w:val="0"/>
                <w:bCs w:val="0"/>
                <w:noProof/>
                <w:webHidden/>
                <w:sz w:val="20"/>
                <w:szCs w:val="20"/>
              </w:rPr>
              <w:instrText xml:space="preserve"> PAGEREF _Toc202893749 \h </w:instrText>
            </w:r>
            <w:r w:rsidRPr="00306F4D">
              <w:rPr>
                <w:rFonts w:ascii="Arial" w:hAnsi="Arial" w:cs="Arial"/>
                <w:b w:val="0"/>
                <w:bCs w:val="0"/>
                <w:noProof/>
                <w:webHidden/>
                <w:sz w:val="20"/>
                <w:szCs w:val="20"/>
              </w:rPr>
            </w:r>
            <w:r w:rsidRPr="00306F4D">
              <w:rPr>
                <w:rFonts w:ascii="Arial" w:hAnsi="Arial" w:cs="Arial"/>
                <w:b w:val="0"/>
                <w:bCs w:val="0"/>
                <w:noProof/>
                <w:webHidden/>
                <w:sz w:val="20"/>
                <w:szCs w:val="20"/>
              </w:rPr>
              <w:fldChar w:fldCharType="separate"/>
            </w:r>
            <w:r w:rsidRPr="00306F4D">
              <w:rPr>
                <w:rFonts w:ascii="Arial" w:hAnsi="Arial" w:cs="Arial"/>
                <w:b w:val="0"/>
                <w:bCs w:val="0"/>
                <w:noProof/>
                <w:webHidden/>
                <w:sz w:val="20"/>
                <w:szCs w:val="20"/>
              </w:rPr>
              <w:t>76</w:t>
            </w:r>
            <w:r w:rsidRPr="00306F4D">
              <w:rPr>
                <w:rFonts w:ascii="Arial" w:hAnsi="Arial" w:cs="Arial"/>
                <w:b w:val="0"/>
                <w:bCs w:val="0"/>
                <w:noProof/>
                <w:webHidden/>
                <w:sz w:val="20"/>
                <w:szCs w:val="20"/>
              </w:rPr>
              <w:fldChar w:fldCharType="end"/>
            </w:r>
          </w:hyperlink>
        </w:p>
        <w:p w14:paraId="29F16DA0" w14:textId="6EB9FFB7" w:rsidR="00304420" w:rsidRPr="00306F4D" w:rsidRDefault="00304420" w:rsidP="00891BD1">
          <w:pPr>
            <w:pStyle w:val="TOC2"/>
            <w:tabs>
              <w:tab w:val="right" w:leader="dot" w:pos="9962"/>
            </w:tabs>
            <w:spacing w:before="60" w:line="240" w:lineRule="auto"/>
            <w:rPr>
              <w:rFonts w:ascii="Arial" w:eastAsiaTheme="minorEastAsia" w:hAnsi="Arial" w:cs="Arial"/>
              <w:b w:val="0"/>
              <w:bCs w:val="0"/>
              <w:noProof/>
              <w:color w:val="auto"/>
              <w:kern w:val="2"/>
              <w:sz w:val="20"/>
              <w:szCs w:val="20"/>
              <w14:ligatures w14:val="standardContextual"/>
            </w:rPr>
          </w:pPr>
          <w:hyperlink w:anchor="_Toc202893750" w:history="1">
            <w:r w:rsidRPr="00306F4D">
              <w:rPr>
                <w:rStyle w:val="Hyperlink"/>
                <w:rFonts w:ascii="Arial" w:eastAsia="Arial" w:hAnsi="Arial" w:cs="Arial"/>
                <w:b w:val="0"/>
                <w:bCs w:val="0"/>
                <w:noProof/>
                <w:sz w:val="20"/>
                <w:szCs w:val="20"/>
                <w:lang w:val="en-GB"/>
              </w:rPr>
              <w:t>Ensuring Sustainability of Project Outcomes in the Design Process</w:t>
            </w:r>
            <w:r w:rsidRPr="00306F4D">
              <w:rPr>
                <w:rFonts w:ascii="Arial" w:hAnsi="Arial" w:cs="Arial"/>
                <w:b w:val="0"/>
                <w:bCs w:val="0"/>
                <w:noProof/>
                <w:webHidden/>
                <w:sz w:val="20"/>
                <w:szCs w:val="20"/>
              </w:rPr>
              <w:tab/>
            </w:r>
            <w:r w:rsidRPr="00306F4D">
              <w:rPr>
                <w:rFonts w:ascii="Arial" w:hAnsi="Arial" w:cs="Arial"/>
                <w:b w:val="0"/>
                <w:bCs w:val="0"/>
                <w:noProof/>
                <w:webHidden/>
                <w:sz w:val="20"/>
                <w:szCs w:val="20"/>
              </w:rPr>
              <w:fldChar w:fldCharType="begin"/>
            </w:r>
            <w:r w:rsidRPr="00306F4D">
              <w:rPr>
                <w:rFonts w:ascii="Arial" w:hAnsi="Arial" w:cs="Arial"/>
                <w:b w:val="0"/>
                <w:bCs w:val="0"/>
                <w:noProof/>
                <w:webHidden/>
                <w:sz w:val="20"/>
                <w:szCs w:val="20"/>
              </w:rPr>
              <w:instrText xml:space="preserve"> PAGEREF _Toc202893750 \h </w:instrText>
            </w:r>
            <w:r w:rsidRPr="00306F4D">
              <w:rPr>
                <w:rFonts w:ascii="Arial" w:hAnsi="Arial" w:cs="Arial"/>
                <w:b w:val="0"/>
                <w:bCs w:val="0"/>
                <w:noProof/>
                <w:webHidden/>
                <w:sz w:val="20"/>
                <w:szCs w:val="20"/>
              </w:rPr>
            </w:r>
            <w:r w:rsidRPr="00306F4D">
              <w:rPr>
                <w:rFonts w:ascii="Arial" w:hAnsi="Arial" w:cs="Arial"/>
                <w:b w:val="0"/>
                <w:bCs w:val="0"/>
                <w:noProof/>
                <w:webHidden/>
                <w:sz w:val="20"/>
                <w:szCs w:val="20"/>
              </w:rPr>
              <w:fldChar w:fldCharType="separate"/>
            </w:r>
            <w:r w:rsidRPr="00306F4D">
              <w:rPr>
                <w:rFonts w:ascii="Arial" w:hAnsi="Arial" w:cs="Arial"/>
                <w:b w:val="0"/>
                <w:bCs w:val="0"/>
                <w:noProof/>
                <w:webHidden/>
                <w:sz w:val="20"/>
                <w:szCs w:val="20"/>
              </w:rPr>
              <w:t>81</w:t>
            </w:r>
            <w:r w:rsidRPr="00306F4D">
              <w:rPr>
                <w:rFonts w:ascii="Arial" w:hAnsi="Arial" w:cs="Arial"/>
                <w:b w:val="0"/>
                <w:bCs w:val="0"/>
                <w:noProof/>
                <w:webHidden/>
                <w:sz w:val="20"/>
                <w:szCs w:val="20"/>
              </w:rPr>
              <w:fldChar w:fldCharType="end"/>
            </w:r>
          </w:hyperlink>
        </w:p>
        <w:p w14:paraId="2E0761CD" w14:textId="77F7431A" w:rsidR="00304420" w:rsidRPr="00306F4D" w:rsidRDefault="00304420" w:rsidP="00891BD1">
          <w:pPr>
            <w:pStyle w:val="TOC2"/>
            <w:tabs>
              <w:tab w:val="right" w:leader="dot" w:pos="9962"/>
            </w:tabs>
            <w:spacing w:before="60" w:line="240" w:lineRule="auto"/>
            <w:rPr>
              <w:rFonts w:ascii="Arial" w:eastAsiaTheme="minorEastAsia" w:hAnsi="Arial" w:cs="Arial"/>
              <w:b w:val="0"/>
              <w:bCs w:val="0"/>
              <w:noProof/>
              <w:color w:val="auto"/>
              <w:kern w:val="2"/>
              <w:sz w:val="20"/>
              <w:szCs w:val="20"/>
              <w14:ligatures w14:val="standardContextual"/>
            </w:rPr>
          </w:pPr>
          <w:hyperlink w:anchor="_Toc202893751" w:history="1">
            <w:r w:rsidRPr="00306F4D">
              <w:rPr>
                <w:rStyle w:val="Hyperlink"/>
                <w:rFonts w:ascii="Arial" w:eastAsia="Arial" w:hAnsi="Arial" w:cs="Arial"/>
                <w:b w:val="0"/>
                <w:bCs w:val="0"/>
                <w:noProof/>
                <w:sz w:val="20"/>
                <w:szCs w:val="20"/>
                <w:lang w:val="en-GB"/>
              </w:rPr>
              <w:t>Overview of Environmental and Social Impacts and Risks Relevant to the Project</w:t>
            </w:r>
            <w:r w:rsidRPr="00306F4D">
              <w:rPr>
                <w:rFonts w:ascii="Arial" w:hAnsi="Arial" w:cs="Arial"/>
                <w:b w:val="0"/>
                <w:bCs w:val="0"/>
                <w:noProof/>
                <w:webHidden/>
                <w:sz w:val="20"/>
                <w:szCs w:val="20"/>
              </w:rPr>
              <w:tab/>
            </w:r>
            <w:r w:rsidRPr="00306F4D">
              <w:rPr>
                <w:rFonts w:ascii="Arial" w:hAnsi="Arial" w:cs="Arial"/>
                <w:b w:val="0"/>
                <w:bCs w:val="0"/>
                <w:noProof/>
                <w:webHidden/>
                <w:sz w:val="20"/>
                <w:szCs w:val="20"/>
              </w:rPr>
              <w:fldChar w:fldCharType="begin"/>
            </w:r>
            <w:r w:rsidRPr="00306F4D">
              <w:rPr>
                <w:rFonts w:ascii="Arial" w:hAnsi="Arial" w:cs="Arial"/>
                <w:b w:val="0"/>
                <w:bCs w:val="0"/>
                <w:noProof/>
                <w:webHidden/>
                <w:sz w:val="20"/>
                <w:szCs w:val="20"/>
              </w:rPr>
              <w:instrText xml:space="preserve"> PAGEREF _Toc202893751 \h </w:instrText>
            </w:r>
            <w:r w:rsidRPr="00306F4D">
              <w:rPr>
                <w:rFonts w:ascii="Arial" w:hAnsi="Arial" w:cs="Arial"/>
                <w:b w:val="0"/>
                <w:bCs w:val="0"/>
                <w:noProof/>
                <w:webHidden/>
                <w:sz w:val="20"/>
                <w:szCs w:val="20"/>
              </w:rPr>
            </w:r>
            <w:r w:rsidRPr="00306F4D">
              <w:rPr>
                <w:rFonts w:ascii="Arial" w:hAnsi="Arial" w:cs="Arial"/>
                <w:b w:val="0"/>
                <w:bCs w:val="0"/>
                <w:noProof/>
                <w:webHidden/>
                <w:sz w:val="20"/>
                <w:szCs w:val="20"/>
              </w:rPr>
              <w:fldChar w:fldCharType="separate"/>
            </w:r>
            <w:r w:rsidRPr="00306F4D">
              <w:rPr>
                <w:rFonts w:ascii="Arial" w:hAnsi="Arial" w:cs="Arial"/>
                <w:b w:val="0"/>
                <w:bCs w:val="0"/>
                <w:noProof/>
                <w:webHidden/>
                <w:sz w:val="20"/>
                <w:szCs w:val="20"/>
              </w:rPr>
              <w:t>82</w:t>
            </w:r>
            <w:r w:rsidRPr="00306F4D">
              <w:rPr>
                <w:rFonts w:ascii="Arial" w:hAnsi="Arial" w:cs="Arial"/>
                <w:b w:val="0"/>
                <w:bCs w:val="0"/>
                <w:noProof/>
                <w:webHidden/>
                <w:sz w:val="20"/>
                <w:szCs w:val="20"/>
              </w:rPr>
              <w:fldChar w:fldCharType="end"/>
            </w:r>
          </w:hyperlink>
        </w:p>
        <w:p w14:paraId="6C3FC4AB" w14:textId="2A9CD82D" w:rsidR="00304420" w:rsidRPr="00306F4D" w:rsidRDefault="00304420" w:rsidP="00891BD1">
          <w:pPr>
            <w:pStyle w:val="TOC1"/>
            <w:tabs>
              <w:tab w:val="right" w:leader="dot" w:pos="9962"/>
            </w:tabs>
            <w:spacing w:before="60" w:line="240" w:lineRule="auto"/>
            <w:rPr>
              <w:rFonts w:ascii="Arial" w:eastAsiaTheme="minorEastAsia" w:hAnsi="Arial" w:cs="Arial"/>
              <w:b w:val="0"/>
              <w:bCs w:val="0"/>
              <w:i w:val="0"/>
              <w:iCs w:val="0"/>
              <w:noProof/>
              <w:color w:val="auto"/>
              <w:kern w:val="2"/>
              <w:sz w:val="20"/>
              <w:szCs w:val="20"/>
              <w14:ligatures w14:val="standardContextual"/>
            </w:rPr>
          </w:pPr>
          <w:hyperlink w:anchor="_Toc202893752" w:history="1">
            <w:r w:rsidRPr="00306F4D">
              <w:rPr>
                <w:rStyle w:val="Hyperlink"/>
                <w:rFonts w:ascii="Arial" w:hAnsi="Arial" w:cs="Arial"/>
                <w:b w:val="0"/>
                <w:bCs w:val="0"/>
                <w:noProof/>
                <w:sz w:val="20"/>
                <w:szCs w:val="20"/>
                <w:lang w:val="en-GB"/>
              </w:rPr>
              <w:t>PART III:  IMPLEMENTATION ARRANGEMENTS</w:t>
            </w:r>
            <w:r w:rsidRPr="00306F4D">
              <w:rPr>
                <w:rFonts w:ascii="Arial" w:hAnsi="Arial" w:cs="Arial"/>
                <w:b w:val="0"/>
                <w:bCs w:val="0"/>
                <w:noProof/>
                <w:webHidden/>
                <w:sz w:val="20"/>
                <w:szCs w:val="20"/>
              </w:rPr>
              <w:tab/>
            </w:r>
            <w:r w:rsidRPr="00306F4D">
              <w:rPr>
                <w:rFonts w:ascii="Arial" w:hAnsi="Arial" w:cs="Arial"/>
                <w:b w:val="0"/>
                <w:bCs w:val="0"/>
                <w:noProof/>
                <w:webHidden/>
                <w:sz w:val="20"/>
                <w:szCs w:val="20"/>
              </w:rPr>
              <w:fldChar w:fldCharType="begin"/>
            </w:r>
            <w:r w:rsidRPr="00306F4D">
              <w:rPr>
                <w:rFonts w:ascii="Arial" w:hAnsi="Arial" w:cs="Arial"/>
                <w:b w:val="0"/>
                <w:bCs w:val="0"/>
                <w:noProof/>
                <w:webHidden/>
                <w:sz w:val="20"/>
                <w:szCs w:val="20"/>
              </w:rPr>
              <w:instrText xml:space="preserve"> PAGEREF _Toc202893752 \h </w:instrText>
            </w:r>
            <w:r w:rsidRPr="00306F4D">
              <w:rPr>
                <w:rFonts w:ascii="Arial" w:hAnsi="Arial" w:cs="Arial"/>
                <w:b w:val="0"/>
                <w:bCs w:val="0"/>
                <w:noProof/>
                <w:webHidden/>
                <w:sz w:val="20"/>
                <w:szCs w:val="20"/>
              </w:rPr>
            </w:r>
            <w:r w:rsidRPr="00306F4D">
              <w:rPr>
                <w:rFonts w:ascii="Arial" w:hAnsi="Arial" w:cs="Arial"/>
                <w:b w:val="0"/>
                <w:bCs w:val="0"/>
                <w:noProof/>
                <w:webHidden/>
                <w:sz w:val="20"/>
                <w:szCs w:val="20"/>
              </w:rPr>
              <w:fldChar w:fldCharType="separate"/>
            </w:r>
            <w:r w:rsidRPr="00306F4D">
              <w:rPr>
                <w:rFonts w:ascii="Arial" w:hAnsi="Arial" w:cs="Arial"/>
                <w:b w:val="0"/>
                <w:bCs w:val="0"/>
                <w:noProof/>
                <w:webHidden/>
                <w:sz w:val="20"/>
                <w:szCs w:val="20"/>
              </w:rPr>
              <w:t>82</w:t>
            </w:r>
            <w:r w:rsidRPr="00306F4D">
              <w:rPr>
                <w:rFonts w:ascii="Arial" w:hAnsi="Arial" w:cs="Arial"/>
                <w:b w:val="0"/>
                <w:bCs w:val="0"/>
                <w:noProof/>
                <w:webHidden/>
                <w:sz w:val="20"/>
                <w:szCs w:val="20"/>
              </w:rPr>
              <w:fldChar w:fldCharType="end"/>
            </w:r>
          </w:hyperlink>
        </w:p>
        <w:p w14:paraId="6568D419" w14:textId="419F3BC6" w:rsidR="00304420" w:rsidRPr="00306F4D" w:rsidRDefault="00304420" w:rsidP="00891BD1">
          <w:pPr>
            <w:pStyle w:val="TOC2"/>
            <w:tabs>
              <w:tab w:val="right" w:leader="dot" w:pos="9962"/>
            </w:tabs>
            <w:spacing w:before="60" w:line="240" w:lineRule="auto"/>
            <w:rPr>
              <w:rFonts w:ascii="Arial" w:eastAsiaTheme="minorEastAsia" w:hAnsi="Arial" w:cs="Arial"/>
              <w:b w:val="0"/>
              <w:bCs w:val="0"/>
              <w:noProof/>
              <w:color w:val="auto"/>
              <w:kern w:val="2"/>
              <w:sz w:val="20"/>
              <w:szCs w:val="20"/>
              <w14:ligatures w14:val="standardContextual"/>
            </w:rPr>
          </w:pPr>
          <w:hyperlink w:anchor="_Toc202893753" w:history="1">
            <w:r w:rsidRPr="00306F4D">
              <w:rPr>
                <w:rStyle w:val="Hyperlink"/>
                <w:rFonts w:ascii="Arial" w:eastAsia="Arial" w:hAnsi="Arial" w:cs="Arial"/>
                <w:b w:val="0"/>
                <w:bCs w:val="0"/>
                <w:noProof/>
                <w:sz w:val="20"/>
                <w:szCs w:val="20"/>
                <w:lang w:val="en-GB"/>
              </w:rPr>
              <w:t>Project Management and Coordination Arrangements</w:t>
            </w:r>
            <w:r w:rsidRPr="00306F4D">
              <w:rPr>
                <w:rFonts w:ascii="Arial" w:hAnsi="Arial" w:cs="Arial"/>
                <w:b w:val="0"/>
                <w:bCs w:val="0"/>
                <w:noProof/>
                <w:webHidden/>
                <w:sz w:val="20"/>
                <w:szCs w:val="20"/>
              </w:rPr>
              <w:tab/>
            </w:r>
            <w:r w:rsidRPr="00306F4D">
              <w:rPr>
                <w:rFonts w:ascii="Arial" w:hAnsi="Arial" w:cs="Arial"/>
                <w:b w:val="0"/>
                <w:bCs w:val="0"/>
                <w:noProof/>
                <w:webHidden/>
                <w:sz w:val="20"/>
                <w:szCs w:val="20"/>
              </w:rPr>
              <w:fldChar w:fldCharType="begin"/>
            </w:r>
            <w:r w:rsidRPr="00306F4D">
              <w:rPr>
                <w:rFonts w:ascii="Arial" w:hAnsi="Arial" w:cs="Arial"/>
                <w:b w:val="0"/>
                <w:bCs w:val="0"/>
                <w:noProof/>
                <w:webHidden/>
                <w:sz w:val="20"/>
                <w:szCs w:val="20"/>
              </w:rPr>
              <w:instrText xml:space="preserve"> PAGEREF _Toc202893753 \h </w:instrText>
            </w:r>
            <w:r w:rsidRPr="00306F4D">
              <w:rPr>
                <w:rFonts w:ascii="Arial" w:hAnsi="Arial" w:cs="Arial"/>
                <w:b w:val="0"/>
                <w:bCs w:val="0"/>
                <w:noProof/>
                <w:webHidden/>
                <w:sz w:val="20"/>
                <w:szCs w:val="20"/>
              </w:rPr>
            </w:r>
            <w:r w:rsidRPr="00306F4D">
              <w:rPr>
                <w:rFonts w:ascii="Arial" w:hAnsi="Arial" w:cs="Arial"/>
                <w:b w:val="0"/>
                <w:bCs w:val="0"/>
                <w:noProof/>
                <w:webHidden/>
                <w:sz w:val="20"/>
                <w:szCs w:val="20"/>
              </w:rPr>
              <w:fldChar w:fldCharType="separate"/>
            </w:r>
            <w:r w:rsidRPr="00306F4D">
              <w:rPr>
                <w:rFonts w:ascii="Arial" w:hAnsi="Arial" w:cs="Arial"/>
                <w:b w:val="0"/>
                <w:bCs w:val="0"/>
                <w:noProof/>
                <w:webHidden/>
                <w:sz w:val="20"/>
                <w:szCs w:val="20"/>
              </w:rPr>
              <w:t>82</w:t>
            </w:r>
            <w:r w:rsidRPr="00306F4D">
              <w:rPr>
                <w:rFonts w:ascii="Arial" w:hAnsi="Arial" w:cs="Arial"/>
                <w:b w:val="0"/>
                <w:bCs w:val="0"/>
                <w:noProof/>
                <w:webHidden/>
                <w:sz w:val="20"/>
                <w:szCs w:val="20"/>
              </w:rPr>
              <w:fldChar w:fldCharType="end"/>
            </w:r>
          </w:hyperlink>
        </w:p>
        <w:p w14:paraId="019DA637" w14:textId="64000EF3" w:rsidR="00304420" w:rsidRPr="00306F4D" w:rsidRDefault="00304420" w:rsidP="00891BD1">
          <w:pPr>
            <w:pStyle w:val="TOC2"/>
            <w:tabs>
              <w:tab w:val="right" w:leader="dot" w:pos="9962"/>
            </w:tabs>
            <w:spacing w:before="60" w:line="240" w:lineRule="auto"/>
            <w:rPr>
              <w:rFonts w:ascii="Arial" w:eastAsiaTheme="minorEastAsia" w:hAnsi="Arial" w:cs="Arial"/>
              <w:b w:val="0"/>
              <w:bCs w:val="0"/>
              <w:noProof/>
              <w:color w:val="auto"/>
              <w:kern w:val="2"/>
              <w:sz w:val="20"/>
              <w:szCs w:val="20"/>
              <w14:ligatures w14:val="standardContextual"/>
            </w:rPr>
          </w:pPr>
          <w:hyperlink w:anchor="_Toc202893754" w:history="1">
            <w:r w:rsidRPr="00306F4D">
              <w:rPr>
                <w:rStyle w:val="Hyperlink"/>
                <w:rFonts w:ascii="Arial" w:eastAsia="Arial" w:hAnsi="Arial" w:cs="Arial"/>
                <w:b w:val="0"/>
                <w:bCs w:val="0"/>
                <w:noProof/>
                <w:sz w:val="20"/>
                <w:szCs w:val="20"/>
                <w:lang w:val="en-GB"/>
              </w:rPr>
              <w:t>Measures for Financial and Project Risk Management</w:t>
            </w:r>
            <w:r w:rsidRPr="00306F4D">
              <w:rPr>
                <w:rFonts w:ascii="Arial" w:hAnsi="Arial" w:cs="Arial"/>
                <w:b w:val="0"/>
                <w:bCs w:val="0"/>
                <w:noProof/>
                <w:webHidden/>
                <w:sz w:val="20"/>
                <w:szCs w:val="20"/>
              </w:rPr>
              <w:tab/>
            </w:r>
            <w:r w:rsidRPr="00306F4D">
              <w:rPr>
                <w:rFonts w:ascii="Arial" w:hAnsi="Arial" w:cs="Arial"/>
                <w:b w:val="0"/>
                <w:bCs w:val="0"/>
                <w:noProof/>
                <w:webHidden/>
                <w:sz w:val="20"/>
                <w:szCs w:val="20"/>
              </w:rPr>
              <w:fldChar w:fldCharType="begin"/>
            </w:r>
            <w:r w:rsidRPr="00306F4D">
              <w:rPr>
                <w:rFonts w:ascii="Arial" w:hAnsi="Arial" w:cs="Arial"/>
                <w:b w:val="0"/>
                <w:bCs w:val="0"/>
                <w:noProof/>
                <w:webHidden/>
                <w:sz w:val="20"/>
                <w:szCs w:val="20"/>
              </w:rPr>
              <w:instrText xml:space="preserve"> PAGEREF _Toc202893754 \h </w:instrText>
            </w:r>
            <w:r w:rsidRPr="00306F4D">
              <w:rPr>
                <w:rFonts w:ascii="Arial" w:hAnsi="Arial" w:cs="Arial"/>
                <w:b w:val="0"/>
                <w:bCs w:val="0"/>
                <w:noProof/>
                <w:webHidden/>
                <w:sz w:val="20"/>
                <w:szCs w:val="20"/>
              </w:rPr>
            </w:r>
            <w:r w:rsidRPr="00306F4D">
              <w:rPr>
                <w:rFonts w:ascii="Arial" w:hAnsi="Arial" w:cs="Arial"/>
                <w:b w:val="0"/>
                <w:bCs w:val="0"/>
                <w:noProof/>
                <w:webHidden/>
                <w:sz w:val="20"/>
                <w:szCs w:val="20"/>
              </w:rPr>
              <w:fldChar w:fldCharType="separate"/>
            </w:r>
            <w:r w:rsidRPr="00306F4D">
              <w:rPr>
                <w:rFonts w:ascii="Arial" w:hAnsi="Arial" w:cs="Arial"/>
                <w:b w:val="0"/>
                <w:bCs w:val="0"/>
                <w:noProof/>
                <w:webHidden/>
                <w:sz w:val="20"/>
                <w:szCs w:val="20"/>
              </w:rPr>
              <w:t>86</w:t>
            </w:r>
            <w:r w:rsidRPr="00306F4D">
              <w:rPr>
                <w:rFonts w:ascii="Arial" w:hAnsi="Arial" w:cs="Arial"/>
                <w:b w:val="0"/>
                <w:bCs w:val="0"/>
                <w:noProof/>
                <w:webHidden/>
                <w:sz w:val="20"/>
                <w:szCs w:val="20"/>
              </w:rPr>
              <w:fldChar w:fldCharType="end"/>
            </w:r>
          </w:hyperlink>
        </w:p>
        <w:p w14:paraId="17FE4B5F" w14:textId="50F0AEB6" w:rsidR="00304420" w:rsidRPr="00306F4D" w:rsidRDefault="00304420" w:rsidP="00891BD1">
          <w:pPr>
            <w:pStyle w:val="TOC1"/>
            <w:tabs>
              <w:tab w:val="right" w:leader="dot" w:pos="9962"/>
            </w:tabs>
            <w:spacing w:before="60" w:line="240" w:lineRule="auto"/>
            <w:rPr>
              <w:rFonts w:ascii="Arial" w:eastAsiaTheme="minorEastAsia" w:hAnsi="Arial" w:cs="Arial"/>
              <w:b w:val="0"/>
              <w:bCs w:val="0"/>
              <w:i w:val="0"/>
              <w:iCs w:val="0"/>
              <w:noProof/>
              <w:color w:val="auto"/>
              <w:kern w:val="2"/>
              <w:sz w:val="20"/>
              <w:szCs w:val="20"/>
              <w14:ligatures w14:val="standardContextual"/>
            </w:rPr>
          </w:pPr>
          <w:hyperlink w:anchor="_Toc202893755" w:history="1">
            <w:r w:rsidRPr="00306F4D">
              <w:rPr>
                <w:rStyle w:val="Hyperlink"/>
                <w:rFonts w:ascii="Arial" w:hAnsi="Arial" w:cs="Arial"/>
                <w:b w:val="0"/>
                <w:bCs w:val="0"/>
                <w:noProof/>
                <w:sz w:val="20"/>
                <w:szCs w:val="20"/>
                <w:lang w:val="en-GB"/>
              </w:rPr>
              <w:t xml:space="preserve">Environmental and Social Risk Management Measures </w:t>
            </w:r>
            <w:r w:rsidRPr="00306F4D">
              <w:rPr>
                <w:rFonts w:ascii="Arial" w:hAnsi="Arial" w:cs="Arial"/>
                <w:b w:val="0"/>
                <w:bCs w:val="0"/>
                <w:noProof/>
                <w:webHidden/>
                <w:sz w:val="20"/>
                <w:szCs w:val="20"/>
              </w:rPr>
              <w:tab/>
            </w:r>
            <w:r w:rsidRPr="00306F4D">
              <w:rPr>
                <w:rFonts w:ascii="Arial" w:hAnsi="Arial" w:cs="Arial"/>
                <w:b w:val="0"/>
                <w:bCs w:val="0"/>
                <w:noProof/>
                <w:webHidden/>
                <w:sz w:val="20"/>
                <w:szCs w:val="20"/>
              </w:rPr>
              <w:fldChar w:fldCharType="begin"/>
            </w:r>
            <w:r w:rsidRPr="00306F4D">
              <w:rPr>
                <w:rFonts w:ascii="Arial" w:hAnsi="Arial" w:cs="Arial"/>
                <w:b w:val="0"/>
                <w:bCs w:val="0"/>
                <w:noProof/>
                <w:webHidden/>
                <w:sz w:val="20"/>
                <w:szCs w:val="20"/>
              </w:rPr>
              <w:instrText xml:space="preserve"> PAGEREF _Toc202893755 \h </w:instrText>
            </w:r>
            <w:r w:rsidRPr="00306F4D">
              <w:rPr>
                <w:rFonts w:ascii="Arial" w:hAnsi="Arial" w:cs="Arial"/>
                <w:b w:val="0"/>
                <w:bCs w:val="0"/>
                <w:noProof/>
                <w:webHidden/>
                <w:sz w:val="20"/>
                <w:szCs w:val="20"/>
              </w:rPr>
            </w:r>
            <w:r w:rsidRPr="00306F4D">
              <w:rPr>
                <w:rFonts w:ascii="Arial" w:hAnsi="Arial" w:cs="Arial"/>
                <w:b w:val="0"/>
                <w:bCs w:val="0"/>
                <w:noProof/>
                <w:webHidden/>
                <w:sz w:val="20"/>
                <w:szCs w:val="20"/>
              </w:rPr>
              <w:fldChar w:fldCharType="separate"/>
            </w:r>
            <w:r w:rsidRPr="00306F4D">
              <w:rPr>
                <w:rFonts w:ascii="Arial" w:hAnsi="Arial" w:cs="Arial"/>
                <w:b w:val="0"/>
                <w:bCs w:val="0"/>
                <w:noProof/>
                <w:webHidden/>
                <w:sz w:val="20"/>
                <w:szCs w:val="20"/>
              </w:rPr>
              <w:t>87</w:t>
            </w:r>
            <w:r w:rsidRPr="00306F4D">
              <w:rPr>
                <w:rFonts w:ascii="Arial" w:hAnsi="Arial" w:cs="Arial"/>
                <w:b w:val="0"/>
                <w:bCs w:val="0"/>
                <w:noProof/>
                <w:webHidden/>
                <w:sz w:val="20"/>
                <w:szCs w:val="20"/>
              </w:rPr>
              <w:fldChar w:fldCharType="end"/>
            </w:r>
          </w:hyperlink>
        </w:p>
        <w:p w14:paraId="119E489E" w14:textId="7C4EEF5D" w:rsidR="00304420" w:rsidRPr="00306F4D" w:rsidRDefault="00304420" w:rsidP="00891BD1">
          <w:pPr>
            <w:pStyle w:val="TOC2"/>
            <w:tabs>
              <w:tab w:val="right" w:leader="dot" w:pos="9962"/>
            </w:tabs>
            <w:spacing w:before="60" w:line="240" w:lineRule="auto"/>
            <w:rPr>
              <w:rFonts w:ascii="Arial" w:eastAsiaTheme="minorEastAsia" w:hAnsi="Arial" w:cs="Arial"/>
              <w:b w:val="0"/>
              <w:bCs w:val="0"/>
              <w:noProof/>
              <w:color w:val="auto"/>
              <w:kern w:val="2"/>
              <w:sz w:val="20"/>
              <w:szCs w:val="20"/>
              <w14:ligatures w14:val="standardContextual"/>
            </w:rPr>
          </w:pPr>
          <w:hyperlink w:anchor="_Toc202893756" w:history="1">
            <w:r w:rsidRPr="00306F4D">
              <w:rPr>
                <w:rStyle w:val="Hyperlink"/>
                <w:rFonts w:ascii="Arial" w:eastAsia="Arial" w:hAnsi="Arial" w:cs="Arial"/>
                <w:b w:val="0"/>
                <w:bCs w:val="0"/>
                <w:noProof/>
                <w:sz w:val="20"/>
                <w:szCs w:val="20"/>
                <w:lang w:val="en-GB"/>
              </w:rPr>
              <w:t>Monitoring and Evaluation Arrangements and Budgeted MEL Plan</w:t>
            </w:r>
            <w:r w:rsidRPr="00306F4D">
              <w:rPr>
                <w:rFonts w:ascii="Arial" w:hAnsi="Arial" w:cs="Arial"/>
                <w:b w:val="0"/>
                <w:bCs w:val="0"/>
                <w:noProof/>
                <w:webHidden/>
                <w:sz w:val="20"/>
                <w:szCs w:val="20"/>
              </w:rPr>
              <w:tab/>
            </w:r>
            <w:r w:rsidRPr="00306F4D">
              <w:rPr>
                <w:rFonts w:ascii="Arial" w:hAnsi="Arial" w:cs="Arial"/>
                <w:b w:val="0"/>
                <w:bCs w:val="0"/>
                <w:noProof/>
                <w:webHidden/>
                <w:sz w:val="20"/>
                <w:szCs w:val="20"/>
              </w:rPr>
              <w:fldChar w:fldCharType="begin"/>
            </w:r>
            <w:r w:rsidRPr="00306F4D">
              <w:rPr>
                <w:rFonts w:ascii="Arial" w:hAnsi="Arial" w:cs="Arial"/>
                <w:b w:val="0"/>
                <w:bCs w:val="0"/>
                <w:noProof/>
                <w:webHidden/>
                <w:sz w:val="20"/>
                <w:szCs w:val="20"/>
              </w:rPr>
              <w:instrText xml:space="preserve"> PAGEREF _Toc202893756 \h </w:instrText>
            </w:r>
            <w:r w:rsidRPr="00306F4D">
              <w:rPr>
                <w:rFonts w:ascii="Arial" w:hAnsi="Arial" w:cs="Arial"/>
                <w:b w:val="0"/>
                <w:bCs w:val="0"/>
                <w:noProof/>
                <w:webHidden/>
                <w:sz w:val="20"/>
                <w:szCs w:val="20"/>
              </w:rPr>
            </w:r>
            <w:r w:rsidRPr="00306F4D">
              <w:rPr>
                <w:rFonts w:ascii="Arial" w:hAnsi="Arial" w:cs="Arial"/>
                <w:b w:val="0"/>
                <w:bCs w:val="0"/>
                <w:noProof/>
                <w:webHidden/>
                <w:sz w:val="20"/>
                <w:szCs w:val="20"/>
              </w:rPr>
              <w:fldChar w:fldCharType="separate"/>
            </w:r>
            <w:r w:rsidRPr="00306F4D">
              <w:rPr>
                <w:rFonts w:ascii="Arial" w:hAnsi="Arial" w:cs="Arial"/>
                <w:b w:val="0"/>
                <w:bCs w:val="0"/>
                <w:noProof/>
                <w:webHidden/>
                <w:sz w:val="20"/>
                <w:szCs w:val="20"/>
              </w:rPr>
              <w:t>89</w:t>
            </w:r>
            <w:r w:rsidRPr="00306F4D">
              <w:rPr>
                <w:rFonts w:ascii="Arial" w:hAnsi="Arial" w:cs="Arial"/>
                <w:b w:val="0"/>
                <w:bCs w:val="0"/>
                <w:noProof/>
                <w:webHidden/>
                <w:sz w:val="20"/>
                <w:szCs w:val="20"/>
              </w:rPr>
              <w:fldChar w:fldCharType="end"/>
            </w:r>
          </w:hyperlink>
        </w:p>
        <w:p w14:paraId="005490DC" w14:textId="233E888A" w:rsidR="00304420" w:rsidRPr="00306F4D" w:rsidRDefault="00304420" w:rsidP="00891BD1">
          <w:pPr>
            <w:pStyle w:val="TOC2"/>
            <w:tabs>
              <w:tab w:val="right" w:leader="dot" w:pos="9962"/>
            </w:tabs>
            <w:spacing w:before="60" w:line="240" w:lineRule="auto"/>
            <w:rPr>
              <w:rFonts w:ascii="Arial" w:eastAsiaTheme="minorEastAsia" w:hAnsi="Arial" w:cs="Arial"/>
              <w:b w:val="0"/>
              <w:bCs w:val="0"/>
              <w:noProof/>
              <w:color w:val="auto"/>
              <w:kern w:val="2"/>
              <w:sz w:val="20"/>
              <w:szCs w:val="20"/>
              <w14:ligatures w14:val="standardContextual"/>
            </w:rPr>
          </w:pPr>
          <w:hyperlink w:anchor="_Toc202893757" w:history="1">
            <w:r w:rsidRPr="00306F4D">
              <w:rPr>
                <w:rStyle w:val="Hyperlink"/>
                <w:rFonts w:ascii="Arial" w:eastAsia="SimSun" w:hAnsi="Arial" w:cs="Arial"/>
                <w:b w:val="0"/>
                <w:bCs w:val="0"/>
                <w:noProof/>
                <w:sz w:val="20"/>
                <w:szCs w:val="20"/>
              </w:rPr>
              <w:t>Evaluation Plan</w:t>
            </w:r>
            <w:r w:rsidRPr="00306F4D">
              <w:rPr>
                <w:rFonts w:ascii="Arial" w:hAnsi="Arial" w:cs="Arial"/>
                <w:b w:val="0"/>
                <w:bCs w:val="0"/>
                <w:noProof/>
                <w:webHidden/>
                <w:sz w:val="20"/>
                <w:szCs w:val="20"/>
              </w:rPr>
              <w:tab/>
            </w:r>
            <w:r w:rsidRPr="00306F4D">
              <w:rPr>
                <w:rFonts w:ascii="Arial" w:hAnsi="Arial" w:cs="Arial"/>
                <w:b w:val="0"/>
                <w:bCs w:val="0"/>
                <w:noProof/>
                <w:webHidden/>
                <w:sz w:val="20"/>
                <w:szCs w:val="20"/>
              </w:rPr>
              <w:fldChar w:fldCharType="begin"/>
            </w:r>
            <w:r w:rsidRPr="00306F4D">
              <w:rPr>
                <w:rFonts w:ascii="Arial" w:hAnsi="Arial" w:cs="Arial"/>
                <w:b w:val="0"/>
                <w:bCs w:val="0"/>
                <w:noProof/>
                <w:webHidden/>
                <w:sz w:val="20"/>
                <w:szCs w:val="20"/>
              </w:rPr>
              <w:instrText xml:space="preserve"> PAGEREF _Toc202893757 \h </w:instrText>
            </w:r>
            <w:r w:rsidRPr="00306F4D">
              <w:rPr>
                <w:rFonts w:ascii="Arial" w:hAnsi="Arial" w:cs="Arial"/>
                <w:b w:val="0"/>
                <w:bCs w:val="0"/>
                <w:noProof/>
                <w:webHidden/>
                <w:sz w:val="20"/>
                <w:szCs w:val="20"/>
              </w:rPr>
            </w:r>
            <w:r w:rsidRPr="00306F4D">
              <w:rPr>
                <w:rFonts w:ascii="Arial" w:hAnsi="Arial" w:cs="Arial"/>
                <w:b w:val="0"/>
                <w:bCs w:val="0"/>
                <w:noProof/>
                <w:webHidden/>
                <w:sz w:val="20"/>
                <w:szCs w:val="20"/>
              </w:rPr>
              <w:fldChar w:fldCharType="separate"/>
            </w:r>
            <w:r w:rsidRPr="00306F4D">
              <w:rPr>
                <w:rFonts w:ascii="Arial" w:hAnsi="Arial" w:cs="Arial"/>
                <w:b w:val="0"/>
                <w:bCs w:val="0"/>
                <w:noProof/>
                <w:webHidden/>
                <w:sz w:val="20"/>
                <w:szCs w:val="20"/>
              </w:rPr>
              <w:t>91</w:t>
            </w:r>
            <w:r w:rsidRPr="00306F4D">
              <w:rPr>
                <w:rFonts w:ascii="Arial" w:hAnsi="Arial" w:cs="Arial"/>
                <w:b w:val="0"/>
                <w:bCs w:val="0"/>
                <w:noProof/>
                <w:webHidden/>
                <w:sz w:val="20"/>
                <w:szCs w:val="20"/>
              </w:rPr>
              <w:fldChar w:fldCharType="end"/>
            </w:r>
          </w:hyperlink>
        </w:p>
        <w:p w14:paraId="4745ED46" w14:textId="3E163EB3" w:rsidR="00304420" w:rsidRPr="00306F4D" w:rsidRDefault="00304420" w:rsidP="00891BD1">
          <w:pPr>
            <w:pStyle w:val="TOC2"/>
            <w:tabs>
              <w:tab w:val="right" w:leader="dot" w:pos="9962"/>
            </w:tabs>
            <w:spacing w:before="60" w:line="240" w:lineRule="auto"/>
            <w:rPr>
              <w:rFonts w:ascii="Arial" w:eastAsiaTheme="minorEastAsia" w:hAnsi="Arial" w:cs="Arial"/>
              <w:b w:val="0"/>
              <w:bCs w:val="0"/>
              <w:noProof/>
              <w:color w:val="auto"/>
              <w:kern w:val="2"/>
              <w:sz w:val="20"/>
              <w:szCs w:val="20"/>
              <w14:ligatures w14:val="standardContextual"/>
            </w:rPr>
          </w:pPr>
          <w:hyperlink w:anchor="_Toc202893758" w:history="1">
            <w:r w:rsidRPr="00306F4D">
              <w:rPr>
                <w:rStyle w:val="Hyperlink"/>
                <w:rFonts w:ascii="Arial" w:hAnsi="Arial" w:cs="Arial"/>
                <w:b w:val="0"/>
                <w:bCs w:val="0"/>
                <w:noProof/>
                <w:sz w:val="20"/>
                <w:szCs w:val="20"/>
              </w:rPr>
              <w:t>Results Framework for the Project Proposal: Milestones, Targets, and Indicators</w:t>
            </w:r>
            <w:r w:rsidRPr="00306F4D">
              <w:rPr>
                <w:rFonts w:ascii="Arial" w:hAnsi="Arial" w:cs="Arial"/>
                <w:b w:val="0"/>
                <w:bCs w:val="0"/>
                <w:noProof/>
                <w:webHidden/>
                <w:sz w:val="20"/>
                <w:szCs w:val="20"/>
              </w:rPr>
              <w:tab/>
            </w:r>
            <w:r w:rsidRPr="00306F4D">
              <w:rPr>
                <w:rFonts w:ascii="Arial" w:hAnsi="Arial" w:cs="Arial"/>
                <w:b w:val="0"/>
                <w:bCs w:val="0"/>
                <w:noProof/>
                <w:webHidden/>
                <w:sz w:val="20"/>
                <w:szCs w:val="20"/>
              </w:rPr>
              <w:fldChar w:fldCharType="begin"/>
            </w:r>
            <w:r w:rsidRPr="00306F4D">
              <w:rPr>
                <w:rFonts w:ascii="Arial" w:hAnsi="Arial" w:cs="Arial"/>
                <w:b w:val="0"/>
                <w:bCs w:val="0"/>
                <w:noProof/>
                <w:webHidden/>
                <w:sz w:val="20"/>
                <w:szCs w:val="20"/>
              </w:rPr>
              <w:instrText xml:space="preserve"> PAGEREF _Toc202893758 \h </w:instrText>
            </w:r>
            <w:r w:rsidRPr="00306F4D">
              <w:rPr>
                <w:rFonts w:ascii="Arial" w:hAnsi="Arial" w:cs="Arial"/>
                <w:b w:val="0"/>
                <w:bCs w:val="0"/>
                <w:noProof/>
                <w:webHidden/>
                <w:sz w:val="20"/>
                <w:szCs w:val="20"/>
              </w:rPr>
            </w:r>
            <w:r w:rsidRPr="00306F4D">
              <w:rPr>
                <w:rFonts w:ascii="Arial" w:hAnsi="Arial" w:cs="Arial"/>
                <w:b w:val="0"/>
                <w:bCs w:val="0"/>
                <w:noProof/>
                <w:webHidden/>
                <w:sz w:val="20"/>
                <w:szCs w:val="20"/>
              </w:rPr>
              <w:fldChar w:fldCharType="separate"/>
            </w:r>
            <w:r w:rsidRPr="00306F4D">
              <w:rPr>
                <w:rFonts w:ascii="Arial" w:hAnsi="Arial" w:cs="Arial"/>
                <w:b w:val="0"/>
                <w:bCs w:val="0"/>
                <w:noProof/>
                <w:webHidden/>
                <w:sz w:val="20"/>
                <w:szCs w:val="20"/>
              </w:rPr>
              <w:t>92</w:t>
            </w:r>
            <w:r w:rsidRPr="00306F4D">
              <w:rPr>
                <w:rFonts w:ascii="Arial" w:hAnsi="Arial" w:cs="Arial"/>
                <w:b w:val="0"/>
                <w:bCs w:val="0"/>
                <w:noProof/>
                <w:webHidden/>
                <w:sz w:val="20"/>
                <w:szCs w:val="20"/>
              </w:rPr>
              <w:fldChar w:fldCharType="end"/>
            </w:r>
          </w:hyperlink>
        </w:p>
        <w:p w14:paraId="60AC721B" w14:textId="49004475" w:rsidR="00304420" w:rsidRPr="00306F4D" w:rsidRDefault="00304420" w:rsidP="00891BD1">
          <w:pPr>
            <w:pStyle w:val="TOC2"/>
            <w:tabs>
              <w:tab w:val="right" w:leader="dot" w:pos="9962"/>
            </w:tabs>
            <w:spacing w:before="60" w:line="240" w:lineRule="auto"/>
            <w:rPr>
              <w:rFonts w:ascii="Arial" w:eastAsiaTheme="minorEastAsia" w:hAnsi="Arial" w:cs="Arial"/>
              <w:b w:val="0"/>
              <w:bCs w:val="0"/>
              <w:noProof/>
              <w:color w:val="auto"/>
              <w:kern w:val="2"/>
              <w:sz w:val="20"/>
              <w:szCs w:val="20"/>
              <w14:ligatures w14:val="standardContextual"/>
            </w:rPr>
          </w:pPr>
          <w:hyperlink w:anchor="_Toc202893759" w:history="1">
            <w:r w:rsidRPr="00306F4D">
              <w:rPr>
                <w:rStyle w:val="Hyperlink"/>
                <w:rFonts w:ascii="Arial" w:eastAsia="Arial" w:hAnsi="Arial" w:cs="Arial"/>
                <w:b w:val="0"/>
                <w:bCs w:val="0"/>
                <w:noProof/>
                <w:sz w:val="20"/>
                <w:szCs w:val="20"/>
                <w:lang w:val="en-GB"/>
              </w:rPr>
              <w:t>Alignment of the Project with the Adaptation Fund's Results Framework</w:t>
            </w:r>
            <w:r w:rsidRPr="00306F4D">
              <w:rPr>
                <w:rFonts w:ascii="Arial" w:hAnsi="Arial" w:cs="Arial"/>
                <w:b w:val="0"/>
                <w:bCs w:val="0"/>
                <w:noProof/>
                <w:webHidden/>
                <w:sz w:val="20"/>
                <w:szCs w:val="20"/>
              </w:rPr>
              <w:tab/>
            </w:r>
            <w:r w:rsidRPr="00306F4D">
              <w:rPr>
                <w:rFonts w:ascii="Arial" w:hAnsi="Arial" w:cs="Arial"/>
                <w:b w:val="0"/>
                <w:bCs w:val="0"/>
                <w:noProof/>
                <w:webHidden/>
                <w:sz w:val="20"/>
                <w:szCs w:val="20"/>
              </w:rPr>
              <w:fldChar w:fldCharType="begin"/>
            </w:r>
            <w:r w:rsidRPr="00306F4D">
              <w:rPr>
                <w:rFonts w:ascii="Arial" w:hAnsi="Arial" w:cs="Arial"/>
                <w:b w:val="0"/>
                <w:bCs w:val="0"/>
                <w:noProof/>
                <w:webHidden/>
                <w:sz w:val="20"/>
                <w:szCs w:val="20"/>
              </w:rPr>
              <w:instrText xml:space="preserve"> PAGEREF _Toc202893759 \h </w:instrText>
            </w:r>
            <w:r w:rsidRPr="00306F4D">
              <w:rPr>
                <w:rFonts w:ascii="Arial" w:hAnsi="Arial" w:cs="Arial"/>
                <w:b w:val="0"/>
                <w:bCs w:val="0"/>
                <w:noProof/>
                <w:webHidden/>
                <w:sz w:val="20"/>
                <w:szCs w:val="20"/>
              </w:rPr>
            </w:r>
            <w:r w:rsidRPr="00306F4D">
              <w:rPr>
                <w:rFonts w:ascii="Arial" w:hAnsi="Arial" w:cs="Arial"/>
                <w:b w:val="0"/>
                <w:bCs w:val="0"/>
                <w:noProof/>
                <w:webHidden/>
                <w:sz w:val="20"/>
                <w:szCs w:val="20"/>
              </w:rPr>
              <w:fldChar w:fldCharType="separate"/>
            </w:r>
            <w:r w:rsidRPr="00306F4D">
              <w:rPr>
                <w:rFonts w:ascii="Arial" w:hAnsi="Arial" w:cs="Arial"/>
                <w:b w:val="0"/>
                <w:bCs w:val="0"/>
                <w:noProof/>
                <w:webHidden/>
                <w:sz w:val="20"/>
                <w:szCs w:val="20"/>
              </w:rPr>
              <w:t>94</w:t>
            </w:r>
            <w:r w:rsidRPr="00306F4D">
              <w:rPr>
                <w:rFonts w:ascii="Arial" w:hAnsi="Arial" w:cs="Arial"/>
                <w:b w:val="0"/>
                <w:bCs w:val="0"/>
                <w:noProof/>
                <w:webHidden/>
                <w:sz w:val="20"/>
                <w:szCs w:val="20"/>
              </w:rPr>
              <w:fldChar w:fldCharType="end"/>
            </w:r>
          </w:hyperlink>
        </w:p>
        <w:p w14:paraId="52A253EB" w14:textId="398BA373" w:rsidR="00304420" w:rsidRPr="00306F4D" w:rsidRDefault="00304420" w:rsidP="00891BD1">
          <w:pPr>
            <w:pStyle w:val="TOC2"/>
            <w:tabs>
              <w:tab w:val="right" w:leader="dot" w:pos="9962"/>
            </w:tabs>
            <w:spacing w:before="60" w:line="240" w:lineRule="auto"/>
            <w:rPr>
              <w:rFonts w:ascii="Arial" w:eastAsiaTheme="minorEastAsia" w:hAnsi="Arial" w:cs="Arial"/>
              <w:b w:val="0"/>
              <w:bCs w:val="0"/>
              <w:noProof/>
              <w:color w:val="auto"/>
              <w:kern w:val="2"/>
              <w:sz w:val="20"/>
              <w:szCs w:val="20"/>
              <w14:ligatures w14:val="standardContextual"/>
            </w:rPr>
          </w:pPr>
          <w:hyperlink w:anchor="_Toc202893760" w:history="1">
            <w:r w:rsidRPr="00306F4D">
              <w:rPr>
                <w:rStyle w:val="Hyperlink"/>
                <w:rFonts w:ascii="Arial" w:eastAsia="Arial" w:hAnsi="Arial" w:cs="Arial"/>
                <w:b w:val="0"/>
                <w:bCs w:val="0"/>
                <w:noProof/>
                <w:sz w:val="20"/>
                <w:szCs w:val="20"/>
                <w:lang w:val="en-GB"/>
              </w:rPr>
              <w:t>Detailed Budget Breakdown</w:t>
            </w:r>
            <w:r w:rsidRPr="00306F4D">
              <w:rPr>
                <w:rFonts w:ascii="Arial" w:hAnsi="Arial" w:cs="Arial"/>
                <w:b w:val="0"/>
                <w:bCs w:val="0"/>
                <w:noProof/>
                <w:webHidden/>
                <w:sz w:val="20"/>
                <w:szCs w:val="20"/>
              </w:rPr>
              <w:tab/>
            </w:r>
            <w:r w:rsidRPr="00306F4D">
              <w:rPr>
                <w:rFonts w:ascii="Arial" w:hAnsi="Arial" w:cs="Arial"/>
                <w:b w:val="0"/>
                <w:bCs w:val="0"/>
                <w:noProof/>
                <w:webHidden/>
                <w:sz w:val="20"/>
                <w:szCs w:val="20"/>
              </w:rPr>
              <w:fldChar w:fldCharType="begin"/>
            </w:r>
            <w:r w:rsidRPr="00306F4D">
              <w:rPr>
                <w:rFonts w:ascii="Arial" w:hAnsi="Arial" w:cs="Arial"/>
                <w:b w:val="0"/>
                <w:bCs w:val="0"/>
                <w:noProof/>
                <w:webHidden/>
                <w:sz w:val="20"/>
                <w:szCs w:val="20"/>
              </w:rPr>
              <w:instrText xml:space="preserve"> PAGEREF _Toc202893760 \h </w:instrText>
            </w:r>
            <w:r w:rsidRPr="00306F4D">
              <w:rPr>
                <w:rFonts w:ascii="Arial" w:hAnsi="Arial" w:cs="Arial"/>
                <w:b w:val="0"/>
                <w:bCs w:val="0"/>
                <w:noProof/>
                <w:webHidden/>
                <w:sz w:val="20"/>
                <w:szCs w:val="20"/>
              </w:rPr>
            </w:r>
            <w:r w:rsidRPr="00306F4D">
              <w:rPr>
                <w:rFonts w:ascii="Arial" w:hAnsi="Arial" w:cs="Arial"/>
                <w:b w:val="0"/>
                <w:bCs w:val="0"/>
                <w:noProof/>
                <w:webHidden/>
                <w:sz w:val="20"/>
                <w:szCs w:val="20"/>
              </w:rPr>
              <w:fldChar w:fldCharType="separate"/>
            </w:r>
            <w:r w:rsidRPr="00306F4D">
              <w:rPr>
                <w:rFonts w:ascii="Arial" w:hAnsi="Arial" w:cs="Arial"/>
                <w:b w:val="0"/>
                <w:bCs w:val="0"/>
                <w:noProof/>
                <w:webHidden/>
                <w:sz w:val="20"/>
                <w:szCs w:val="20"/>
              </w:rPr>
              <w:t>96</w:t>
            </w:r>
            <w:r w:rsidRPr="00306F4D">
              <w:rPr>
                <w:rFonts w:ascii="Arial" w:hAnsi="Arial" w:cs="Arial"/>
                <w:b w:val="0"/>
                <w:bCs w:val="0"/>
                <w:noProof/>
                <w:webHidden/>
                <w:sz w:val="20"/>
                <w:szCs w:val="20"/>
              </w:rPr>
              <w:fldChar w:fldCharType="end"/>
            </w:r>
          </w:hyperlink>
        </w:p>
        <w:p w14:paraId="387A3D9B" w14:textId="4CB1B786" w:rsidR="00304420" w:rsidRPr="00306F4D" w:rsidRDefault="00304420" w:rsidP="00891BD1">
          <w:pPr>
            <w:pStyle w:val="TOC2"/>
            <w:tabs>
              <w:tab w:val="right" w:leader="dot" w:pos="9962"/>
            </w:tabs>
            <w:spacing w:before="60" w:line="240" w:lineRule="auto"/>
            <w:rPr>
              <w:rFonts w:ascii="Arial" w:eastAsiaTheme="minorEastAsia" w:hAnsi="Arial" w:cs="Arial"/>
              <w:b w:val="0"/>
              <w:bCs w:val="0"/>
              <w:noProof/>
              <w:color w:val="auto"/>
              <w:kern w:val="2"/>
              <w:sz w:val="20"/>
              <w:szCs w:val="20"/>
              <w14:ligatures w14:val="standardContextual"/>
            </w:rPr>
          </w:pPr>
          <w:hyperlink w:anchor="_Toc202893761" w:history="1">
            <w:r w:rsidRPr="00306F4D">
              <w:rPr>
                <w:rStyle w:val="Hyperlink"/>
                <w:rFonts w:ascii="Arial" w:eastAsia="Arial" w:hAnsi="Arial" w:cs="Arial"/>
                <w:b w:val="0"/>
                <w:bCs w:val="0"/>
                <w:noProof/>
                <w:sz w:val="20"/>
                <w:szCs w:val="20"/>
                <w:lang w:val="en-GB"/>
              </w:rPr>
              <w:t>Disbursement Schedule with Time-Bound Milestones</w:t>
            </w:r>
            <w:r w:rsidRPr="00306F4D">
              <w:rPr>
                <w:rFonts w:ascii="Arial" w:hAnsi="Arial" w:cs="Arial"/>
                <w:b w:val="0"/>
                <w:bCs w:val="0"/>
                <w:noProof/>
                <w:webHidden/>
                <w:sz w:val="20"/>
                <w:szCs w:val="20"/>
              </w:rPr>
              <w:tab/>
            </w:r>
            <w:r w:rsidRPr="00306F4D">
              <w:rPr>
                <w:rFonts w:ascii="Arial" w:hAnsi="Arial" w:cs="Arial"/>
                <w:b w:val="0"/>
                <w:bCs w:val="0"/>
                <w:noProof/>
                <w:webHidden/>
                <w:sz w:val="20"/>
                <w:szCs w:val="20"/>
              </w:rPr>
              <w:fldChar w:fldCharType="begin"/>
            </w:r>
            <w:r w:rsidRPr="00306F4D">
              <w:rPr>
                <w:rFonts w:ascii="Arial" w:hAnsi="Arial" w:cs="Arial"/>
                <w:b w:val="0"/>
                <w:bCs w:val="0"/>
                <w:noProof/>
                <w:webHidden/>
                <w:sz w:val="20"/>
                <w:szCs w:val="20"/>
              </w:rPr>
              <w:instrText xml:space="preserve"> PAGEREF _Toc202893761 \h </w:instrText>
            </w:r>
            <w:r w:rsidRPr="00306F4D">
              <w:rPr>
                <w:rFonts w:ascii="Arial" w:hAnsi="Arial" w:cs="Arial"/>
                <w:b w:val="0"/>
                <w:bCs w:val="0"/>
                <w:noProof/>
                <w:webHidden/>
                <w:sz w:val="20"/>
                <w:szCs w:val="20"/>
              </w:rPr>
            </w:r>
            <w:r w:rsidRPr="00306F4D">
              <w:rPr>
                <w:rFonts w:ascii="Arial" w:hAnsi="Arial" w:cs="Arial"/>
                <w:b w:val="0"/>
                <w:bCs w:val="0"/>
                <w:noProof/>
                <w:webHidden/>
                <w:sz w:val="20"/>
                <w:szCs w:val="20"/>
              </w:rPr>
              <w:fldChar w:fldCharType="separate"/>
            </w:r>
            <w:r w:rsidRPr="00306F4D">
              <w:rPr>
                <w:rFonts w:ascii="Arial" w:hAnsi="Arial" w:cs="Arial"/>
                <w:b w:val="0"/>
                <w:bCs w:val="0"/>
                <w:noProof/>
                <w:webHidden/>
                <w:sz w:val="20"/>
                <w:szCs w:val="20"/>
              </w:rPr>
              <w:t>96</w:t>
            </w:r>
            <w:r w:rsidRPr="00306F4D">
              <w:rPr>
                <w:rFonts w:ascii="Arial" w:hAnsi="Arial" w:cs="Arial"/>
                <w:b w:val="0"/>
                <w:bCs w:val="0"/>
                <w:noProof/>
                <w:webHidden/>
                <w:sz w:val="20"/>
                <w:szCs w:val="20"/>
              </w:rPr>
              <w:fldChar w:fldCharType="end"/>
            </w:r>
          </w:hyperlink>
        </w:p>
        <w:p w14:paraId="449A37FA" w14:textId="4BE13E14" w:rsidR="00304420" w:rsidRPr="00306F4D" w:rsidRDefault="00304420" w:rsidP="00891BD1">
          <w:pPr>
            <w:pStyle w:val="TOC1"/>
            <w:tabs>
              <w:tab w:val="right" w:leader="dot" w:pos="9962"/>
            </w:tabs>
            <w:spacing w:before="60" w:line="240" w:lineRule="auto"/>
            <w:rPr>
              <w:rFonts w:ascii="Arial" w:eastAsiaTheme="minorEastAsia" w:hAnsi="Arial" w:cs="Arial"/>
              <w:b w:val="0"/>
              <w:bCs w:val="0"/>
              <w:i w:val="0"/>
              <w:iCs w:val="0"/>
              <w:noProof/>
              <w:color w:val="auto"/>
              <w:kern w:val="2"/>
              <w:sz w:val="20"/>
              <w:szCs w:val="20"/>
              <w14:ligatures w14:val="standardContextual"/>
            </w:rPr>
          </w:pPr>
          <w:hyperlink w:anchor="_Toc202893762" w:history="1">
            <w:r w:rsidRPr="00306F4D">
              <w:rPr>
                <w:rStyle w:val="Hyperlink"/>
                <w:rFonts w:ascii="Arial" w:hAnsi="Arial" w:cs="Arial"/>
                <w:b w:val="0"/>
                <w:bCs w:val="0"/>
                <w:noProof/>
                <w:sz w:val="20"/>
                <w:szCs w:val="20"/>
                <w:lang w:val="en-GB"/>
              </w:rPr>
              <w:t>PART IV: ENDORSEMENT BY GOVERNMENTS AND CERTIFICATION BY THE IMPLEMENTING ENTITY</w:t>
            </w:r>
            <w:r w:rsidRPr="00306F4D">
              <w:rPr>
                <w:rFonts w:ascii="Arial" w:hAnsi="Arial" w:cs="Arial"/>
                <w:b w:val="0"/>
                <w:bCs w:val="0"/>
                <w:noProof/>
                <w:webHidden/>
                <w:sz w:val="20"/>
                <w:szCs w:val="20"/>
              </w:rPr>
              <w:tab/>
            </w:r>
            <w:r w:rsidRPr="00306F4D">
              <w:rPr>
                <w:rFonts w:ascii="Arial" w:hAnsi="Arial" w:cs="Arial"/>
                <w:b w:val="0"/>
                <w:bCs w:val="0"/>
                <w:noProof/>
                <w:webHidden/>
                <w:sz w:val="20"/>
                <w:szCs w:val="20"/>
              </w:rPr>
              <w:fldChar w:fldCharType="begin"/>
            </w:r>
            <w:r w:rsidRPr="00306F4D">
              <w:rPr>
                <w:rFonts w:ascii="Arial" w:hAnsi="Arial" w:cs="Arial"/>
                <w:b w:val="0"/>
                <w:bCs w:val="0"/>
                <w:noProof/>
                <w:webHidden/>
                <w:sz w:val="20"/>
                <w:szCs w:val="20"/>
              </w:rPr>
              <w:instrText xml:space="preserve"> PAGEREF _Toc202893762 \h </w:instrText>
            </w:r>
            <w:r w:rsidRPr="00306F4D">
              <w:rPr>
                <w:rFonts w:ascii="Arial" w:hAnsi="Arial" w:cs="Arial"/>
                <w:b w:val="0"/>
                <w:bCs w:val="0"/>
                <w:noProof/>
                <w:webHidden/>
                <w:sz w:val="20"/>
                <w:szCs w:val="20"/>
              </w:rPr>
            </w:r>
            <w:r w:rsidRPr="00306F4D">
              <w:rPr>
                <w:rFonts w:ascii="Arial" w:hAnsi="Arial" w:cs="Arial"/>
                <w:b w:val="0"/>
                <w:bCs w:val="0"/>
                <w:noProof/>
                <w:webHidden/>
                <w:sz w:val="20"/>
                <w:szCs w:val="20"/>
              </w:rPr>
              <w:fldChar w:fldCharType="separate"/>
            </w:r>
            <w:r w:rsidRPr="00306F4D">
              <w:rPr>
                <w:rFonts w:ascii="Arial" w:hAnsi="Arial" w:cs="Arial"/>
                <w:b w:val="0"/>
                <w:bCs w:val="0"/>
                <w:noProof/>
                <w:webHidden/>
                <w:sz w:val="20"/>
                <w:szCs w:val="20"/>
              </w:rPr>
              <w:t>97</w:t>
            </w:r>
            <w:r w:rsidRPr="00306F4D">
              <w:rPr>
                <w:rFonts w:ascii="Arial" w:hAnsi="Arial" w:cs="Arial"/>
                <w:b w:val="0"/>
                <w:bCs w:val="0"/>
                <w:noProof/>
                <w:webHidden/>
                <w:sz w:val="20"/>
                <w:szCs w:val="20"/>
              </w:rPr>
              <w:fldChar w:fldCharType="end"/>
            </w:r>
          </w:hyperlink>
        </w:p>
        <w:p w14:paraId="6B625566" w14:textId="69AB6BDC" w:rsidR="00304420" w:rsidRPr="00306F4D" w:rsidRDefault="00304420" w:rsidP="00891BD1">
          <w:pPr>
            <w:pStyle w:val="TOC1"/>
            <w:tabs>
              <w:tab w:val="right" w:leader="dot" w:pos="9962"/>
            </w:tabs>
            <w:spacing w:before="60" w:line="240" w:lineRule="auto"/>
            <w:rPr>
              <w:rFonts w:ascii="Arial" w:eastAsiaTheme="minorEastAsia" w:hAnsi="Arial" w:cs="Arial"/>
              <w:b w:val="0"/>
              <w:bCs w:val="0"/>
              <w:i w:val="0"/>
              <w:iCs w:val="0"/>
              <w:noProof/>
              <w:color w:val="auto"/>
              <w:kern w:val="2"/>
              <w:sz w:val="20"/>
              <w:szCs w:val="20"/>
              <w14:ligatures w14:val="standardContextual"/>
            </w:rPr>
          </w:pPr>
          <w:hyperlink w:anchor="_Toc202893763" w:history="1">
            <w:r w:rsidRPr="00306F4D">
              <w:rPr>
                <w:rStyle w:val="Hyperlink"/>
                <w:rFonts w:ascii="Arial" w:hAnsi="Arial" w:cs="Arial"/>
                <w:b w:val="0"/>
                <w:bCs w:val="0"/>
                <w:noProof/>
                <w:sz w:val="20"/>
                <w:szCs w:val="20"/>
                <w:lang w:val="en-GB"/>
              </w:rPr>
              <w:t>PART V: Annexes</w:t>
            </w:r>
            <w:r w:rsidRPr="00306F4D">
              <w:rPr>
                <w:rFonts w:ascii="Arial" w:hAnsi="Arial" w:cs="Arial"/>
                <w:b w:val="0"/>
                <w:bCs w:val="0"/>
                <w:noProof/>
                <w:webHidden/>
                <w:sz w:val="20"/>
                <w:szCs w:val="20"/>
              </w:rPr>
              <w:tab/>
            </w:r>
            <w:r w:rsidRPr="00306F4D">
              <w:rPr>
                <w:rFonts w:ascii="Arial" w:hAnsi="Arial" w:cs="Arial"/>
                <w:b w:val="0"/>
                <w:bCs w:val="0"/>
                <w:noProof/>
                <w:webHidden/>
                <w:sz w:val="20"/>
                <w:szCs w:val="20"/>
              </w:rPr>
              <w:fldChar w:fldCharType="begin"/>
            </w:r>
            <w:r w:rsidRPr="00306F4D">
              <w:rPr>
                <w:rFonts w:ascii="Arial" w:hAnsi="Arial" w:cs="Arial"/>
                <w:b w:val="0"/>
                <w:bCs w:val="0"/>
                <w:noProof/>
                <w:webHidden/>
                <w:sz w:val="20"/>
                <w:szCs w:val="20"/>
              </w:rPr>
              <w:instrText xml:space="preserve"> PAGEREF _Toc202893763 \h </w:instrText>
            </w:r>
            <w:r w:rsidRPr="00306F4D">
              <w:rPr>
                <w:rFonts w:ascii="Arial" w:hAnsi="Arial" w:cs="Arial"/>
                <w:b w:val="0"/>
                <w:bCs w:val="0"/>
                <w:noProof/>
                <w:webHidden/>
                <w:sz w:val="20"/>
                <w:szCs w:val="20"/>
              </w:rPr>
            </w:r>
            <w:r w:rsidRPr="00306F4D">
              <w:rPr>
                <w:rFonts w:ascii="Arial" w:hAnsi="Arial" w:cs="Arial"/>
                <w:b w:val="0"/>
                <w:bCs w:val="0"/>
                <w:noProof/>
                <w:webHidden/>
                <w:sz w:val="20"/>
                <w:szCs w:val="20"/>
              </w:rPr>
              <w:fldChar w:fldCharType="separate"/>
            </w:r>
            <w:r w:rsidRPr="00306F4D">
              <w:rPr>
                <w:rFonts w:ascii="Arial" w:hAnsi="Arial" w:cs="Arial"/>
                <w:b w:val="0"/>
                <w:bCs w:val="0"/>
                <w:noProof/>
                <w:webHidden/>
                <w:sz w:val="20"/>
                <w:szCs w:val="20"/>
              </w:rPr>
              <w:t>98</w:t>
            </w:r>
            <w:r w:rsidRPr="00306F4D">
              <w:rPr>
                <w:rFonts w:ascii="Arial" w:hAnsi="Arial" w:cs="Arial"/>
                <w:b w:val="0"/>
                <w:bCs w:val="0"/>
                <w:noProof/>
                <w:webHidden/>
                <w:sz w:val="20"/>
                <w:szCs w:val="20"/>
              </w:rPr>
              <w:fldChar w:fldCharType="end"/>
            </w:r>
          </w:hyperlink>
        </w:p>
        <w:p w14:paraId="4B3B8801" w14:textId="36731341" w:rsidR="0004143D" w:rsidRPr="00306F4D" w:rsidRDefault="00681E35" w:rsidP="00891BD1">
          <w:pPr>
            <w:spacing w:before="60" w:after="0" w:line="240" w:lineRule="auto"/>
          </w:pPr>
          <w:r w:rsidRPr="00306F4D">
            <w:rPr>
              <w:rFonts w:ascii="Arial" w:hAnsi="Arial" w:cs="Arial"/>
              <w:i/>
              <w:iCs/>
              <w:sz w:val="20"/>
              <w:szCs w:val="20"/>
            </w:rPr>
            <w:fldChar w:fldCharType="end"/>
          </w:r>
        </w:p>
      </w:sdtContent>
    </w:sdt>
    <w:p w14:paraId="75AE4AF9" w14:textId="77777777" w:rsidR="00681E35" w:rsidRPr="00306F4D" w:rsidRDefault="00681E35" w:rsidP="338C5E83">
      <w:pPr>
        <w:pStyle w:val="Heading1"/>
        <w:rPr>
          <w:lang w:val="en-GB"/>
        </w:rPr>
      </w:pPr>
    </w:p>
    <w:p w14:paraId="308CBC0A" w14:textId="77777777" w:rsidR="00681E35" w:rsidRPr="00306F4D" w:rsidRDefault="00681E35" w:rsidP="00681E35">
      <w:pPr>
        <w:rPr>
          <w:lang w:val="en-GB"/>
        </w:rPr>
      </w:pPr>
    </w:p>
    <w:p w14:paraId="60EBA1E4" w14:textId="5151E9D9" w:rsidR="00F04FEE" w:rsidRPr="00306F4D" w:rsidRDefault="23D421EF" w:rsidP="338C5E83">
      <w:pPr>
        <w:pStyle w:val="Heading1"/>
        <w:rPr>
          <w:sz w:val="20"/>
          <w:szCs w:val="20"/>
          <w:lang w:val="en-GB"/>
        </w:rPr>
      </w:pPr>
      <w:bookmarkStart w:id="2" w:name="_Toc202893724"/>
      <w:r w:rsidRPr="00306F4D">
        <w:rPr>
          <w:lang w:val="en-GB"/>
        </w:rPr>
        <w:lastRenderedPageBreak/>
        <w:t>PART I: PROJECT INFORMATION</w:t>
      </w:r>
      <w:bookmarkEnd w:id="2"/>
    </w:p>
    <w:p w14:paraId="080EAA22" w14:textId="77777777" w:rsidR="006828A6" w:rsidRPr="00306F4D" w:rsidRDefault="006828A6" w:rsidP="49C6F20D">
      <w:pPr>
        <w:pStyle w:val="Heading1"/>
        <w:ind w:left="0" w:firstLine="0"/>
        <w:rPr>
          <w:sz w:val="20"/>
          <w:szCs w:val="20"/>
          <w:lang w:val="en-GB"/>
        </w:rPr>
      </w:pPr>
      <w:bookmarkStart w:id="3" w:name="_Toc202893725"/>
    </w:p>
    <w:p w14:paraId="76119A94" w14:textId="2F0FB139" w:rsidR="00F04FEE" w:rsidRPr="00306F4D" w:rsidRDefault="79BF2DFD" w:rsidP="49C6F20D">
      <w:pPr>
        <w:pStyle w:val="Heading1"/>
        <w:ind w:left="0" w:firstLine="0"/>
        <w:rPr>
          <w:sz w:val="20"/>
          <w:szCs w:val="20"/>
          <w:lang w:val="en-GB"/>
        </w:rPr>
      </w:pPr>
      <w:r w:rsidRPr="00306F4D">
        <w:rPr>
          <w:sz w:val="20"/>
          <w:szCs w:val="20"/>
          <w:lang w:val="en-GB"/>
        </w:rPr>
        <w:t xml:space="preserve">Project Background and </w:t>
      </w:r>
      <w:bookmarkEnd w:id="0"/>
      <w:bookmarkEnd w:id="1"/>
      <w:r w:rsidR="1C1253D7" w:rsidRPr="00306F4D">
        <w:rPr>
          <w:sz w:val="20"/>
          <w:szCs w:val="20"/>
          <w:lang w:val="en-GB"/>
        </w:rPr>
        <w:t>Context</w:t>
      </w:r>
      <w:bookmarkEnd w:id="3"/>
    </w:p>
    <w:p w14:paraId="10E148AC" w14:textId="5F638533" w:rsidR="00F04FEE" w:rsidRPr="00306F4D" w:rsidRDefault="5E98AD9C" w:rsidP="0022401A">
      <w:pPr>
        <w:spacing w:before="240" w:after="240" w:line="276" w:lineRule="auto"/>
        <w:rPr>
          <w:rFonts w:ascii="Arial" w:eastAsia="Arial" w:hAnsi="Arial" w:cs="Arial"/>
          <w:b/>
          <w:color w:val="1F3763" w:themeColor="accent1" w:themeShade="7F"/>
          <w:sz w:val="20"/>
          <w:szCs w:val="20"/>
          <w:lang w:val="en-GB"/>
        </w:rPr>
      </w:pPr>
      <w:bookmarkStart w:id="4" w:name="_Toc323291485"/>
      <w:bookmarkStart w:id="5" w:name="_Toc1342602677"/>
      <w:bookmarkStart w:id="6" w:name="_Toc202893726"/>
      <w:r w:rsidRPr="00306F4D">
        <w:rPr>
          <w:rStyle w:val="Heading2Char"/>
          <w:rFonts w:ascii="Arial" w:hAnsi="Arial" w:cs="Arial"/>
          <w:b/>
          <w:bCs/>
          <w:sz w:val="20"/>
          <w:szCs w:val="20"/>
          <w:lang w:val="en-GB"/>
        </w:rPr>
        <w:t>Problem Statement</w:t>
      </w:r>
      <w:bookmarkEnd w:id="4"/>
      <w:bookmarkEnd w:id="5"/>
      <w:bookmarkEnd w:id="6"/>
      <w:r w:rsidR="725FD28C" w:rsidRPr="00306F4D">
        <w:rPr>
          <w:rStyle w:val="Heading2Char"/>
          <w:rFonts w:ascii="Arial" w:hAnsi="Arial" w:cs="Arial"/>
          <w:b/>
          <w:bCs/>
          <w:sz w:val="20"/>
          <w:szCs w:val="20"/>
          <w:lang w:val="en-GB"/>
        </w:rPr>
        <w:br/>
      </w:r>
      <w:r w:rsidR="619E0B2B" w:rsidRPr="00306F4D">
        <w:rPr>
          <w:rFonts w:ascii="Arial" w:eastAsia="Arial" w:hAnsi="Arial" w:cs="Arial"/>
          <w:sz w:val="20"/>
          <w:szCs w:val="20"/>
        </w:rPr>
        <w:t xml:space="preserve">The Western Balkans, a region rich in cultural heritage and natural resources, faces a growing climate crisis that threatens its economic, social, and environmental stability. This Regional Innovation Project focuses on four countries: </w:t>
      </w:r>
      <w:r w:rsidR="619E0B2B" w:rsidRPr="00306F4D">
        <w:rPr>
          <w:rFonts w:ascii="Arial" w:eastAsia="Arial" w:hAnsi="Arial" w:cs="Arial"/>
          <w:b/>
          <w:bCs/>
          <w:sz w:val="20"/>
          <w:szCs w:val="20"/>
        </w:rPr>
        <w:t>Bosnia and Herzegovina, Montenegro, North Macedonia</w:t>
      </w:r>
      <w:r w:rsidR="619E0B2B" w:rsidRPr="00306F4D">
        <w:rPr>
          <w:rFonts w:ascii="Arial" w:eastAsia="Arial" w:hAnsi="Arial" w:cs="Arial"/>
          <w:sz w:val="20"/>
          <w:szCs w:val="20"/>
        </w:rPr>
        <w:t xml:space="preserve">, and </w:t>
      </w:r>
      <w:r w:rsidR="619E0B2B" w:rsidRPr="00306F4D">
        <w:rPr>
          <w:rFonts w:ascii="Arial" w:eastAsia="Arial" w:hAnsi="Arial" w:cs="Arial"/>
          <w:b/>
          <w:bCs/>
          <w:sz w:val="20"/>
          <w:szCs w:val="20"/>
        </w:rPr>
        <w:t>Serbia</w:t>
      </w:r>
      <w:r w:rsidR="619E0B2B" w:rsidRPr="00306F4D">
        <w:rPr>
          <w:rFonts w:ascii="Arial" w:eastAsia="Arial" w:hAnsi="Arial" w:cs="Arial"/>
          <w:sz w:val="20"/>
          <w:szCs w:val="20"/>
        </w:rPr>
        <w:t>, all of which are already experiencing severe climate impacts, including more frequent and intense droughts, floods, wildfires, and landslides, worsened by rising temperatures and erratic rainfall patterns. These climate events undermine agriculture, water systems, and energy infrastructure, while placing vulnerable communities—particularly rural populations, women, youth, and marginalized groups—at greater risk.</w:t>
      </w:r>
    </w:p>
    <w:p w14:paraId="182B5AFC" w14:textId="6738B40C" w:rsidR="00F04FEE" w:rsidRPr="00306F4D" w:rsidRDefault="38E9F01E" w:rsidP="5B98DBE1">
      <w:pPr>
        <w:spacing w:before="240" w:after="240" w:line="276" w:lineRule="auto"/>
        <w:jc w:val="both"/>
        <w:rPr>
          <w:rFonts w:ascii="Arial" w:eastAsia="Arial" w:hAnsi="Arial" w:cs="Arial"/>
          <w:sz w:val="20"/>
          <w:szCs w:val="20"/>
        </w:rPr>
      </w:pPr>
      <w:r w:rsidRPr="00306F4D">
        <w:rPr>
          <w:rFonts w:ascii="Arial" w:eastAsia="Arial" w:hAnsi="Arial" w:cs="Arial"/>
          <w:sz w:val="20"/>
          <w:szCs w:val="20"/>
        </w:rPr>
        <w:t xml:space="preserve">Despite progress in national climate strategies through the formulation of Nationally Determined Contributions (NDCs) and National Adaptation Plans (NAPs), there remains a significant gap in implementation. Local actors—such as civil society organizations (CSOs), </w:t>
      </w:r>
      <w:r w:rsidR="5DC9B59F" w:rsidRPr="00306F4D">
        <w:rPr>
          <w:rFonts w:ascii="Arial" w:eastAsia="Arial" w:hAnsi="Arial" w:cs="Arial"/>
          <w:sz w:val="20"/>
          <w:szCs w:val="20"/>
        </w:rPr>
        <w:t xml:space="preserve">micro </w:t>
      </w:r>
      <w:r w:rsidRPr="00306F4D">
        <w:rPr>
          <w:rFonts w:ascii="Arial" w:eastAsia="Arial" w:hAnsi="Arial" w:cs="Arial"/>
          <w:sz w:val="20"/>
          <w:szCs w:val="20"/>
        </w:rPr>
        <w:t>small and medium-sized enterprises (</w:t>
      </w:r>
      <w:r w:rsidR="3EA9412B" w:rsidRPr="00306F4D">
        <w:rPr>
          <w:rFonts w:ascii="Arial" w:eastAsia="Arial" w:hAnsi="Arial" w:cs="Arial"/>
          <w:sz w:val="20"/>
          <w:szCs w:val="20"/>
        </w:rPr>
        <w:t>M</w:t>
      </w:r>
      <w:r w:rsidRPr="00306F4D">
        <w:rPr>
          <w:rFonts w:ascii="Arial" w:eastAsia="Arial" w:hAnsi="Arial" w:cs="Arial"/>
          <w:sz w:val="20"/>
          <w:szCs w:val="20"/>
        </w:rPr>
        <w:t xml:space="preserve">SMEs), cooperatives, and community-based groups—often face challenges in accessing the financial and technical resources necessary to develop and scale context-relevant adaptation solutions. </w:t>
      </w:r>
      <w:r w:rsidR="13702413" w:rsidRPr="00306F4D">
        <w:rPr>
          <w:rFonts w:ascii="Arial" w:eastAsia="Arial" w:hAnsi="Arial" w:cs="Arial"/>
          <w:sz w:val="20"/>
          <w:szCs w:val="20"/>
        </w:rPr>
        <w:t>At the same time</w:t>
      </w:r>
      <w:r w:rsidRPr="00306F4D">
        <w:rPr>
          <w:rFonts w:ascii="Arial" w:eastAsia="Arial" w:hAnsi="Arial" w:cs="Arial"/>
          <w:sz w:val="20"/>
          <w:szCs w:val="20"/>
        </w:rPr>
        <w:t xml:space="preserve">, the region's adaptation innovation ecosystems remain underdeveloped, with insufficient regional collaboration and limited knowledge exchange. These barriers contribute to slow progress and </w:t>
      </w:r>
      <w:proofErr w:type="gramStart"/>
      <w:r w:rsidRPr="00306F4D">
        <w:rPr>
          <w:rFonts w:ascii="Arial" w:eastAsia="Arial" w:hAnsi="Arial" w:cs="Arial"/>
          <w:sz w:val="20"/>
          <w:szCs w:val="20"/>
        </w:rPr>
        <w:t>missed</w:t>
      </w:r>
      <w:proofErr w:type="gramEnd"/>
      <w:r w:rsidRPr="00306F4D">
        <w:rPr>
          <w:rFonts w:ascii="Arial" w:eastAsia="Arial" w:hAnsi="Arial" w:cs="Arial"/>
          <w:sz w:val="20"/>
          <w:szCs w:val="20"/>
        </w:rPr>
        <w:t xml:space="preserve"> opportunities to leverage local </w:t>
      </w:r>
      <w:r w:rsidR="7BAE1F22" w:rsidRPr="00306F4D">
        <w:rPr>
          <w:rFonts w:ascii="Arial" w:eastAsia="Arial" w:hAnsi="Arial" w:cs="Arial"/>
          <w:color w:val="auto"/>
          <w:sz w:val="20"/>
          <w:szCs w:val="20"/>
        </w:rPr>
        <w:t>adaptation</w:t>
      </w:r>
      <w:r w:rsidR="1FC594A7" w:rsidRPr="00306F4D">
        <w:rPr>
          <w:rFonts w:ascii="Arial" w:eastAsia="Arial" w:hAnsi="Arial" w:cs="Arial"/>
          <w:color w:val="auto"/>
          <w:sz w:val="20"/>
          <w:szCs w:val="20"/>
        </w:rPr>
        <w:t xml:space="preserve"> </w:t>
      </w:r>
      <w:r w:rsidRPr="00306F4D">
        <w:rPr>
          <w:rFonts w:ascii="Arial" w:eastAsia="Arial" w:hAnsi="Arial" w:cs="Arial"/>
          <w:sz w:val="20"/>
          <w:szCs w:val="20"/>
        </w:rPr>
        <w:t>innovation.</w:t>
      </w:r>
    </w:p>
    <w:p w14:paraId="4B317DC2" w14:textId="65CED8F1" w:rsidR="02E2BB75" w:rsidRPr="00306F4D" w:rsidRDefault="3B6BCA1F" w:rsidP="00934295">
      <w:pPr>
        <w:spacing w:before="240" w:after="240" w:line="276" w:lineRule="auto"/>
        <w:jc w:val="both"/>
        <w:rPr>
          <w:rStyle w:val="Heading2Char"/>
          <w:rFonts w:ascii="Arial" w:eastAsia="Arial" w:hAnsi="Arial" w:cs="Arial"/>
          <w:color w:val="000000"/>
          <w:sz w:val="20"/>
          <w:szCs w:val="20"/>
          <w:lang w:val="en-GB"/>
        </w:rPr>
      </w:pPr>
      <w:r w:rsidRPr="00306F4D">
        <w:rPr>
          <w:rFonts w:ascii="Arial" w:eastAsia="Arial" w:hAnsi="Arial" w:cs="Arial"/>
          <w:sz w:val="20"/>
          <w:szCs w:val="20"/>
        </w:rPr>
        <w:t xml:space="preserve">The </w:t>
      </w:r>
      <w:r w:rsidR="7B422D30" w:rsidRPr="00306F4D">
        <w:rPr>
          <w:rFonts w:ascii="Arial" w:eastAsia="Arial" w:hAnsi="Arial" w:cs="Arial"/>
          <w:b/>
          <w:bCs/>
          <w:sz w:val="20"/>
          <w:szCs w:val="20"/>
        </w:rPr>
        <w:t xml:space="preserve">Balkan </w:t>
      </w:r>
      <w:r w:rsidR="49F7D367" w:rsidRPr="00306F4D">
        <w:rPr>
          <w:rFonts w:ascii="Arial" w:eastAsia="Arial" w:hAnsi="Arial" w:cs="Arial"/>
          <w:b/>
          <w:bCs/>
          <w:sz w:val="20"/>
          <w:szCs w:val="20"/>
        </w:rPr>
        <w:t xml:space="preserve">Climate </w:t>
      </w:r>
      <w:r w:rsidR="7B422D30" w:rsidRPr="00306F4D">
        <w:rPr>
          <w:rFonts w:ascii="Arial" w:eastAsia="Arial" w:hAnsi="Arial" w:cs="Arial"/>
          <w:b/>
          <w:bCs/>
          <w:sz w:val="20"/>
          <w:szCs w:val="20"/>
        </w:rPr>
        <w:t xml:space="preserve">Adaptation Futures: A Regional Innovation Initiative for </w:t>
      </w:r>
      <w:r w:rsidR="0AAF1AF9" w:rsidRPr="00306F4D">
        <w:rPr>
          <w:rFonts w:ascii="Arial" w:eastAsia="Arial" w:hAnsi="Arial" w:cs="Arial"/>
          <w:b/>
          <w:bCs/>
          <w:sz w:val="20"/>
          <w:szCs w:val="20"/>
        </w:rPr>
        <w:t>R</w:t>
      </w:r>
      <w:r w:rsidR="7B422D30" w:rsidRPr="00306F4D">
        <w:rPr>
          <w:rFonts w:ascii="Arial" w:eastAsia="Arial" w:hAnsi="Arial" w:cs="Arial"/>
          <w:b/>
          <w:bCs/>
          <w:sz w:val="20"/>
          <w:szCs w:val="20"/>
        </w:rPr>
        <w:t>esilience</w:t>
      </w:r>
      <w:r w:rsidRPr="00306F4D">
        <w:rPr>
          <w:rStyle w:val="Strong"/>
          <w:rFonts w:ascii="Arial" w:eastAsia="Arial" w:hAnsi="Arial" w:cs="Arial"/>
          <w:b w:val="0"/>
          <w:bCs w:val="0"/>
          <w:sz w:val="20"/>
          <w:szCs w:val="20"/>
        </w:rPr>
        <w:t xml:space="preserve"> </w:t>
      </w:r>
      <w:r w:rsidRPr="00306F4D">
        <w:rPr>
          <w:rFonts w:ascii="Arial" w:eastAsia="Arial" w:hAnsi="Arial" w:cs="Arial"/>
          <w:sz w:val="20"/>
          <w:szCs w:val="20"/>
        </w:rPr>
        <w:t xml:space="preserve">(hereafter referred to as </w:t>
      </w:r>
      <w:r w:rsidRPr="00306F4D">
        <w:rPr>
          <w:rStyle w:val="Strong"/>
          <w:rFonts w:ascii="Arial" w:eastAsia="Arial" w:hAnsi="Arial" w:cs="Arial"/>
          <w:sz w:val="20"/>
          <w:szCs w:val="20"/>
        </w:rPr>
        <w:t>the Regional Project</w:t>
      </w:r>
      <w:r w:rsidRPr="00306F4D">
        <w:rPr>
          <w:rFonts w:ascii="Arial" w:eastAsia="Arial" w:hAnsi="Arial" w:cs="Arial"/>
          <w:sz w:val="20"/>
          <w:szCs w:val="20"/>
        </w:rPr>
        <w:t>)</w:t>
      </w:r>
      <w:r w:rsidR="2490604D" w:rsidRPr="00306F4D">
        <w:rPr>
          <w:rFonts w:ascii="Arial" w:eastAsia="Arial" w:hAnsi="Arial" w:cs="Arial"/>
          <w:sz w:val="20"/>
          <w:szCs w:val="20"/>
        </w:rPr>
        <w:t xml:space="preserve"> seeks to address these gaps by fostering regional collaboration, empowering local actors, and supporting the development </w:t>
      </w:r>
      <w:r w:rsidR="72521CA6" w:rsidRPr="00306F4D">
        <w:rPr>
          <w:rFonts w:ascii="Arial" w:eastAsia="Arial" w:hAnsi="Arial" w:cs="Arial"/>
          <w:sz w:val="20"/>
          <w:szCs w:val="20"/>
        </w:rPr>
        <w:t>and acceleration</w:t>
      </w:r>
      <w:r w:rsidR="2490604D" w:rsidRPr="00306F4D">
        <w:rPr>
          <w:rFonts w:ascii="Arial" w:eastAsia="Arial" w:hAnsi="Arial" w:cs="Arial"/>
          <w:sz w:val="20"/>
          <w:szCs w:val="20"/>
        </w:rPr>
        <w:t xml:space="preserve"> of </w:t>
      </w:r>
      <w:proofErr w:type="gramStart"/>
      <w:r w:rsidR="2490604D" w:rsidRPr="00306F4D">
        <w:rPr>
          <w:rFonts w:ascii="Arial" w:eastAsia="Arial" w:hAnsi="Arial" w:cs="Arial"/>
          <w:sz w:val="20"/>
          <w:szCs w:val="20"/>
        </w:rPr>
        <w:t>locally-led</w:t>
      </w:r>
      <w:proofErr w:type="gramEnd"/>
      <w:r w:rsidR="2490604D" w:rsidRPr="00306F4D">
        <w:rPr>
          <w:rFonts w:ascii="Arial" w:eastAsia="Arial" w:hAnsi="Arial" w:cs="Arial"/>
          <w:sz w:val="20"/>
          <w:szCs w:val="20"/>
        </w:rPr>
        <w:t>, scalable adaptation innovations. By building on existing innovation capacities and enhancing coordination across the region, the project will reduce transaction costs, streamline processes, and ensure more effective implementation of adaptation solutions</w:t>
      </w:r>
      <w:r w:rsidR="36D6BD26" w:rsidRPr="00306F4D">
        <w:rPr>
          <w:rFonts w:ascii="Arial" w:eastAsia="Arial" w:hAnsi="Arial" w:cs="Arial"/>
          <w:sz w:val="20"/>
          <w:szCs w:val="20"/>
        </w:rPr>
        <w:t xml:space="preserve"> and </w:t>
      </w:r>
      <w:r w:rsidR="7FCD03BA" w:rsidRPr="00306F4D">
        <w:rPr>
          <w:rFonts w:ascii="Arial" w:eastAsia="Arial" w:hAnsi="Arial" w:cs="Arial"/>
          <w:sz w:val="20"/>
          <w:szCs w:val="20"/>
        </w:rPr>
        <w:t xml:space="preserve">focus </w:t>
      </w:r>
      <w:r w:rsidR="650B9C89" w:rsidRPr="00306F4D">
        <w:rPr>
          <w:rFonts w:ascii="Arial" w:eastAsia="Arial" w:hAnsi="Arial" w:cs="Arial"/>
          <w:sz w:val="20"/>
          <w:szCs w:val="20"/>
        </w:rPr>
        <w:t>on</w:t>
      </w:r>
      <w:r w:rsidR="7FCD03BA" w:rsidRPr="00306F4D">
        <w:rPr>
          <w:rFonts w:ascii="Arial" w:eastAsia="Arial" w:hAnsi="Arial" w:cs="Arial"/>
          <w:sz w:val="20"/>
          <w:szCs w:val="20"/>
        </w:rPr>
        <w:t xml:space="preserve"> their replication and scalability</w:t>
      </w:r>
      <w:r w:rsidR="790E5E00" w:rsidRPr="00306F4D">
        <w:rPr>
          <w:rFonts w:ascii="Arial" w:eastAsia="Arial" w:hAnsi="Arial" w:cs="Arial"/>
          <w:sz w:val="20"/>
          <w:szCs w:val="20"/>
        </w:rPr>
        <w:t xml:space="preserve"> to generate more impact</w:t>
      </w:r>
      <w:r w:rsidR="2490604D" w:rsidRPr="00306F4D">
        <w:rPr>
          <w:rFonts w:ascii="Arial" w:eastAsia="Arial" w:hAnsi="Arial" w:cs="Arial"/>
          <w:sz w:val="20"/>
          <w:szCs w:val="20"/>
        </w:rPr>
        <w:t xml:space="preserve">. It will also promote the integration of lessons learned from previous </w:t>
      </w:r>
      <w:r w:rsidR="38006A2A" w:rsidRPr="00306F4D">
        <w:rPr>
          <w:rFonts w:ascii="Arial" w:eastAsia="Arial" w:hAnsi="Arial" w:cs="Arial"/>
          <w:sz w:val="20"/>
          <w:szCs w:val="20"/>
        </w:rPr>
        <w:t xml:space="preserve">and ongoing relevant adaptation </w:t>
      </w:r>
      <w:r w:rsidR="2490604D" w:rsidRPr="00306F4D">
        <w:rPr>
          <w:rFonts w:ascii="Arial" w:eastAsia="Arial" w:hAnsi="Arial" w:cs="Arial"/>
          <w:sz w:val="20"/>
          <w:szCs w:val="20"/>
        </w:rPr>
        <w:t>initiatives to accelerate progress toward resilience, particularly for vulnerable communities.</w:t>
      </w:r>
      <w:bookmarkStart w:id="7" w:name="_Toc2089402340"/>
      <w:bookmarkStart w:id="8" w:name="_Toc1974655414"/>
    </w:p>
    <w:p w14:paraId="4B923A92" w14:textId="5AC082E2" w:rsidR="64580485" w:rsidRPr="00306F4D" w:rsidRDefault="64580485" w:rsidP="02E2BB75">
      <w:pPr>
        <w:pStyle w:val="Heading3"/>
        <w:rPr>
          <w:rStyle w:val="Heading2Char"/>
          <w:rFonts w:ascii="Arial" w:hAnsi="Arial" w:cs="Arial"/>
          <w:b/>
          <w:bCs/>
          <w:sz w:val="20"/>
          <w:szCs w:val="20"/>
          <w:lang w:val="en-GB"/>
        </w:rPr>
      </w:pPr>
      <w:bookmarkStart w:id="9" w:name="_Toc202893727"/>
      <w:r w:rsidRPr="00306F4D">
        <w:rPr>
          <w:rStyle w:val="Heading2Char"/>
          <w:rFonts w:ascii="Arial" w:hAnsi="Arial" w:cs="Arial"/>
          <w:b/>
          <w:bCs/>
          <w:sz w:val="20"/>
          <w:szCs w:val="20"/>
          <w:lang w:val="en-GB"/>
        </w:rPr>
        <w:t xml:space="preserve">The </w:t>
      </w:r>
      <w:r w:rsidR="29BF1566" w:rsidRPr="00306F4D">
        <w:rPr>
          <w:rStyle w:val="Heading2Char"/>
          <w:rFonts w:ascii="Arial" w:hAnsi="Arial" w:cs="Arial"/>
          <w:b/>
          <w:bCs/>
          <w:sz w:val="20"/>
          <w:szCs w:val="20"/>
          <w:lang w:val="en-GB"/>
        </w:rPr>
        <w:t>Western Balkans</w:t>
      </w:r>
      <w:r w:rsidR="06A219F0" w:rsidRPr="00306F4D">
        <w:rPr>
          <w:rStyle w:val="Heading2Char"/>
          <w:rFonts w:ascii="Arial" w:hAnsi="Arial" w:cs="Arial"/>
          <w:b/>
          <w:bCs/>
          <w:sz w:val="20"/>
          <w:szCs w:val="20"/>
          <w:lang w:val="en-GB"/>
        </w:rPr>
        <w:t xml:space="preserve"> Regi</w:t>
      </w:r>
      <w:bookmarkEnd w:id="7"/>
      <w:bookmarkEnd w:id="8"/>
      <w:r w:rsidR="03587381" w:rsidRPr="00306F4D">
        <w:rPr>
          <w:rStyle w:val="Heading2Char"/>
          <w:rFonts w:ascii="Arial" w:hAnsi="Arial" w:cs="Arial"/>
          <w:b/>
          <w:bCs/>
          <w:sz w:val="20"/>
          <w:szCs w:val="20"/>
          <w:lang w:val="en-GB"/>
        </w:rPr>
        <w:t>on</w:t>
      </w:r>
      <w:bookmarkEnd w:id="9"/>
    </w:p>
    <w:p w14:paraId="4D443151" w14:textId="1A706A1E" w:rsidR="00D7067C" w:rsidRPr="00306F4D" w:rsidRDefault="52DA0754" w:rsidP="000F7BF7">
      <w:pPr>
        <w:tabs>
          <w:tab w:val="left" w:pos="360"/>
        </w:tabs>
        <w:autoSpaceDE w:val="0"/>
        <w:autoSpaceDN w:val="0"/>
        <w:adjustRightInd w:val="0"/>
        <w:spacing w:before="120" w:after="240" w:line="240" w:lineRule="auto"/>
        <w:jc w:val="both"/>
        <w:rPr>
          <w:rFonts w:ascii="Arial" w:eastAsia="Arial" w:hAnsi="Arial" w:cs="Arial"/>
          <w:sz w:val="20"/>
          <w:szCs w:val="20"/>
        </w:rPr>
      </w:pPr>
      <w:r w:rsidRPr="00306F4D">
        <w:rPr>
          <w:rFonts w:ascii="Arial" w:eastAsia="Arial" w:hAnsi="Arial" w:cs="Arial"/>
          <w:color w:val="000000" w:themeColor="text1"/>
          <w:sz w:val="20"/>
          <w:szCs w:val="20"/>
        </w:rPr>
        <w:t xml:space="preserve">The Western Balkans region includes </w:t>
      </w:r>
      <w:r w:rsidR="00884F64" w:rsidRPr="00306F4D">
        <w:rPr>
          <w:rFonts w:ascii="Arial" w:eastAsia="Arial" w:hAnsi="Arial" w:cs="Arial"/>
          <w:color w:val="000000" w:themeColor="text1"/>
          <w:sz w:val="20"/>
          <w:szCs w:val="20"/>
        </w:rPr>
        <w:t>six</w:t>
      </w:r>
      <w:r w:rsidRPr="00306F4D">
        <w:rPr>
          <w:rFonts w:ascii="Arial" w:eastAsia="Arial" w:hAnsi="Arial" w:cs="Arial"/>
          <w:color w:val="000000" w:themeColor="text1"/>
          <w:sz w:val="20"/>
          <w:szCs w:val="20"/>
        </w:rPr>
        <w:t xml:space="preserve"> countries</w:t>
      </w:r>
      <w:r w:rsidR="00884F64" w:rsidRPr="00306F4D">
        <w:rPr>
          <w:rFonts w:ascii="Arial" w:eastAsia="Arial" w:hAnsi="Arial" w:cs="Arial"/>
          <w:color w:val="000000" w:themeColor="text1"/>
          <w:sz w:val="20"/>
          <w:szCs w:val="20"/>
        </w:rPr>
        <w:t xml:space="preserve"> and one territory</w:t>
      </w:r>
      <w:r w:rsidR="79DC9ECE" w:rsidRPr="00306F4D">
        <w:rPr>
          <w:rFonts w:ascii="Arial" w:eastAsia="Arial" w:hAnsi="Arial" w:cs="Arial"/>
          <w:color w:val="000000" w:themeColor="text1"/>
          <w:sz w:val="20"/>
          <w:szCs w:val="20"/>
        </w:rPr>
        <w:t xml:space="preserve"> -</w:t>
      </w:r>
      <w:r w:rsidRPr="00306F4D">
        <w:rPr>
          <w:rFonts w:ascii="Arial" w:eastAsia="Arial" w:hAnsi="Arial" w:cs="Arial"/>
          <w:color w:val="000000" w:themeColor="text1"/>
          <w:sz w:val="20"/>
          <w:szCs w:val="20"/>
        </w:rPr>
        <w:t xml:space="preserve"> Albania, Bosnia and Herzegovina, Croatia, Montenegro, North Macedonia, Serbia and Kosovo</w:t>
      </w:r>
      <w:r w:rsidR="00D7067C" w:rsidRPr="00306F4D">
        <w:rPr>
          <w:rFonts w:ascii="Arial" w:eastAsia="Arial" w:hAnsi="Arial" w:cs="Arial"/>
          <w:color w:val="000000" w:themeColor="text1"/>
          <w:sz w:val="20"/>
          <w:szCs w:val="20"/>
          <w:vertAlign w:val="superscript"/>
        </w:rPr>
        <w:footnoteReference w:id="3"/>
      </w:r>
      <w:r w:rsidRPr="00306F4D">
        <w:rPr>
          <w:rFonts w:ascii="Arial" w:eastAsia="Arial" w:hAnsi="Arial" w:cs="Arial"/>
          <w:color w:val="000000" w:themeColor="text1"/>
          <w:sz w:val="20"/>
          <w:szCs w:val="20"/>
        </w:rPr>
        <w:t xml:space="preserve"> </w:t>
      </w:r>
      <w:r w:rsidR="3F817E4F" w:rsidRPr="00306F4D">
        <w:rPr>
          <w:rFonts w:ascii="Arial" w:eastAsia="Arial" w:hAnsi="Arial" w:cs="Arial"/>
          <w:color w:val="000000" w:themeColor="text1"/>
          <w:sz w:val="20"/>
          <w:szCs w:val="20"/>
        </w:rPr>
        <w:t xml:space="preserve">. </w:t>
      </w:r>
      <w:r w:rsidR="003B66D0" w:rsidRPr="00306F4D">
        <w:rPr>
          <w:rFonts w:ascii="Arial" w:eastAsia="Arial" w:hAnsi="Arial" w:cs="Arial"/>
          <w:color w:val="000000" w:themeColor="text1"/>
          <w:sz w:val="20"/>
          <w:szCs w:val="20"/>
        </w:rPr>
        <w:t>T</w:t>
      </w:r>
      <w:r w:rsidR="5B42299E" w:rsidRPr="00306F4D">
        <w:rPr>
          <w:rFonts w:ascii="Arial" w:eastAsia="Arial" w:hAnsi="Arial" w:cs="Arial"/>
          <w:sz w:val="20"/>
          <w:szCs w:val="20"/>
        </w:rPr>
        <w:t>his proposal</w:t>
      </w:r>
      <w:r w:rsidR="003B66D0" w:rsidRPr="00306F4D">
        <w:rPr>
          <w:rFonts w:ascii="Arial" w:eastAsia="Arial" w:hAnsi="Arial" w:cs="Arial"/>
          <w:sz w:val="20"/>
          <w:szCs w:val="20"/>
        </w:rPr>
        <w:t xml:space="preserve"> targets four countri</w:t>
      </w:r>
      <w:r w:rsidR="00A64713" w:rsidRPr="00306F4D">
        <w:rPr>
          <w:rFonts w:ascii="Arial" w:eastAsia="Arial" w:hAnsi="Arial" w:cs="Arial"/>
          <w:sz w:val="20"/>
          <w:szCs w:val="20"/>
        </w:rPr>
        <w:t>e</w:t>
      </w:r>
      <w:r w:rsidR="003B66D0" w:rsidRPr="00306F4D">
        <w:rPr>
          <w:rFonts w:ascii="Arial" w:eastAsia="Arial" w:hAnsi="Arial" w:cs="Arial"/>
          <w:sz w:val="20"/>
          <w:szCs w:val="20"/>
        </w:rPr>
        <w:t>s in the subregion</w:t>
      </w:r>
      <w:r w:rsidR="00EB24BD" w:rsidRPr="00306F4D">
        <w:rPr>
          <w:rFonts w:ascii="Arial" w:eastAsia="Arial" w:hAnsi="Arial" w:cs="Arial"/>
          <w:sz w:val="20"/>
          <w:szCs w:val="20"/>
        </w:rPr>
        <w:t>:</w:t>
      </w:r>
      <w:r w:rsidR="002A0A51" w:rsidRPr="00306F4D">
        <w:rPr>
          <w:rFonts w:ascii="Arial" w:eastAsia="Arial" w:hAnsi="Arial" w:cs="Arial"/>
          <w:sz w:val="20"/>
          <w:szCs w:val="20"/>
        </w:rPr>
        <w:t xml:space="preserve"> Bosnia and Herzegovina, Montenegro, North Macedonia, and Serbia</w:t>
      </w:r>
      <w:r w:rsidR="00EB24BD" w:rsidRPr="00306F4D">
        <w:rPr>
          <w:rFonts w:ascii="Arial" w:eastAsia="Arial" w:hAnsi="Arial" w:cs="Arial"/>
          <w:sz w:val="20"/>
          <w:szCs w:val="20"/>
        </w:rPr>
        <w:t>.</w:t>
      </w:r>
      <w:r w:rsidR="5B42299E" w:rsidRPr="00306F4D">
        <w:rPr>
          <w:rFonts w:ascii="Arial" w:eastAsia="Arial" w:hAnsi="Arial" w:cs="Arial"/>
          <w:sz w:val="20"/>
          <w:szCs w:val="20"/>
        </w:rPr>
        <w:t xml:space="preserve"> </w:t>
      </w:r>
      <w:r w:rsidR="00EB24BD" w:rsidRPr="00306F4D">
        <w:rPr>
          <w:rFonts w:ascii="Arial" w:eastAsia="Arial" w:hAnsi="Arial" w:cs="Arial"/>
          <w:sz w:val="20"/>
          <w:szCs w:val="20"/>
        </w:rPr>
        <w:t>T</w:t>
      </w:r>
      <w:r w:rsidR="5B42299E" w:rsidRPr="00306F4D">
        <w:rPr>
          <w:rFonts w:ascii="Arial" w:eastAsia="Arial" w:hAnsi="Arial" w:cs="Arial"/>
          <w:sz w:val="20"/>
          <w:szCs w:val="20"/>
        </w:rPr>
        <w:t>he population of the region is declining due to factors like low birth rates and emigration. The</w:t>
      </w:r>
      <w:r w:rsidR="58DF4F9F" w:rsidRPr="00306F4D">
        <w:rPr>
          <w:rFonts w:ascii="Arial" w:eastAsia="Arial" w:hAnsi="Arial" w:cs="Arial"/>
          <w:sz w:val="20"/>
          <w:szCs w:val="20"/>
        </w:rPr>
        <w:t xml:space="preserve"> current population</w:t>
      </w:r>
      <w:r w:rsidR="000A3390" w:rsidRPr="00306F4D">
        <w:rPr>
          <w:rFonts w:ascii="Arial" w:eastAsia="Arial" w:hAnsi="Arial" w:cs="Arial"/>
          <w:sz w:val="20"/>
          <w:szCs w:val="20"/>
        </w:rPr>
        <w:t xml:space="preserve"> numbers</w:t>
      </w:r>
      <w:r w:rsidR="58DF4F9F" w:rsidRPr="00306F4D">
        <w:rPr>
          <w:rFonts w:ascii="Arial" w:eastAsia="Arial" w:hAnsi="Arial" w:cs="Arial"/>
          <w:sz w:val="20"/>
          <w:szCs w:val="20"/>
        </w:rPr>
        <w:t xml:space="preserve"> </w:t>
      </w:r>
      <w:r w:rsidR="00820F9A" w:rsidRPr="00306F4D">
        <w:rPr>
          <w:rFonts w:ascii="Arial" w:eastAsia="Arial" w:hAnsi="Arial" w:cs="Arial"/>
          <w:sz w:val="20"/>
          <w:szCs w:val="20"/>
        </w:rPr>
        <w:t>in</w:t>
      </w:r>
      <w:r w:rsidR="58DF4F9F" w:rsidRPr="00306F4D">
        <w:rPr>
          <w:rFonts w:ascii="Arial" w:eastAsia="Arial" w:hAnsi="Arial" w:cs="Arial"/>
          <w:sz w:val="20"/>
          <w:szCs w:val="20"/>
        </w:rPr>
        <w:t xml:space="preserve"> the four countries involved are: Montenegro</w:t>
      </w:r>
      <w:r w:rsidR="00D7067C" w:rsidRPr="00306F4D">
        <w:rPr>
          <w:rFonts w:ascii="Arial" w:eastAsia="Arial" w:hAnsi="Arial" w:cs="Arial"/>
          <w:sz w:val="20"/>
          <w:szCs w:val="20"/>
          <w:vertAlign w:val="superscript"/>
        </w:rPr>
        <w:footnoteReference w:id="4"/>
      </w:r>
      <w:r w:rsidR="65ED2113" w:rsidRPr="00306F4D">
        <w:rPr>
          <w:rFonts w:ascii="Arial" w:eastAsia="Arial" w:hAnsi="Arial" w:cs="Arial"/>
          <w:sz w:val="20"/>
          <w:szCs w:val="20"/>
        </w:rPr>
        <w:t xml:space="preserve"> </w:t>
      </w:r>
      <w:r w:rsidR="000A3390" w:rsidRPr="00306F4D">
        <w:rPr>
          <w:rFonts w:ascii="Arial" w:eastAsia="Arial" w:hAnsi="Arial" w:cs="Arial"/>
          <w:sz w:val="20"/>
          <w:szCs w:val="20"/>
        </w:rPr>
        <w:t xml:space="preserve">- </w:t>
      </w:r>
      <w:r w:rsidR="58DF4F9F" w:rsidRPr="00306F4D">
        <w:rPr>
          <w:rFonts w:ascii="Arial" w:eastAsia="Arial" w:hAnsi="Arial" w:cs="Arial"/>
          <w:sz w:val="20"/>
          <w:szCs w:val="20"/>
        </w:rPr>
        <w:t>632,925</w:t>
      </w:r>
      <w:r w:rsidR="000A3390" w:rsidRPr="00306F4D">
        <w:rPr>
          <w:rFonts w:ascii="Arial" w:eastAsia="Arial" w:hAnsi="Arial" w:cs="Arial"/>
          <w:sz w:val="20"/>
          <w:szCs w:val="20"/>
        </w:rPr>
        <w:t xml:space="preserve"> people</w:t>
      </w:r>
      <w:r w:rsidR="729D10C9" w:rsidRPr="00306F4D">
        <w:rPr>
          <w:rFonts w:ascii="Arial" w:eastAsia="Arial" w:hAnsi="Arial" w:cs="Arial"/>
          <w:sz w:val="20"/>
          <w:szCs w:val="20"/>
        </w:rPr>
        <w:t>,</w:t>
      </w:r>
      <w:r w:rsidR="58DF4F9F" w:rsidRPr="00306F4D">
        <w:rPr>
          <w:rFonts w:ascii="Arial" w:eastAsia="Arial" w:hAnsi="Arial" w:cs="Arial"/>
          <w:sz w:val="20"/>
          <w:szCs w:val="20"/>
        </w:rPr>
        <w:t xml:space="preserve"> North Macedonia</w:t>
      </w:r>
      <w:r w:rsidR="00D7067C" w:rsidRPr="00306F4D">
        <w:rPr>
          <w:rFonts w:ascii="Arial" w:eastAsia="Arial" w:hAnsi="Arial" w:cs="Arial"/>
          <w:sz w:val="20"/>
          <w:szCs w:val="20"/>
          <w:vertAlign w:val="superscript"/>
        </w:rPr>
        <w:footnoteReference w:id="5"/>
      </w:r>
      <w:r w:rsidR="609726CC" w:rsidRPr="00306F4D">
        <w:rPr>
          <w:rFonts w:ascii="Arial" w:eastAsia="Arial" w:hAnsi="Arial" w:cs="Arial"/>
          <w:sz w:val="20"/>
          <w:szCs w:val="20"/>
        </w:rPr>
        <w:t xml:space="preserve"> </w:t>
      </w:r>
      <w:r w:rsidR="000A3390" w:rsidRPr="00306F4D">
        <w:rPr>
          <w:rFonts w:ascii="Arial" w:eastAsia="Arial" w:hAnsi="Arial" w:cs="Arial"/>
          <w:sz w:val="20"/>
          <w:szCs w:val="20"/>
        </w:rPr>
        <w:t xml:space="preserve">- </w:t>
      </w:r>
      <w:r w:rsidR="58DF4F9F" w:rsidRPr="00306F4D">
        <w:rPr>
          <w:rFonts w:ascii="Arial" w:eastAsia="Arial" w:hAnsi="Arial" w:cs="Arial"/>
          <w:sz w:val="20"/>
          <w:szCs w:val="20"/>
        </w:rPr>
        <w:t>1,813,793</w:t>
      </w:r>
      <w:r w:rsidR="000A3390" w:rsidRPr="00306F4D">
        <w:rPr>
          <w:rFonts w:ascii="Arial" w:eastAsia="Arial" w:hAnsi="Arial" w:cs="Arial"/>
          <w:sz w:val="20"/>
          <w:szCs w:val="20"/>
        </w:rPr>
        <w:t xml:space="preserve"> people</w:t>
      </w:r>
      <w:r w:rsidR="58DF4F9F" w:rsidRPr="00306F4D">
        <w:rPr>
          <w:rFonts w:ascii="Arial" w:eastAsia="Arial" w:hAnsi="Arial" w:cs="Arial"/>
          <w:sz w:val="20"/>
          <w:szCs w:val="20"/>
        </w:rPr>
        <w:t>, Bosnia and Herzegovina</w:t>
      </w:r>
      <w:r w:rsidR="00D7067C" w:rsidRPr="00306F4D">
        <w:rPr>
          <w:rFonts w:ascii="Arial" w:eastAsia="Arial" w:hAnsi="Arial" w:cs="Arial"/>
          <w:sz w:val="20"/>
          <w:szCs w:val="20"/>
          <w:vertAlign w:val="superscript"/>
        </w:rPr>
        <w:footnoteReference w:id="6"/>
      </w:r>
      <w:r w:rsidR="55902C99" w:rsidRPr="00306F4D">
        <w:rPr>
          <w:rFonts w:ascii="Arial" w:eastAsia="Arial" w:hAnsi="Arial" w:cs="Arial"/>
          <w:sz w:val="20"/>
          <w:szCs w:val="20"/>
        </w:rPr>
        <w:t xml:space="preserve"> </w:t>
      </w:r>
      <w:r w:rsidR="000A3390" w:rsidRPr="00306F4D">
        <w:rPr>
          <w:rFonts w:ascii="Arial" w:eastAsia="Arial" w:hAnsi="Arial" w:cs="Arial"/>
          <w:sz w:val="20"/>
          <w:szCs w:val="20"/>
        </w:rPr>
        <w:t xml:space="preserve"> - </w:t>
      </w:r>
      <w:r w:rsidR="58DF4F9F" w:rsidRPr="00306F4D">
        <w:rPr>
          <w:rFonts w:ascii="Arial" w:eastAsia="Arial" w:hAnsi="Arial" w:cs="Arial"/>
          <w:sz w:val="20"/>
          <w:szCs w:val="20"/>
        </w:rPr>
        <w:t>3,139,803</w:t>
      </w:r>
      <w:r w:rsidR="000A3390" w:rsidRPr="00306F4D">
        <w:rPr>
          <w:rFonts w:ascii="Arial" w:eastAsia="Arial" w:hAnsi="Arial" w:cs="Arial"/>
          <w:sz w:val="20"/>
          <w:szCs w:val="20"/>
        </w:rPr>
        <w:t xml:space="preserve"> people</w:t>
      </w:r>
      <w:r w:rsidR="58DF4F9F" w:rsidRPr="00306F4D">
        <w:rPr>
          <w:rFonts w:ascii="Arial" w:eastAsia="Arial" w:hAnsi="Arial" w:cs="Arial"/>
          <w:sz w:val="20"/>
          <w:szCs w:val="20"/>
        </w:rPr>
        <w:t>, and Serbia</w:t>
      </w:r>
      <w:r w:rsidR="00D7067C" w:rsidRPr="00306F4D">
        <w:rPr>
          <w:rFonts w:ascii="Arial" w:eastAsia="Arial" w:hAnsi="Arial" w:cs="Arial"/>
          <w:sz w:val="20"/>
          <w:szCs w:val="20"/>
          <w:vertAlign w:val="superscript"/>
        </w:rPr>
        <w:footnoteReference w:id="7"/>
      </w:r>
      <w:r w:rsidR="1348B089" w:rsidRPr="00306F4D">
        <w:rPr>
          <w:rFonts w:ascii="Arial" w:eastAsia="Arial" w:hAnsi="Arial" w:cs="Arial"/>
          <w:sz w:val="20"/>
          <w:szCs w:val="20"/>
        </w:rPr>
        <w:t xml:space="preserve"> </w:t>
      </w:r>
      <w:r w:rsidR="000A3390" w:rsidRPr="00306F4D">
        <w:rPr>
          <w:rFonts w:ascii="Arial" w:eastAsia="Arial" w:hAnsi="Arial" w:cs="Arial"/>
          <w:sz w:val="20"/>
          <w:szCs w:val="20"/>
        </w:rPr>
        <w:t xml:space="preserve">- </w:t>
      </w:r>
      <w:r w:rsidR="1348B089" w:rsidRPr="00306F4D">
        <w:rPr>
          <w:rFonts w:ascii="Arial" w:eastAsia="Arial" w:hAnsi="Arial" w:cs="Arial"/>
          <w:sz w:val="20"/>
          <w:szCs w:val="20"/>
        </w:rPr>
        <w:t>6,688,240</w:t>
      </w:r>
      <w:r w:rsidR="00A50E42" w:rsidRPr="00306F4D">
        <w:rPr>
          <w:rFonts w:ascii="Arial" w:eastAsia="Arial" w:hAnsi="Arial" w:cs="Arial"/>
          <w:sz w:val="20"/>
          <w:szCs w:val="20"/>
        </w:rPr>
        <w:t xml:space="preserve"> </w:t>
      </w:r>
      <w:r w:rsidR="000A3390" w:rsidRPr="00306F4D">
        <w:rPr>
          <w:rFonts w:ascii="Arial" w:eastAsia="Arial" w:hAnsi="Arial" w:cs="Arial"/>
          <w:sz w:val="20"/>
          <w:szCs w:val="20"/>
        </w:rPr>
        <w:t>people</w:t>
      </w:r>
      <w:r w:rsidR="1348B089" w:rsidRPr="00306F4D">
        <w:rPr>
          <w:rFonts w:ascii="Arial" w:eastAsia="Arial" w:hAnsi="Arial" w:cs="Arial"/>
          <w:sz w:val="20"/>
          <w:szCs w:val="20"/>
        </w:rPr>
        <w:t>.</w:t>
      </w:r>
      <w:r w:rsidR="00BF3D46" w:rsidRPr="00306F4D">
        <w:rPr>
          <w:rFonts w:ascii="Arial" w:eastAsia="Arial" w:hAnsi="Arial" w:cs="Arial"/>
          <w:sz w:val="20"/>
          <w:szCs w:val="20"/>
        </w:rPr>
        <w:t xml:space="preserve"> </w:t>
      </w:r>
      <w:r w:rsidR="000B338D" w:rsidRPr="00306F4D">
        <w:rPr>
          <w:rFonts w:ascii="Arial" w:eastAsia="Arial" w:hAnsi="Arial" w:cs="Arial"/>
          <w:sz w:val="20"/>
          <w:szCs w:val="20"/>
        </w:rPr>
        <w:t>T</w:t>
      </w:r>
      <w:r w:rsidR="74D939F0" w:rsidRPr="00306F4D">
        <w:rPr>
          <w:rFonts w:ascii="Arial" w:eastAsia="Arial" w:hAnsi="Arial" w:cs="Arial"/>
          <w:sz w:val="20"/>
          <w:szCs w:val="20"/>
        </w:rPr>
        <w:t xml:space="preserve">he real </w:t>
      </w:r>
      <w:r w:rsidR="000A3390" w:rsidRPr="00306F4D">
        <w:rPr>
          <w:rFonts w:ascii="Arial" w:eastAsia="Arial" w:hAnsi="Arial" w:cs="Arial"/>
          <w:sz w:val="20"/>
          <w:szCs w:val="20"/>
        </w:rPr>
        <w:t>G</w:t>
      </w:r>
      <w:r w:rsidR="74D939F0" w:rsidRPr="00306F4D">
        <w:rPr>
          <w:rFonts w:ascii="Arial" w:eastAsia="Arial" w:hAnsi="Arial" w:cs="Arial"/>
          <w:sz w:val="20"/>
          <w:szCs w:val="20"/>
        </w:rPr>
        <w:t xml:space="preserve">ross </w:t>
      </w:r>
      <w:r w:rsidR="000A3390" w:rsidRPr="00306F4D">
        <w:rPr>
          <w:rFonts w:ascii="Arial" w:eastAsia="Arial" w:hAnsi="Arial" w:cs="Arial"/>
          <w:sz w:val="20"/>
          <w:szCs w:val="20"/>
        </w:rPr>
        <w:t>D</w:t>
      </w:r>
      <w:r w:rsidR="74D939F0" w:rsidRPr="00306F4D">
        <w:rPr>
          <w:rFonts w:ascii="Arial" w:eastAsia="Arial" w:hAnsi="Arial" w:cs="Arial"/>
          <w:sz w:val="20"/>
          <w:szCs w:val="20"/>
        </w:rPr>
        <w:t xml:space="preserve">omestic </w:t>
      </w:r>
      <w:r w:rsidR="000A3390" w:rsidRPr="00306F4D">
        <w:rPr>
          <w:rFonts w:ascii="Arial" w:eastAsia="Arial" w:hAnsi="Arial" w:cs="Arial"/>
          <w:sz w:val="20"/>
          <w:szCs w:val="20"/>
        </w:rPr>
        <w:t>P</w:t>
      </w:r>
      <w:r w:rsidR="74D939F0" w:rsidRPr="00306F4D">
        <w:rPr>
          <w:rFonts w:ascii="Arial" w:eastAsia="Arial" w:hAnsi="Arial" w:cs="Arial"/>
          <w:sz w:val="20"/>
          <w:szCs w:val="20"/>
        </w:rPr>
        <w:t>roduct (GDP) in the four countries grew by 3.8%</w:t>
      </w:r>
      <w:r w:rsidR="00F75A66" w:rsidRPr="00306F4D">
        <w:rPr>
          <w:rFonts w:ascii="Arial" w:eastAsia="Arial" w:hAnsi="Arial" w:cs="Arial"/>
          <w:sz w:val="20"/>
          <w:szCs w:val="20"/>
        </w:rPr>
        <w:t xml:space="preserve"> (B</w:t>
      </w:r>
      <w:r w:rsidR="001A5AC5" w:rsidRPr="00306F4D">
        <w:rPr>
          <w:rFonts w:ascii="Arial" w:eastAsia="Arial" w:hAnsi="Arial" w:cs="Arial"/>
          <w:sz w:val="20"/>
          <w:szCs w:val="20"/>
        </w:rPr>
        <w:t>osnia and Herzegovina)</w:t>
      </w:r>
      <w:r w:rsidR="74D939F0" w:rsidRPr="00306F4D">
        <w:rPr>
          <w:rFonts w:ascii="Arial" w:eastAsia="Arial" w:hAnsi="Arial" w:cs="Arial"/>
          <w:sz w:val="20"/>
          <w:szCs w:val="20"/>
        </w:rPr>
        <w:t>, 6.4%</w:t>
      </w:r>
      <w:r w:rsidR="00655033" w:rsidRPr="00306F4D">
        <w:rPr>
          <w:rFonts w:ascii="Arial" w:eastAsia="Arial" w:hAnsi="Arial" w:cs="Arial"/>
          <w:sz w:val="20"/>
          <w:szCs w:val="20"/>
        </w:rPr>
        <w:t xml:space="preserve"> (Montenegro)</w:t>
      </w:r>
      <w:r w:rsidR="74D939F0" w:rsidRPr="00306F4D">
        <w:rPr>
          <w:rFonts w:ascii="Arial" w:eastAsia="Arial" w:hAnsi="Arial" w:cs="Arial"/>
          <w:sz w:val="20"/>
          <w:szCs w:val="20"/>
        </w:rPr>
        <w:t xml:space="preserve">, 2.2% </w:t>
      </w:r>
      <w:r w:rsidR="00655033" w:rsidRPr="00306F4D">
        <w:rPr>
          <w:rFonts w:ascii="Arial" w:eastAsia="Arial" w:hAnsi="Arial" w:cs="Arial"/>
          <w:sz w:val="20"/>
          <w:szCs w:val="20"/>
        </w:rPr>
        <w:t xml:space="preserve">(North Macedonia) </w:t>
      </w:r>
      <w:r w:rsidR="74D939F0" w:rsidRPr="00306F4D">
        <w:rPr>
          <w:rFonts w:ascii="Arial" w:eastAsia="Arial" w:hAnsi="Arial" w:cs="Arial"/>
          <w:sz w:val="20"/>
          <w:szCs w:val="20"/>
        </w:rPr>
        <w:t xml:space="preserve">and 2.5% </w:t>
      </w:r>
      <w:r w:rsidR="00655033" w:rsidRPr="00306F4D">
        <w:rPr>
          <w:rFonts w:ascii="Arial" w:eastAsia="Arial" w:hAnsi="Arial" w:cs="Arial"/>
          <w:sz w:val="20"/>
          <w:szCs w:val="20"/>
        </w:rPr>
        <w:t>(Serbia)</w:t>
      </w:r>
      <w:r w:rsidR="74D939F0" w:rsidRPr="00306F4D">
        <w:rPr>
          <w:rFonts w:ascii="Arial" w:eastAsia="Arial" w:hAnsi="Arial" w:cs="Arial"/>
          <w:sz w:val="20"/>
          <w:szCs w:val="20"/>
        </w:rPr>
        <w:t>. In the following three years, the growth rate was expected to increase</w:t>
      </w:r>
      <w:r w:rsidR="00D7067C" w:rsidRPr="00306F4D">
        <w:rPr>
          <w:rFonts w:ascii="Arial" w:eastAsia="Arial" w:hAnsi="Arial" w:cs="Arial"/>
          <w:sz w:val="20"/>
          <w:szCs w:val="20"/>
          <w:vertAlign w:val="superscript"/>
        </w:rPr>
        <w:footnoteReference w:id="8"/>
      </w:r>
      <w:r w:rsidR="74D939F0" w:rsidRPr="00306F4D">
        <w:rPr>
          <w:rFonts w:ascii="Arial" w:eastAsia="Arial" w:hAnsi="Arial" w:cs="Arial"/>
          <w:sz w:val="20"/>
          <w:szCs w:val="20"/>
        </w:rPr>
        <w:t>.</w:t>
      </w:r>
      <w:r w:rsidR="00890C99" w:rsidRPr="00306F4D">
        <w:rPr>
          <w:rFonts w:ascii="Arial" w:eastAsia="Arial" w:hAnsi="Arial" w:cs="Arial"/>
          <w:sz w:val="20"/>
          <w:szCs w:val="20"/>
        </w:rPr>
        <w:t xml:space="preserve"> </w:t>
      </w:r>
      <w:r w:rsidR="74D939F0" w:rsidRPr="00306F4D">
        <w:rPr>
          <w:rFonts w:ascii="Arial" w:eastAsia="Arial" w:hAnsi="Arial" w:cs="Arial"/>
          <w:sz w:val="20"/>
          <w:szCs w:val="20"/>
        </w:rPr>
        <w:t>In 2025, Serbia is projected to have the highest GDP among the four countries</w:t>
      </w:r>
      <w:r w:rsidR="00B02D84" w:rsidRPr="00306F4D">
        <w:rPr>
          <w:rFonts w:ascii="Arial" w:eastAsia="Arial" w:hAnsi="Arial" w:cs="Arial"/>
          <w:sz w:val="20"/>
          <w:szCs w:val="20"/>
        </w:rPr>
        <w:t xml:space="preserve"> ($92 billion)</w:t>
      </w:r>
      <w:r w:rsidR="74D939F0" w:rsidRPr="00306F4D">
        <w:rPr>
          <w:rFonts w:ascii="Arial" w:eastAsia="Arial" w:hAnsi="Arial" w:cs="Arial"/>
          <w:sz w:val="20"/>
          <w:szCs w:val="20"/>
        </w:rPr>
        <w:t>, followed by Montenegro</w:t>
      </w:r>
      <w:r w:rsidR="00A72F5B" w:rsidRPr="00306F4D">
        <w:rPr>
          <w:rFonts w:ascii="Arial" w:eastAsia="Arial" w:hAnsi="Arial" w:cs="Arial"/>
          <w:sz w:val="20"/>
          <w:szCs w:val="20"/>
        </w:rPr>
        <w:t xml:space="preserve"> ($8.02 billion)</w:t>
      </w:r>
      <w:r w:rsidR="74D939F0" w:rsidRPr="00306F4D">
        <w:rPr>
          <w:rFonts w:ascii="Arial" w:eastAsia="Arial" w:hAnsi="Arial" w:cs="Arial"/>
          <w:sz w:val="20"/>
          <w:szCs w:val="20"/>
        </w:rPr>
        <w:t>, North Macedonia</w:t>
      </w:r>
      <w:r w:rsidR="00CA2EFE" w:rsidRPr="00306F4D">
        <w:rPr>
          <w:rFonts w:ascii="Arial" w:eastAsia="Arial" w:hAnsi="Arial" w:cs="Arial"/>
          <w:sz w:val="20"/>
          <w:szCs w:val="20"/>
        </w:rPr>
        <w:t xml:space="preserve"> ($17.27 billion)</w:t>
      </w:r>
      <w:r w:rsidR="74D939F0" w:rsidRPr="00306F4D">
        <w:rPr>
          <w:rFonts w:ascii="Arial" w:eastAsia="Arial" w:hAnsi="Arial" w:cs="Arial"/>
          <w:sz w:val="20"/>
          <w:szCs w:val="20"/>
        </w:rPr>
        <w:t xml:space="preserve">, </w:t>
      </w:r>
      <w:r w:rsidR="74D939F0" w:rsidRPr="00306F4D">
        <w:rPr>
          <w:rFonts w:ascii="Arial" w:eastAsia="Arial" w:hAnsi="Arial" w:cs="Arial"/>
          <w:sz w:val="20"/>
          <w:szCs w:val="20"/>
        </w:rPr>
        <w:lastRenderedPageBreak/>
        <w:t>and Bosnia and Herzegovina</w:t>
      </w:r>
      <w:r w:rsidR="00D7067C" w:rsidRPr="00306F4D">
        <w:rPr>
          <w:rFonts w:ascii="Arial" w:eastAsia="Arial" w:hAnsi="Arial" w:cs="Arial"/>
          <w:sz w:val="20"/>
          <w:szCs w:val="20"/>
          <w:vertAlign w:val="superscript"/>
        </w:rPr>
        <w:footnoteReference w:id="9"/>
      </w:r>
      <w:r w:rsidR="00580FF4" w:rsidRPr="00306F4D">
        <w:rPr>
          <w:rFonts w:ascii="Arial" w:eastAsia="Arial" w:hAnsi="Arial" w:cs="Arial"/>
          <w:sz w:val="20"/>
          <w:szCs w:val="20"/>
        </w:rPr>
        <w:t>.</w:t>
      </w:r>
      <w:r w:rsidR="000F7BF7" w:rsidRPr="00306F4D">
        <w:rPr>
          <w:rFonts w:ascii="Arial" w:eastAsia="Arial" w:hAnsi="Arial" w:cs="Arial"/>
          <w:sz w:val="20"/>
          <w:szCs w:val="20"/>
        </w:rPr>
        <w:t xml:space="preserve"> </w:t>
      </w:r>
      <w:r w:rsidR="0052234E" w:rsidRPr="00306F4D">
        <w:rPr>
          <w:rFonts w:ascii="Arial" w:eastAsia="Arial" w:hAnsi="Arial" w:cs="Arial"/>
          <w:sz w:val="20"/>
          <w:szCs w:val="20"/>
        </w:rPr>
        <w:t>A</w:t>
      </w:r>
      <w:r w:rsidR="74D939F0" w:rsidRPr="00306F4D">
        <w:rPr>
          <w:rFonts w:ascii="Arial" w:eastAsia="Arial" w:hAnsi="Arial" w:cs="Arial"/>
          <w:sz w:val="20"/>
          <w:szCs w:val="20"/>
        </w:rPr>
        <w:t>ccording to UNDP´s latest Human Development Report (2025)</w:t>
      </w:r>
      <w:r w:rsidR="00D7067C" w:rsidRPr="00306F4D">
        <w:rPr>
          <w:rFonts w:ascii="Arial" w:eastAsia="Arial" w:hAnsi="Arial" w:cs="Arial"/>
          <w:sz w:val="20"/>
          <w:szCs w:val="20"/>
          <w:vertAlign w:val="superscript"/>
        </w:rPr>
        <w:footnoteReference w:id="10"/>
      </w:r>
      <w:r w:rsidR="74D939F0" w:rsidRPr="00306F4D">
        <w:rPr>
          <w:rFonts w:ascii="Arial" w:eastAsia="Arial" w:hAnsi="Arial" w:cs="Arial"/>
          <w:sz w:val="20"/>
          <w:szCs w:val="20"/>
        </w:rPr>
        <w:t xml:space="preserve">, the four </w:t>
      </w:r>
      <w:r w:rsidR="00447886" w:rsidRPr="00306F4D">
        <w:rPr>
          <w:rFonts w:ascii="Arial" w:eastAsia="Arial" w:hAnsi="Arial" w:cs="Arial"/>
          <w:sz w:val="20"/>
          <w:szCs w:val="20"/>
        </w:rPr>
        <w:t xml:space="preserve">project </w:t>
      </w:r>
      <w:r w:rsidR="74D939F0" w:rsidRPr="00306F4D">
        <w:rPr>
          <w:rFonts w:ascii="Arial" w:eastAsia="Arial" w:hAnsi="Arial" w:cs="Arial"/>
          <w:sz w:val="20"/>
          <w:szCs w:val="20"/>
        </w:rPr>
        <w:t>countries present</w:t>
      </w:r>
      <w:r w:rsidR="3A04D7F2" w:rsidRPr="00306F4D">
        <w:rPr>
          <w:rFonts w:ascii="Arial" w:eastAsia="Arial" w:hAnsi="Arial" w:cs="Arial"/>
          <w:sz w:val="20"/>
          <w:szCs w:val="20"/>
        </w:rPr>
        <w:t xml:space="preserve"> </w:t>
      </w:r>
      <w:r w:rsidR="74D939F0" w:rsidRPr="00306F4D">
        <w:rPr>
          <w:rFonts w:ascii="Arial" w:eastAsia="Arial" w:hAnsi="Arial" w:cs="Arial"/>
          <w:sz w:val="20"/>
          <w:szCs w:val="20"/>
        </w:rPr>
        <w:t>a high HDI</w:t>
      </w:r>
      <w:r w:rsidR="32458F83" w:rsidRPr="00306F4D">
        <w:rPr>
          <w:rFonts w:ascii="Arial" w:eastAsia="Arial" w:hAnsi="Arial" w:cs="Arial"/>
          <w:sz w:val="20"/>
          <w:szCs w:val="20"/>
        </w:rPr>
        <w:t xml:space="preserve"> </w:t>
      </w:r>
      <w:r w:rsidR="270CBBC5" w:rsidRPr="00306F4D">
        <w:rPr>
          <w:rFonts w:ascii="Arial" w:eastAsia="Arial" w:hAnsi="Arial" w:cs="Arial"/>
          <w:sz w:val="20"/>
          <w:szCs w:val="20"/>
        </w:rPr>
        <w:t xml:space="preserve">and are </w:t>
      </w:r>
      <w:r w:rsidR="098FCD9F" w:rsidRPr="00306F4D">
        <w:rPr>
          <w:rFonts w:ascii="Arial" w:eastAsia="Arial" w:hAnsi="Arial" w:cs="Arial"/>
          <w:sz w:val="20"/>
          <w:szCs w:val="20"/>
        </w:rPr>
        <w:t>include</w:t>
      </w:r>
      <w:r w:rsidR="270CBBC5" w:rsidRPr="00306F4D">
        <w:rPr>
          <w:rFonts w:ascii="Arial" w:eastAsia="Arial" w:hAnsi="Arial" w:cs="Arial"/>
          <w:sz w:val="20"/>
          <w:szCs w:val="20"/>
        </w:rPr>
        <w:t xml:space="preserve">d </w:t>
      </w:r>
      <w:r w:rsidR="11FF2AB4" w:rsidRPr="00306F4D">
        <w:rPr>
          <w:rFonts w:ascii="Arial" w:eastAsia="Arial" w:hAnsi="Arial" w:cs="Arial"/>
          <w:sz w:val="20"/>
          <w:szCs w:val="20"/>
        </w:rPr>
        <w:t>within the</w:t>
      </w:r>
      <w:r w:rsidR="74D939F0" w:rsidRPr="00306F4D">
        <w:rPr>
          <w:rFonts w:ascii="Arial" w:eastAsia="Arial" w:hAnsi="Arial" w:cs="Arial"/>
          <w:sz w:val="20"/>
          <w:szCs w:val="20"/>
        </w:rPr>
        <w:t xml:space="preserve"> “very high human development”</w:t>
      </w:r>
      <w:r w:rsidR="54579240" w:rsidRPr="00306F4D">
        <w:rPr>
          <w:rFonts w:ascii="Arial" w:eastAsia="Arial" w:hAnsi="Arial" w:cs="Arial"/>
          <w:sz w:val="20"/>
          <w:szCs w:val="20"/>
        </w:rPr>
        <w:t xml:space="preserve"> category,</w:t>
      </w:r>
      <w:r w:rsidR="74D939F0" w:rsidRPr="00306F4D">
        <w:rPr>
          <w:rFonts w:ascii="Arial" w:eastAsia="Arial" w:hAnsi="Arial" w:cs="Arial"/>
          <w:sz w:val="20"/>
          <w:szCs w:val="20"/>
        </w:rPr>
        <w:t xml:space="preserve"> </w:t>
      </w:r>
      <w:r w:rsidR="000C5757" w:rsidRPr="00306F4D">
        <w:rPr>
          <w:rFonts w:ascii="Arial" w:eastAsia="Arial" w:hAnsi="Arial" w:cs="Arial"/>
          <w:sz w:val="20"/>
          <w:szCs w:val="20"/>
        </w:rPr>
        <w:t>with</w:t>
      </w:r>
      <w:r w:rsidR="6ABE97B5" w:rsidRPr="00306F4D">
        <w:rPr>
          <w:rFonts w:ascii="Arial" w:eastAsia="Arial" w:hAnsi="Arial" w:cs="Arial"/>
          <w:sz w:val="20"/>
          <w:szCs w:val="20"/>
        </w:rPr>
        <w:t xml:space="preserve"> the HDI index per country, presented below:</w:t>
      </w:r>
    </w:p>
    <w:p w14:paraId="59DE0978" w14:textId="5A60DCD4" w:rsidR="00D7067C" w:rsidRPr="00306F4D" w:rsidRDefault="56B3D82E" w:rsidP="02E2BB75">
      <w:pPr>
        <w:pStyle w:val="ListParagraph"/>
        <w:numPr>
          <w:ilvl w:val="0"/>
          <w:numId w:val="1"/>
        </w:numPr>
        <w:autoSpaceDE w:val="0"/>
        <w:autoSpaceDN w:val="0"/>
        <w:adjustRightInd w:val="0"/>
        <w:spacing w:after="0" w:line="257" w:lineRule="auto"/>
        <w:jc w:val="both"/>
        <w:rPr>
          <w:rFonts w:ascii="Arial" w:eastAsia="Arial" w:hAnsi="Arial" w:cs="Arial"/>
          <w:sz w:val="20"/>
          <w:szCs w:val="20"/>
        </w:rPr>
      </w:pPr>
      <w:r w:rsidRPr="00306F4D">
        <w:rPr>
          <w:rFonts w:ascii="Arial" w:eastAsia="Arial" w:hAnsi="Arial" w:cs="Arial"/>
          <w:sz w:val="20"/>
          <w:szCs w:val="20"/>
        </w:rPr>
        <w:t xml:space="preserve">Montenegro: the HDI is 0.862, ranking it 48th out of 193 countries. </w:t>
      </w:r>
    </w:p>
    <w:p w14:paraId="43B0F66C" w14:textId="080D8B58" w:rsidR="00D7067C" w:rsidRPr="00306F4D" w:rsidRDefault="56B3D82E" w:rsidP="02E2BB75">
      <w:pPr>
        <w:pStyle w:val="ListParagraph"/>
        <w:numPr>
          <w:ilvl w:val="0"/>
          <w:numId w:val="1"/>
        </w:numPr>
        <w:autoSpaceDE w:val="0"/>
        <w:autoSpaceDN w:val="0"/>
        <w:adjustRightInd w:val="0"/>
        <w:spacing w:after="0" w:line="257" w:lineRule="auto"/>
        <w:jc w:val="both"/>
        <w:rPr>
          <w:rFonts w:ascii="Arial" w:eastAsia="Arial" w:hAnsi="Arial" w:cs="Arial"/>
          <w:sz w:val="20"/>
          <w:szCs w:val="20"/>
        </w:rPr>
      </w:pPr>
      <w:r w:rsidRPr="00306F4D">
        <w:rPr>
          <w:rFonts w:ascii="Arial" w:eastAsia="Arial" w:hAnsi="Arial" w:cs="Arial"/>
          <w:sz w:val="20"/>
          <w:szCs w:val="20"/>
        </w:rPr>
        <w:t xml:space="preserve">Serbia: the HDI is 0.883, ranking it </w:t>
      </w:r>
      <w:proofErr w:type="gramStart"/>
      <w:r w:rsidRPr="00306F4D">
        <w:rPr>
          <w:rFonts w:ascii="Arial" w:eastAsia="Arial" w:hAnsi="Arial" w:cs="Arial"/>
          <w:sz w:val="20"/>
          <w:szCs w:val="20"/>
        </w:rPr>
        <w:t>62th</w:t>
      </w:r>
      <w:proofErr w:type="gramEnd"/>
      <w:r w:rsidRPr="00306F4D">
        <w:rPr>
          <w:rFonts w:ascii="Arial" w:eastAsia="Arial" w:hAnsi="Arial" w:cs="Arial"/>
          <w:sz w:val="20"/>
          <w:szCs w:val="20"/>
        </w:rPr>
        <w:t xml:space="preserve"> out of 193 countries. </w:t>
      </w:r>
    </w:p>
    <w:p w14:paraId="232E8414" w14:textId="001CA442" w:rsidR="00D7067C" w:rsidRPr="00306F4D" w:rsidRDefault="56B3D82E" w:rsidP="02E2BB75">
      <w:pPr>
        <w:pStyle w:val="ListParagraph"/>
        <w:numPr>
          <w:ilvl w:val="0"/>
          <w:numId w:val="1"/>
        </w:numPr>
        <w:autoSpaceDE w:val="0"/>
        <w:autoSpaceDN w:val="0"/>
        <w:adjustRightInd w:val="0"/>
        <w:spacing w:after="0" w:line="257" w:lineRule="auto"/>
        <w:jc w:val="both"/>
        <w:rPr>
          <w:rFonts w:ascii="Arial" w:eastAsia="Arial" w:hAnsi="Arial" w:cs="Arial"/>
          <w:sz w:val="20"/>
          <w:szCs w:val="20"/>
        </w:rPr>
      </w:pPr>
      <w:r w:rsidRPr="00306F4D">
        <w:rPr>
          <w:rFonts w:ascii="Arial" w:eastAsia="Arial" w:hAnsi="Arial" w:cs="Arial"/>
          <w:sz w:val="20"/>
          <w:szCs w:val="20"/>
        </w:rPr>
        <w:t>North Macedonia: HDI is 0.815, ranking it 68th out of 193 countries.</w:t>
      </w:r>
    </w:p>
    <w:p w14:paraId="36FAD4CD" w14:textId="55214E05" w:rsidR="00D7067C" w:rsidRPr="00306F4D" w:rsidRDefault="56B3D82E" w:rsidP="02E2BB75">
      <w:pPr>
        <w:pStyle w:val="ListParagraph"/>
        <w:numPr>
          <w:ilvl w:val="0"/>
          <w:numId w:val="1"/>
        </w:numPr>
        <w:autoSpaceDE w:val="0"/>
        <w:autoSpaceDN w:val="0"/>
        <w:adjustRightInd w:val="0"/>
        <w:spacing w:after="0" w:line="257" w:lineRule="auto"/>
        <w:jc w:val="both"/>
        <w:rPr>
          <w:rFonts w:ascii="Arial" w:eastAsia="Arial" w:hAnsi="Arial" w:cs="Arial"/>
          <w:sz w:val="20"/>
          <w:szCs w:val="20"/>
        </w:rPr>
      </w:pPr>
      <w:r w:rsidRPr="00306F4D">
        <w:rPr>
          <w:rFonts w:ascii="Arial" w:eastAsia="Arial" w:hAnsi="Arial" w:cs="Arial"/>
          <w:sz w:val="20"/>
          <w:szCs w:val="20"/>
        </w:rPr>
        <w:t>Bosnia and Herzegovina: the HDI is 0.804, ranking it 74th out of 193 countries.</w:t>
      </w:r>
    </w:p>
    <w:p w14:paraId="64A94547" w14:textId="48C57F80" w:rsidR="00D7067C" w:rsidRPr="00306F4D" w:rsidRDefault="00D7067C" w:rsidP="02E2BB75">
      <w:pPr>
        <w:autoSpaceDE w:val="0"/>
        <w:autoSpaceDN w:val="0"/>
        <w:adjustRightInd w:val="0"/>
        <w:spacing w:after="0" w:line="276" w:lineRule="auto"/>
        <w:jc w:val="both"/>
        <w:rPr>
          <w:rFonts w:ascii="Arial" w:eastAsia="Arial" w:hAnsi="Arial" w:cs="Arial"/>
        </w:rPr>
      </w:pPr>
    </w:p>
    <w:p w14:paraId="7A9ABB77" w14:textId="0AFE3733" w:rsidR="00D7067C" w:rsidRPr="00306F4D" w:rsidRDefault="28A169B2" w:rsidP="02E2BB75">
      <w:pPr>
        <w:autoSpaceDE w:val="0"/>
        <w:autoSpaceDN w:val="0"/>
        <w:adjustRightInd w:val="0"/>
        <w:spacing w:after="0" w:line="276" w:lineRule="auto"/>
        <w:jc w:val="both"/>
        <w:rPr>
          <w:rFonts w:ascii="Arial" w:eastAsia="Arial" w:hAnsi="Arial" w:cs="Arial"/>
          <w:sz w:val="20"/>
          <w:szCs w:val="20"/>
        </w:rPr>
      </w:pPr>
      <w:r w:rsidRPr="00306F4D">
        <w:rPr>
          <w:rFonts w:ascii="Arial" w:eastAsia="Arial" w:hAnsi="Arial" w:cs="Arial"/>
          <w:sz w:val="20"/>
          <w:szCs w:val="20"/>
        </w:rPr>
        <w:t>Geographically</w:t>
      </w:r>
      <w:r w:rsidR="06BB99B0" w:rsidRPr="00306F4D">
        <w:rPr>
          <w:rFonts w:ascii="Arial" w:eastAsia="Arial" w:hAnsi="Arial" w:cs="Arial"/>
          <w:sz w:val="20"/>
          <w:szCs w:val="20"/>
        </w:rPr>
        <w:t>, t</w:t>
      </w:r>
      <w:r w:rsidR="3F817E4F" w:rsidRPr="00306F4D">
        <w:rPr>
          <w:rFonts w:ascii="Arial" w:eastAsia="Arial" w:hAnsi="Arial" w:cs="Arial"/>
          <w:sz w:val="20"/>
          <w:szCs w:val="20"/>
        </w:rPr>
        <w:t xml:space="preserve">he Western Balkans Region also </w:t>
      </w:r>
      <w:r w:rsidR="52DA0754" w:rsidRPr="00306F4D">
        <w:rPr>
          <w:rFonts w:ascii="Arial" w:eastAsia="Arial" w:hAnsi="Arial" w:cs="Arial"/>
          <w:sz w:val="20"/>
          <w:szCs w:val="20"/>
        </w:rPr>
        <w:t>features a rich, complex, biodiverse geography of globally important mountains, rivers, and plains, which are at the forefront in Europe of dealing with climate change and its impacts (</w:t>
      </w:r>
      <w:r w:rsidR="4BCEF2CC" w:rsidRPr="00306F4D">
        <w:rPr>
          <w:rFonts w:ascii="Arial" w:eastAsia="Arial" w:hAnsi="Arial" w:cs="Arial"/>
          <w:b/>
          <w:bCs/>
          <w:sz w:val="20"/>
          <w:szCs w:val="20"/>
        </w:rPr>
        <w:t>Figure 1).</w:t>
      </w:r>
      <w:r w:rsidR="52DA0754" w:rsidRPr="00306F4D">
        <w:rPr>
          <w:rFonts w:ascii="Arial" w:eastAsia="Arial" w:hAnsi="Arial" w:cs="Arial"/>
          <w:sz w:val="20"/>
          <w:szCs w:val="20"/>
        </w:rPr>
        <w:t xml:space="preserve"> </w:t>
      </w:r>
    </w:p>
    <w:p w14:paraId="5657EA53" w14:textId="59BAE6A6" w:rsidR="009C6049" w:rsidRPr="00306F4D" w:rsidRDefault="791D5FE3" w:rsidP="02E2BB75">
      <w:pPr>
        <w:tabs>
          <w:tab w:val="left" w:pos="360"/>
        </w:tabs>
        <w:autoSpaceDE w:val="0"/>
        <w:autoSpaceDN w:val="0"/>
        <w:adjustRightInd w:val="0"/>
        <w:spacing w:before="120" w:after="0" w:line="240" w:lineRule="auto"/>
        <w:jc w:val="center"/>
      </w:pPr>
      <w:r w:rsidRPr="00306F4D">
        <w:rPr>
          <w:noProof/>
        </w:rPr>
        <w:drawing>
          <wp:inline distT="0" distB="0" distL="0" distR="0" wp14:anchorId="25D1889F" wp14:editId="26A108F6">
            <wp:extent cx="5756856" cy="3118297"/>
            <wp:effectExtent l="0" t="0" r="0" b="6350"/>
            <wp:docPr id="2025645703" name="Picture 2025645703" descr="Picture 1,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780300" cy="3130996"/>
                    </a:xfrm>
                    <a:prstGeom prst="rect">
                      <a:avLst/>
                    </a:prstGeom>
                  </pic:spPr>
                </pic:pic>
              </a:graphicData>
            </a:graphic>
          </wp:inline>
        </w:drawing>
      </w:r>
      <w:bookmarkStart w:id="10" w:name="_Ref201587496"/>
      <w:r w:rsidR="00FF6721" w:rsidRPr="00306F4D">
        <w:rPr>
          <w:rFonts w:ascii="Arial" w:eastAsia="Arial" w:hAnsi="Arial" w:cs="Arial"/>
          <w:b/>
          <w:bCs/>
          <w:sz w:val="16"/>
          <w:szCs w:val="16"/>
        </w:rPr>
        <w:tab/>
      </w:r>
      <w:r w:rsidR="00FF6721" w:rsidRPr="00306F4D">
        <w:rPr>
          <w:rFonts w:ascii="Arial" w:eastAsia="Arial" w:hAnsi="Arial" w:cs="Arial"/>
          <w:b/>
          <w:bCs/>
          <w:sz w:val="16"/>
          <w:szCs w:val="16"/>
        </w:rPr>
        <w:tab/>
      </w:r>
      <w:r w:rsidR="76AA3B8E" w:rsidRPr="00306F4D">
        <w:rPr>
          <w:rFonts w:ascii="Arial" w:eastAsia="Arial" w:hAnsi="Arial" w:cs="Arial"/>
          <w:b/>
          <w:bCs/>
          <w:sz w:val="16"/>
          <w:szCs w:val="16"/>
        </w:rPr>
        <w:t xml:space="preserve">Figure </w:t>
      </w:r>
      <w:r w:rsidR="00D11646" w:rsidRPr="00306F4D">
        <w:rPr>
          <w:rFonts w:ascii="Arial" w:eastAsia="Arial" w:hAnsi="Arial" w:cs="Arial"/>
          <w:sz w:val="16"/>
          <w:szCs w:val="16"/>
        </w:rPr>
        <w:fldChar w:fldCharType="begin"/>
      </w:r>
      <w:r w:rsidR="00D11646" w:rsidRPr="00306F4D">
        <w:rPr>
          <w:rFonts w:ascii="Arial" w:eastAsia="Arial" w:hAnsi="Arial" w:cs="Arial"/>
          <w:sz w:val="16"/>
          <w:szCs w:val="16"/>
        </w:rPr>
        <w:instrText xml:space="preserve"> SEQ Figure \* ARABIC </w:instrText>
      </w:r>
      <w:r w:rsidR="00D11646" w:rsidRPr="00306F4D">
        <w:rPr>
          <w:rFonts w:ascii="Arial" w:eastAsia="Arial" w:hAnsi="Arial" w:cs="Arial"/>
          <w:sz w:val="16"/>
          <w:szCs w:val="16"/>
        </w:rPr>
        <w:fldChar w:fldCharType="separate"/>
      </w:r>
      <w:r w:rsidR="15A52861" w:rsidRPr="00306F4D">
        <w:rPr>
          <w:rFonts w:ascii="Arial" w:eastAsia="Arial" w:hAnsi="Arial" w:cs="Arial"/>
          <w:sz w:val="16"/>
          <w:szCs w:val="16"/>
        </w:rPr>
        <w:t>1</w:t>
      </w:r>
      <w:r w:rsidR="00D11646" w:rsidRPr="00306F4D">
        <w:rPr>
          <w:rFonts w:ascii="Arial" w:eastAsia="Arial" w:hAnsi="Arial" w:cs="Arial"/>
          <w:sz w:val="16"/>
          <w:szCs w:val="16"/>
        </w:rPr>
        <w:fldChar w:fldCharType="end"/>
      </w:r>
      <w:bookmarkEnd w:id="10"/>
      <w:r w:rsidR="76AA3B8E" w:rsidRPr="00306F4D">
        <w:rPr>
          <w:rFonts w:ascii="Arial" w:eastAsia="Arial" w:hAnsi="Arial" w:cs="Arial"/>
          <w:b/>
          <w:bCs/>
          <w:sz w:val="16"/>
          <w:szCs w:val="16"/>
        </w:rPr>
        <w:t>. Topographical Map of the Western Balkans.</w:t>
      </w:r>
    </w:p>
    <w:p w14:paraId="0D3E4ADD" w14:textId="65164A2D" w:rsidR="009C6049" w:rsidRPr="00306F4D" w:rsidRDefault="52DA0754" w:rsidP="338C5E83">
      <w:pPr>
        <w:tabs>
          <w:tab w:val="left" w:pos="360"/>
        </w:tabs>
        <w:autoSpaceDE w:val="0"/>
        <w:autoSpaceDN w:val="0"/>
        <w:adjustRightInd w:val="0"/>
        <w:spacing w:before="120" w:after="0" w:line="240" w:lineRule="auto"/>
        <w:jc w:val="both"/>
        <w:rPr>
          <w:rFonts w:ascii="Arial" w:eastAsia="Arial" w:hAnsi="Arial" w:cs="Arial"/>
          <w:sz w:val="20"/>
          <w:szCs w:val="20"/>
          <w:vertAlign w:val="superscript"/>
        </w:rPr>
      </w:pPr>
      <w:r w:rsidRPr="00306F4D">
        <w:rPr>
          <w:rFonts w:ascii="Arial" w:eastAsia="Arial" w:hAnsi="Arial" w:cs="Arial"/>
          <w:sz w:val="20"/>
          <w:szCs w:val="20"/>
        </w:rPr>
        <w:t xml:space="preserve">A defining feature of the Western Balkans, and of the four partner countries of this Regional Project, is the </w:t>
      </w:r>
      <w:r w:rsidRPr="00306F4D">
        <w:rPr>
          <w:rFonts w:ascii="Arial" w:eastAsia="Arial" w:hAnsi="Arial" w:cs="Arial"/>
          <w:b/>
          <w:bCs/>
          <w:sz w:val="20"/>
          <w:szCs w:val="20"/>
        </w:rPr>
        <w:t>Dinaric Alps</w:t>
      </w:r>
      <w:r w:rsidRPr="00306F4D">
        <w:rPr>
          <w:rFonts w:ascii="Arial" w:eastAsia="Arial" w:hAnsi="Arial" w:cs="Arial"/>
          <w:sz w:val="20"/>
          <w:szCs w:val="20"/>
        </w:rPr>
        <w:t xml:space="preserve"> (</w:t>
      </w:r>
      <w:proofErr w:type="spellStart"/>
      <w:r w:rsidRPr="00306F4D">
        <w:rPr>
          <w:rFonts w:ascii="Arial" w:eastAsia="Arial" w:hAnsi="Arial" w:cs="Arial"/>
          <w:sz w:val="20"/>
          <w:szCs w:val="20"/>
        </w:rPr>
        <w:t>Dinarides</w:t>
      </w:r>
      <w:proofErr w:type="spellEnd"/>
      <w:r w:rsidR="20588016" w:rsidRPr="00306F4D">
        <w:rPr>
          <w:rFonts w:ascii="Arial" w:eastAsia="Arial" w:hAnsi="Arial" w:cs="Arial"/>
          <w:sz w:val="20"/>
          <w:szCs w:val="20"/>
        </w:rPr>
        <w:t>),</w:t>
      </w:r>
      <w:r w:rsidR="00D11646" w:rsidRPr="00306F4D">
        <w:rPr>
          <w:rFonts w:ascii="Arial" w:eastAsia="Arial" w:hAnsi="Arial" w:cs="Arial"/>
          <w:sz w:val="20"/>
          <w:szCs w:val="20"/>
          <w:vertAlign w:val="superscript"/>
        </w:rPr>
        <w:footnoteReference w:id="11"/>
      </w:r>
      <w:r w:rsidRPr="00306F4D">
        <w:rPr>
          <w:rFonts w:ascii="Arial" w:eastAsia="Arial" w:hAnsi="Arial" w:cs="Arial"/>
          <w:sz w:val="20"/>
          <w:szCs w:val="20"/>
        </w:rPr>
        <w:t xml:space="preserve"> one of the most rugged and extensive mountainous areas of Europe</w:t>
      </w:r>
      <w:r w:rsidR="61495EBE" w:rsidRPr="00306F4D">
        <w:rPr>
          <w:rFonts w:ascii="Arial" w:eastAsia="Arial" w:hAnsi="Arial" w:cs="Arial"/>
          <w:sz w:val="20"/>
          <w:szCs w:val="20"/>
        </w:rPr>
        <w:t>,</w:t>
      </w:r>
      <w:r w:rsidR="00D11646" w:rsidRPr="00306F4D">
        <w:rPr>
          <w:rFonts w:ascii="Arial" w:eastAsia="Arial" w:hAnsi="Arial" w:cs="Arial"/>
          <w:sz w:val="20"/>
          <w:szCs w:val="20"/>
          <w:vertAlign w:val="superscript"/>
        </w:rPr>
        <w:footnoteReference w:id="12"/>
      </w:r>
      <w:r w:rsidRPr="00306F4D">
        <w:rPr>
          <w:rFonts w:ascii="Arial" w:eastAsia="Arial" w:hAnsi="Arial" w:cs="Arial"/>
          <w:sz w:val="20"/>
          <w:szCs w:val="20"/>
        </w:rPr>
        <w:t xml:space="preserve"> which stretches </w:t>
      </w:r>
      <w:r w:rsidR="42E2B15D" w:rsidRPr="00306F4D">
        <w:rPr>
          <w:rFonts w:ascii="Arial" w:eastAsia="Arial" w:hAnsi="Arial" w:cs="Arial"/>
          <w:sz w:val="20"/>
          <w:szCs w:val="20"/>
        </w:rPr>
        <w:t>north</w:t>
      </w:r>
      <w:r w:rsidR="652EE8C8" w:rsidRPr="00306F4D">
        <w:rPr>
          <w:rFonts w:ascii="Arial" w:eastAsia="Arial" w:hAnsi="Arial" w:cs="Arial"/>
          <w:sz w:val="20"/>
          <w:szCs w:val="20"/>
        </w:rPr>
        <w:t>west</w:t>
      </w:r>
      <w:r w:rsidRPr="00306F4D">
        <w:rPr>
          <w:rFonts w:ascii="Arial" w:eastAsia="Arial" w:hAnsi="Arial" w:cs="Arial"/>
          <w:sz w:val="20"/>
          <w:szCs w:val="20"/>
        </w:rPr>
        <w:t xml:space="preserve"> to </w:t>
      </w:r>
      <w:r w:rsidR="42E2B15D" w:rsidRPr="00306F4D">
        <w:rPr>
          <w:rFonts w:ascii="Arial" w:eastAsia="Arial" w:hAnsi="Arial" w:cs="Arial"/>
          <w:sz w:val="20"/>
          <w:szCs w:val="20"/>
        </w:rPr>
        <w:t>south</w:t>
      </w:r>
      <w:r w:rsidR="5CDDD394" w:rsidRPr="00306F4D">
        <w:rPr>
          <w:rFonts w:ascii="Arial" w:eastAsia="Arial" w:hAnsi="Arial" w:cs="Arial"/>
          <w:sz w:val="20"/>
          <w:szCs w:val="20"/>
        </w:rPr>
        <w:t>east</w:t>
      </w:r>
      <w:r w:rsidR="02A016DB" w:rsidRPr="00306F4D">
        <w:rPr>
          <w:rFonts w:ascii="Arial" w:eastAsia="Arial" w:hAnsi="Arial" w:cs="Arial"/>
          <w:sz w:val="20"/>
          <w:szCs w:val="20"/>
        </w:rPr>
        <w:t xml:space="preserve"> from the Italy-Slovenia border,</w:t>
      </w:r>
      <w:r w:rsidRPr="00306F4D">
        <w:rPr>
          <w:rFonts w:ascii="Arial" w:eastAsia="Arial" w:hAnsi="Arial" w:cs="Arial"/>
          <w:sz w:val="20"/>
          <w:szCs w:val="20"/>
        </w:rPr>
        <w:t xml:space="preserve"> across Croatia, Bosnia and Herzegovina, Serbia, Montenegro, and Kosovo</w:t>
      </w:r>
      <w:r w:rsidR="3477B2F5" w:rsidRPr="00306F4D">
        <w:rPr>
          <w:rFonts w:ascii="Arial" w:eastAsia="Arial" w:hAnsi="Arial" w:cs="Arial"/>
          <w:sz w:val="20"/>
          <w:szCs w:val="20"/>
        </w:rPr>
        <w:t xml:space="preserve"> to Albania</w:t>
      </w:r>
      <w:r w:rsidR="42E2B15D" w:rsidRPr="00306F4D">
        <w:rPr>
          <w:rFonts w:ascii="Arial" w:eastAsia="Arial" w:hAnsi="Arial" w:cs="Arial"/>
          <w:sz w:val="20"/>
          <w:szCs w:val="20"/>
        </w:rPr>
        <w:t>.</w:t>
      </w:r>
      <w:r w:rsidRPr="00306F4D">
        <w:rPr>
          <w:rFonts w:ascii="Arial" w:eastAsia="Arial" w:hAnsi="Arial" w:cs="Arial"/>
          <w:sz w:val="20"/>
          <w:szCs w:val="20"/>
        </w:rPr>
        <w:t xml:space="preserve"> The </w:t>
      </w:r>
      <w:proofErr w:type="spellStart"/>
      <w:r w:rsidRPr="00306F4D">
        <w:rPr>
          <w:rFonts w:ascii="Arial" w:eastAsia="Arial" w:hAnsi="Arial" w:cs="Arial"/>
          <w:b/>
          <w:bCs/>
          <w:sz w:val="20"/>
          <w:szCs w:val="20"/>
        </w:rPr>
        <w:t>Šar</w:t>
      </w:r>
      <w:proofErr w:type="spellEnd"/>
      <w:r w:rsidRPr="00306F4D">
        <w:rPr>
          <w:rFonts w:ascii="Arial" w:eastAsia="Arial" w:hAnsi="Arial" w:cs="Arial"/>
          <w:b/>
          <w:bCs/>
          <w:sz w:val="20"/>
          <w:szCs w:val="20"/>
        </w:rPr>
        <w:t xml:space="preserve"> Mountains</w:t>
      </w:r>
      <w:bookmarkStart w:id="11" w:name="_Ref202139099"/>
      <w:r w:rsidR="00D11646" w:rsidRPr="00306F4D">
        <w:rPr>
          <w:rFonts w:ascii="Arial" w:eastAsia="Arial" w:hAnsi="Arial" w:cs="Arial"/>
          <w:sz w:val="20"/>
          <w:szCs w:val="20"/>
          <w:vertAlign w:val="superscript"/>
        </w:rPr>
        <w:footnoteReference w:id="13"/>
      </w:r>
      <w:bookmarkEnd w:id="11"/>
      <w:r w:rsidRPr="00306F4D">
        <w:rPr>
          <w:rFonts w:ascii="Arial" w:eastAsia="Arial" w:hAnsi="Arial" w:cs="Arial"/>
          <w:sz w:val="20"/>
          <w:szCs w:val="20"/>
        </w:rPr>
        <w:t xml:space="preserve"> (Sharr Mountains), further south and adjacent to the Dinaric Alps, a rugged, </w:t>
      </w:r>
      <w:r w:rsidR="666F1821" w:rsidRPr="00306F4D">
        <w:rPr>
          <w:rFonts w:ascii="Arial" w:eastAsia="Arial" w:hAnsi="Arial" w:cs="Arial"/>
          <w:sz w:val="20"/>
          <w:szCs w:val="20"/>
        </w:rPr>
        <w:t>biodiversity-rich</w:t>
      </w:r>
      <w:r w:rsidRPr="00306F4D">
        <w:rPr>
          <w:rFonts w:ascii="Arial" w:eastAsia="Arial" w:hAnsi="Arial" w:cs="Arial"/>
          <w:sz w:val="20"/>
          <w:szCs w:val="20"/>
        </w:rPr>
        <w:t xml:space="preserve">, high mountain range in North Macedonia, Kosovo, and Albania, is among the highest in the Balkans, with </w:t>
      </w:r>
      <w:r w:rsidR="7D03399D" w:rsidRPr="00306F4D">
        <w:rPr>
          <w:rFonts w:ascii="Arial" w:eastAsia="Arial" w:hAnsi="Arial" w:cs="Arial"/>
          <w:sz w:val="20"/>
          <w:szCs w:val="20"/>
        </w:rPr>
        <w:t>many</w:t>
      </w:r>
      <w:r w:rsidRPr="00306F4D">
        <w:rPr>
          <w:rFonts w:ascii="Arial" w:eastAsia="Arial" w:hAnsi="Arial" w:cs="Arial"/>
          <w:sz w:val="20"/>
          <w:szCs w:val="20"/>
        </w:rPr>
        <w:t xml:space="preserve"> peaks </w:t>
      </w:r>
      <w:r w:rsidR="61E3DE0B" w:rsidRPr="00306F4D">
        <w:rPr>
          <w:rFonts w:ascii="Arial" w:eastAsia="Arial" w:hAnsi="Arial" w:cs="Arial"/>
          <w:sz w:val="20"/>
          <w:szCs w:val="20"/>
        </w:rPr>
        <w:t>exceeding</w:t>
      </w:r>
      <w:r w:rsidRPr="00306F4D">
        <w:rPr>
          <w:rFonts w:ascii="Arial" w:eastAsia="Arial" w:hAnsi="Arial" w:cs="Arial"/>
          <w:sz w:val="20"/>
          <w:szCs w:val="20"/>
        </w:rPr>
        <w:t xml:space="preserve"> 2,500 meters</w:t>
      </w:r>
      <w:r w:rsidR="61495EBE" w:rsidRPr="00306F4D">
        <w:rPr>
          <w:rFonts w:ascii="Arial" w:eastAsia="Arial" w:hAnsi="Arial" w:cs="Arial"/>
          <w:sz w:val="20"/>
          <w:szCs w:val="20"/>
        </w:rPr>
        <w:t>.</w:t>
      </w:r>
      <w:r w:rsidR="00D11646" w:rsidRPr="00306F4D">
        <w:rPr>
          <w:rFonts w:ascii="Arial" w:eastAsia="Arial" w:hAnsi="Arial" w:cs="Arial"/>
          <w:sz w:val="20"/>
          <w:szCs w:val="20"/>
          <w:vertAlign w:val="superscript"/>
        </w:rPr>
        <w:footnoteReference w:id="14"/>
      </w:r>
      <w:r w:rsidRPr="00306F4D">
        <w:rPr>
          <w:rFonts w:ascii="Arial" w:eastAsia="Arial" w:hAnsi="Arial" w:cs="Arial"/>
          <w:sz w:val="20"/>
          <w:szCs w:val="20"/>
        </w:rPr>
        <w:t xml:space="preserve"> The </w:t>
      </w:r>
      <w:r w:rsidRPr="00306F4D">
        <w:rPr>
          <w:rFonts w:ascii="Arial" w:eastAsia="Arial" w:hAnsi="Arial" w:cs="Arial"/>
          <w:b/>
          <w:bCs/>
          <w:sz w:val="20"/>
          <w:szCs w:val="20"/>
        </w:rPr>
        <w:t>Balkan Mountains</w:t>
      </w:r>
      <w:r w:rsidR="61495EBE" w:rsidRPr="00306F4D">
        <w:rPr>
          <w:rFonts w:ascii="Arial" w:eastAsia="Arial" w:hAnsi="Arial" w:cs="Arial"/>
          <w:sz w:val="20"/>
          <w:szCs w:val="20"/>
        </w:rPr>
        <w:t>,</w:t>
      </w:r>
      <w:r w:rsidR="00D11646" w:rsidRPr="00306F4D">
        <w:rPr>
          <w:rFonts w:ascii="Arial" w:eastAsia="Arial" w:hAnsi="Arial" w:cs="Arial"/>
          <w:sz w:val="20"/>
          <w:szCs w:val="20"/>
          <w:vertAlign w:val="superscript"/>
        </w:rPr>
        <w:footnoteReference w:id="15"/>
      </w:r>
      <w:r w:rsidRPr="00306F4D">
        <w:rPr>
          <w:rFonts w:ascii="Arial" w:eastAsia="Arial" w:hAnsi="Arial" w:cs="Arial"/>
          <w:sz w:val="20"/>
          <w:szCs w:val="20"/>
        </w:rPr>
        <w:t xml:space="preserve"> consisting of nearly 30 distinct peaks </w:t>
      </w:r>
      <w:r w:rsidR="5ECE01CF" w:rsidRPr="00306F4D">
        <w:rPr>
          <w:rFonts w:ascii="Arial" w:eastAsia="Arial" w:hAnsi="Arial" w:cs="Arial"/>
          <w:sz w:val="20"/>
          <w:szCs w:val="20"/>
        </w:rPr>
        <w:t>exceeding 2,000 meters, including</w:t>
      </w:r>
      <w:r w:rsidR="248F1784" w:rsidRPr="00306F4D">
        <w:rPr>
          <w:rFonts w:ascii="Arial" w:eastAsia="Arial" w:hAnsi="Arial" w:cs="Arial"/>
          <w:sz w:val="20"/>
          <w:szCs w:val="20"/>
        </w:rPr>
        <w:t xml:space="preserve"> its highest</w:t>
      </w:r>
      <w:r w:rsidR="5ECE01CF" w:rsidRPr="00306F4D">
        <w:rPr>
          <w:rFonts w:ascii="Arial" w:eastAsia="Arial" w:hAnsi="Arial" w:cs="Arial"/>
          <w:sz w:val="20"/>
          <w:szCs w:val="20"/>
        </w:rPr>
        <w:t xml:space="preserve"> the 2,375-meter Botev Peak</w:t>
      </w:r>
      <w:r w:rsidR="28146425" w:rsidRPr="00306F4D">
        <w:rPr>
          <w:rFonts w:ascii="Arial" w:eastAsia="Arial" w:hAnsi="Arial" w:cs="Arial"/>
          <w:sz w:val="20"/>
          <w:szCs w:val="20"/>
        </w:rPr>
        <w:t>,</w:t>
      </w:r>
      <w:r w:rsidR="00D11646" w:rsidRPr="00306F4D">
        <w:rPr>
          <w:rFonts w:ascii="Arial" w:eastAsia="Arial" w:hAnsi="Arial" w:cs="Arial"/>
          <w:sz w:val="20"/>
          <w:szCs w:val="20"/>
          <w:vertAlign w:val="superscript"/>
        </w:rPr>
        <w:footnoteReference w:id="16"/>
      </w:r>
      <w:r w:rsidR="42E2B15D" w:rsidRPr="00306F4D">
        <w:rPr>
          <w:rFonts w:ascii="Arial" w:eastAsia="Arial" w:hAnsi="Arial" w:cs="Arial"/>
          <w:sz w:val="20"/>
          <w:szCs w:val="20"/>
        </w:rPr>
        <w:t xml:space="preserve"> </w:t>
      </w:r>
      <w:r w:rsidRPr="00306F4D">
        <w:rPr>
          <w:rFonts w:ascii="Arial" w:eastAsia="Arial" w:hAnsi="Arial" w:cs="Arial"/>
          <w:sz w:val="20"/>
          <w:szCs w:val="20"/>
        </w:rPr>
        <w:t xml:space="preserve">and remarkable for their flora and fauna. Mountains and the region’s complex terrain have shaped the adaptation context of the Western Balkans, creating unique adaptation challenges, strong local capacities and identities, and a complex matrix of languages, religions, and </w:t>
      </w:r>
      <w:r w:rsidR="6860C78B" w:rsidRPr="00306F4D">
        <w:rPr>
          <w:rFonts w:ascii="Arial" w:eastAsia="Arial" w:hAnsi="Arial" w:cs="Arial"/>
          <w:sz w:val="20"/>
          <w:szCs w:val="20"/>
        </w:rPr>
        <w:t>cultures</w:t>
      </w:r>
      <w:r w:rsidRPr="00306F4D">
        <w:rPr>
          <w:rFonts w:ascii="Arial" w:eastAsia="Arial" w:hAnsi="Arial" w:cs="Arial"/>
          <w:sz w:val="20"/>
          <w:szCs w:val="20"/>
        </w:rPr>
        <w:t xml:space="preserve">, which requires a locally-led adaptation response, informed </w:t>
      </w:r>
      <w:r w:rsidRPr="00306F4D">
        <w:rPr>
          <w:rFonts w:ascii="Arial" w:eastAsia="Arial" w:hAnsi="Arial" w:cs="Arial"/>
          <w:sz w:val="20"/>
          <w:szCs w:val="20"/>
        </w:rPr>
        <w:lastRenderedPageBreak/>
        <w:t xml:space="preserve">by regional and global </w:t>
      </w:r>
      <w:r w:rsidR="51BC845A" w:rsidRPr="00306F4D">
        <w:rPr>
          <w:rFonts w:ascii="Arial" w:eastAsia="Arial" w:hAnsi="Arial" w:cs="Arial"/>
          <w:sz w:val="20"/>
          <w:szCs w:val="20"/>
        </w:rPr>
        <w:t xml:space="preserve">lessons and </w:t>
      </w:r>
      <w:r w:rsidR="5AB3EE6E" w:rsidRPr="00306F4D">
        <w:rPr>
          <w:rFonts w:ascii="Arial" w:eastAsia="Arial" w:hAnsi="Arial" w:cs="Arial"/>
          <w:sz w:val="20"/>
          <w:szCs w:val="20"/>
        </w:rPr>
        <w:t>practice</w:t>
      </w:r>
      <w:r w:rsidR="214B0389" w:rsidRPr="00306F4D">
        <w:rPr>
          <w:rFonts w:ascii="Arial" w:eastAsia="Arial" w:hAnsi="Arial" w:cs="Arial"/>
          <w:sz w:val="20"/>
          <w:szCs w:val="20"/>
        </w:rPr>
        <w:t>.</w:t>
      </w:r>
      <w:r w:rsidR="00D11646" w:rsidRPr="00306F4D">
        <w:rPr>
          <w:rStyle w:val="FootnoteReference"/>
          <w:rFonts w:ascii="Arial" w:eastAsia="Arial" w:hAnsi="Arial" w:cs="Arial"/>
          <w:sz w:val="20"/>
          <w:szCs w:val="20"/>
        </w:rPr>
        <w:footnoteReference w:id="17"/>
      </w:r>
      <w:r w:rsidR="0C352E4E" w:rsidRPr="00306F4D">
        <w:rPr>
          <w:rFonts w:ascii="Arial" w:eastAsia="Arial" w:hAnsi="Arial" w:cs="Arial"/>
          <w:sz w:val="20"/>
          <w:szCs w:val="20"/>
        </w:rPr>
        <w:t xml:space="preserve"> </w:t>
      </w:r>
      <w:r w:rsidRPr="00306F4D">
        <w:rPr>
          <w:rFonts w:ascii="Arial" w:eastAsia="Arial" w:hAnsi="Arial" w:cs="Arial"/>
          <w:sz w:val="20"/>
          <w:szCs w:val="20"/>
        </w:rPr>
        <w:t xml:space="preserve">The mountains of the Western Balkans are of vital importance in providing ecosystem services to downstream, urban and regional communities, livelihoods and economies. Such mountain ecosystem services include that of “water towers”, supplying water (especially in summer) for irrigation, drinking, recreation and hydropower; as </w:t>
      </w:r>
      <w:r w:rsidR="1D8DDFCE" w:rsidRPr="00306F4D">
        <w:rPr>
          <w:rFonts w:ascii="Arial" w:eastAsia="Arial" w:hAnsi="Arial" w:cs="Arial"/>
          <w:sz w:val="20"/>
          <w:szCs w:val="20"/>
        </w:rPr>
        <w:t>centers</w:t>
      </w:r>
      <w:r w:rsidRPr="00306F4D">
        <w:rPr>
          <w:rFonts w:ascii="Arial" w:eastAsia="Arial" w:hAnsi="Arial" w:cs="Arial"/>
          <w:sz w:val="20"/>
          <w:szCs w:val="20"/>
        </w:rPr>
        <w:t xml:space="preserve"> of both biological and cultural diversity; and as places for tourism, health and recreation. However, the </w:t>
      </w:r>
      <w:proofErr w:type="gramStart"/>
      <w:r w:rsidRPr="00306F4D">
        <w:rPr>
          <w:rFonts w:ascii="Arial" w:eastAsia="Arial" w:hAnsi="Arial" w:cs="Arial"/>
          <w:sz w:val="20"/>
          <w:szCs w:val="20"/>
        </w:rPr>
        <w:t>Western Balkans mountain</w:t>
      </w:r>
      <w:proofErr w:type="gramEnd"/>
      <w:r w:rsidRPr="00306F4D">
        <w:rPr>
          <w:rFonts w:ascii="Arial" w:eastAsia="Arial" w:hAnsi="Arial" w:cs="Arial"/>
          <w:sz w:val="20"/>
          <w:szCs w:val="20"/>
        </w:rPr>
        <w:t xml:space="preserve"> geo- and eco-systems are highly sensitive to climate change. Extreme climate events can have major consequences for both mountain, downstream, agricultural and urban areas, for which a robust adaptation response is essential.</w:t>
      </w:r>
    </w:p>
    <w:p w14:paraId="4997B4E1" w14:textId="0C2BD229" w:rsidR="00196612" w:rsidRPr="00306F4D" w:rsidRDefault="00D759F5" w:rsidP="338C5E83">
      <w:pPr>
        <w:tabs>
          <w:tab w:val="left" w:pos="360"/>
        </w:tabs>
        <w:spacing w:before="120" w:after="240" w:line="276" w:lineRule="auto"/>
        <w:jc w:val="both"/>
        <w:rPr>
          <w:rFonts w:ascii="Arial" w:eastAsia="Arial" w:hAnsi="Arial" w:cs="Arial"/>
          <w:sz w:val="20"/>
          <w:szCs w:val="20"/>
        </w:rPr>
      </w:pPr>
      <w:r w:rsidRPr="00306F4D">
        <w:rPr>
          <w:noProof/>
        </w:rPr>
        <w:drawing>
          <wp:anchor distT="0" distB="0" distL="114300" distR="114300" simplePos="0" relativeHeight="251658243" behindDoc="0" locked="0" layoutInCell="1" allowOverlap="1" wp14:anchorId="4C9D3907" wp14:editId="238C2CB4">
            <wp:simplePos x="0" y="0"/>
            <wp:positionH relativeFrom="column">
              <wp:posOffset>-4445</wp:posOffset>
            </wp:positionH>
            <wp:positionV relativeFrom="paragraph">
              <wp:posOffset>726440</wp:posOffset>
            </wp:positionV>
            <wp:extent cx="4846955" cy="2743200"/>
            <wp:effectExtent l="0" t="0" r="0" b="0"/>
            <wp:wrapSquare wrapText="bothSides"/>
            <wp:docPr id="1334792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cstate="print">
                      <a:extLst>
                        <a:ext uri="{28A0092B-C50C-407E-A947-70E740481C1C}">
                          <a14:useLocalDpi xmlns:a14="http://schemas.microsoft.com/office/drawing/2010/main" val="0"/>
                        </a:ext>
                      </a:extLst>
                    </a:blip>
                    <a:srcRect t="25775"/>
                    <a:stretch>
                      <a:fillRect/>
                    </a:stretch>
                  </pic:blipFill>
                  <pic:spPr>
                    <a:xfrm>
                      <a:off x="0" y="0"/>
                      <a:ext cx="4846955" cy="2743200"/>
                    </a:xfrm>
                    <a:prstGeom prst="rect">
                      <a:avLst/>
                    </a:prstGeom>
                  </pic:spPr>
                </pic:pic>
              </a:graphicData>
            </a:graphic>
            <wp14:sizeRelH relativeFrom="page">
              <wp14:pctWidth>0</wp14:pctWidth>
            </wp14:sizeRelH>
            <wp14:sizeRelV relativeFrom="page">
              <wp14:pctHeight>0</wp14:pctHeight>
            </wp14:sizeRelV>
          </wp:anchor>
        </w:drawing>
      </w:r>
      <w:r w:rsidR="250BBFE1" w:rsidRPr="00306F4D">
        <w:rPr>
          <w:rFonts w:ascii="Arial" w:eastAsia="Arial" w:hAnsi="Arial" w:cs="Arial"/>
          <w:sz w:val="20"/>
          <w:szCs w:val="20"/>
        </w:rPr>
        <w:t xml:space="preserve">Moreover, the Western Balkans region features some of Europe’s richest </w:t>
      </w:r>
      <w:r w:rsidR="56425F07" w:rsidRPr="00306F4D">
        <w:rPr>
          <w:rFonts w:ascii="Arial" w:eastAsia="Arial" w:hAnsi="Arial" w:cs="Arial"/>
          <w:sz w:val="20"/>
          <w:szCs w:val="20"/>
        </w:rPr>
        <w:t xml:space="preserve">freshwater ecosystems. </w:t>
      </w:r>
      <w:r w:rsidR="627DCFF3" w:rsidRPr="00306F4D">
        <w:rPr>
          <w:rFonts w:ascii="Arial" w:eastAsia="Arial" w:hAnsi="Arial" w:cs="Arial"/>
          <w:sz w:val="20"/>
          <w:szCs w:val="20"/>
        </w:rPr>
        <w:t>Referred to as</w:t>
      </w:r>
      <w:r w:rsidR="250BBFE1" w:rsidRPr="00306F4D">
        <w:rPr>
          <w:rFonts w:ascii="Arial" w:eastAsia="Arial" w:hAnsi="Arial" w:cs="Arial"/>
          <w:color w:val="auto"/>
          <w:sz w:val="20"/>
          <w:szCs w:val="20"/>
        </w:rPr>
        <w:t xml:space="preserve"> “Blue Heart of Europe”</w:t>
      </w:r>
      <w:r w:rsidR="79F6C6FA" w:rsidRPr="00306F4D">
        <w:rPr>
          <w:rFonts w:ascii="Arial" w:eastAsia="Arial" w:hAnsi="Arial" w:cs="Arial"/>
          <w:color w:val="auto"/>
          <w:sz w:val="20"/>
          <w:szCs w:val="20"/>
        </w:rPr>
        <w:t>,</w:t>
      </w:r>
      <w:r w:rsidR="627DCFF3" w:rsidRPr="00306F4D">
        <w:rPr>
          <w:rFonts w:ascii="Arial" w:eastAsia="Arial" w:hAnsi="Arial" w:cs="Arial"/>
          <w:color w:val="auto"/>
          <w:sz w:val="20"/>
          <w:szCs w:val="20"/>
        </w:rPr>
        <w:t xml:space="preserve"> Balkan </w:t>
      </w:r>
      <w:r w:rsidR="250BBFE1" w:rsidRPr="00306F4D">
        <w:rPr>
          <w:rFonts w:ascii="Arial" w:eastAsia="Arial" w:hAnsi="Arial" w:cs="Arial"/>
          <w:color w:val="auto"/>
          <w:sz w:val="20"/>
          <w:szCs w:val="20"/>
        </w:rPr>
        <w:t xml:space="preserve">rivers </w:t>
      </w:r>
      <w:r w:rsidR="5C1692EB" w:rsidRPr="00306F4D">
        <w:rPr>
          <w:rFonts w:ascii="Arial" w:eastAsia="Arial" w:hAnsi="Arial" w:cs="Arial"/>
          <w:color w:val="auto"/>
          <w:sz w:val="20"/>
          <w:szCs w:val="20"/>
        </w:rPr>
        <w:t xml:space="preserve">are rich with </w:t>
      </w:r>
      <w:r w:rsidR="250BBFE1" w:rsidRPr="00306F4D">
        <w:rPr>
          <w:rFonts w:ascii="Arial" w:eastAsia="Arial" w:hAnsi="Arial" w:cs="Arial"/>
          <w:color w:val="auto"/>
          <w:sz w:val="20"/>
          <w:szCs w:val="20"/>
        </w:rPr>
        <w:t>freshwater biodiversity</w:t>
      </w:r>
      <w:r w:rsidR="79F6C6FA" w:rsidRPr="00306F4D">
        <w:rPr>
          <w:rFonts w:ascii="Arial" w:eastAsia="Arial" w:hAnsi="Arial" w:cs="Arial"/>
          <w:color w:val="auto"/>
          <w:sz w:val="20"/>
          <w:szCs w:val="20"/>
        </w:rPr>
        <w:t xml:space="preserve"> and natural habitats</w:t>
      </w:r>
      <w:r w:rsidR="016A77C5" w:rsidRPr="00306F4D">
        <w:rPr>
          <w:rFonts w:ascii="Arial" w:eastAsia="Arial" w:hAnsi="Arial" w:cs="Arial"/>
          <w:sz w:val="20"/>
          <w:szCs w:val="20"/>
          <w:vertAlign w:val="superscript"/>
        </w:rPr>
        <w:footnoteReference w:id="18"/>
      </w:r>
      <w:r w:rsidR="250BBFE1" w:rsidRPr="00306F4D">
        <w:rPr>
          <w:rFonts w:ascii="Arial" w:eastAsia="Arial" w:hAnsi="Arial" w:cs="Arial"/>
          <w:sz w:val="20"/>
          <w:szCs w:val="20"/>
        </w:rPr>
        <w:t xml:space="preserve"> </w:t>
      </w:r>
      <w:r w:rsidR="5C1692EB" w:rsidRPr="00306F4D">
        <w:rPr>
          <w:rFonts w:ascii="Arial" w:eastAsia="Arial" w:hAnsi="Arial" w:cs="Arial"/>
          <w:sz w:val="20"/>
          <w:szCs w:val="20"/>
        </w:rPr>
        <w:t>and</w:t>
      </w:r>
      <w:r w:rsidR="250BBFE1" w:rsidRPr="00306F4D">
        <w:rPr>
          <w:rFonts w:ascii="Arial" w:eastAsia="Arial" w:hAnsi="Arial" w:cs="Arial"/>
          <w:sz w:val="20"/>
          <w:szCs w:val="20"/>
        </w:rPr>
        <w:t xml:space="preserve"> contribute greatly to the region’s adaptation challenge and potential (</w:t>
      </w:r>
      <w:r w:rsidR="250BBFE1" w:rsidRPr="00306F4D">
        <w:rPr>
          <w:rFonts w:ascii="Arial" w:eastAsia="Arial" w:hAnsi="Arial" w:cs="Arial"/>
          <w:b/>
          <w:bCs/>
          <w:sz w:val="20"/>
          <w:szCs w:val="20"/>
        </w:rPr>
        <w:t>Figure 2</w:t>
      </w:r>
      <w:r w:rsidR="250BBFE1" w:rsidRPr="00306F4D">
        <w:rPr>
          <w:rFonts w:ascii="Arial" w:eastAsia="Arial" w:hAnsi="Arial" w:cs="Arial"/>
          <w:sz w:val="20"/>
          <w:szCs w:val="20"/>
        </w:rPr>
        <w:t>).</w:t>
      </w:r>
    </w:p>
    <w:p w14:paraId="2ADC9FDB" w14:textId="1EAA73DE" w:rsidR="016A77C5" w:rsidRPr="00306F4D" w:rsidRDefault="4490A9BE" w:rsidP="338C5E83">
      <w:pPr>
        <w:tabs>
          <w:tab w:val="left" w:pos="360"/>
        </w:tabs>
        <w:spacing w:before="120" w:after="240" w:line="276" w:lineRule="auto"/>
        <w:jc w:val="both"/>
        <w:rPr>
          <w:rFonts w:ascii="Arial" w:hAnsi="Arial" w:cs="Arial"/>
          <w:b/>
          <w:bCs/>
          <w:sz w:val="15"/>
          <w:szCs w:val="15"/>
        </w:rPr>
      </w:pPr>
      <w:r w:rsidRPr="00306F4D">
        <w:rPr>
          <w:rFonts w:ascii="Arial" w:hAnsi="Arial" w:cs="Arial"/>
          <w:b/>
          <w:bCs/>
          <w:sz w:val="15"/>
          <w:szCs w:val="15"/>
        </w:rPr>
        <w:t xml:space="preserve">Figure 2. The “Blue Heart of Europe”: Balkans Rivers. </w:t>
      </w:r>
      <w:proofErr w:type="spellStart"/>
      <w:r w:rsidRPr="00306F4D">
        <w:rPr>
          <w:rFonts w:ascii="Arial" w:hAnsi="Arial" w:cs="Arial"/>
          <w:b/>
          <w:bCs/>
          <w:sz w:val="15"/>
          <w:szCs w:val="15"/>
        </w:rPr>
        <w:t>Hydromorphological</w:t>
      </w:r>
      <w:proofErr w:type="spellEnd"/>
      <w:r w:rsidRPr="00306F4D">
        <w:rPr>
          <w:rFonts w:ascii="Arial" w:hAnsi="Arial" w:cs="Arial"/>
          <w:b/>
          <w:bCs/>
          <w:sz w:val="15"/>
          <w:szCs w:val="15"/>
        </w:rPr>
        <w:t xml:space="preserve"> Map of the Balkan Rivers. (Color Legend: Blue: Near-natural stretch of river. Green: slightly to moderately modified stretches of river. Yellow: extensively modified stretches of river. Red: severely modified stretches of river. While the </w:t>
      </w:r>
      <w:proofErr w:type="spellStart"/>
      <w:r w:rsidRPr="00306F4D">
        <w:rPr>
          <w:rFonts w:ascii="Arial" w:hAnsi="Arial" w:cs="Arial"/>
          <w:b/>
          <w:bCs/>
          <w:sz w:val="15"/>
          <w:szCs w:val="15"/>
        </w:rPr>
        <w:t>hydromorphological</w:t>
      </w:r>
      <w:proofErr w:type="spellEnd"/>
      <w:r w:rsidRPr="00306F4D">
        <w:rPr>
          <w:rFonts w:ascii="Arial" w:hAnsi="Arial" w:cs="Arial"/>
          <w:b/>
          <w:bCs/>
          <w:sz w:val="15"/>
          <w:szCs w:val="15"/>
        </w:rPr>
        <w:t xml:space="preserve"> map of the Balkan River web shows mainly blue and green </w:t>
      </w:r>
      <w:proofErr w:type="spellStart"/>
      <w:r w:rsidRPr="00306F4D">
        <w:rPr>
          <w:rFonts w:ascii="Arial" w:hAnsi="Arial" w:cs="Arial"/>
          <w:b/>
          <w:bCs/>
          <w:sz w:val="15"/>
          <w:szCs w:val="15"/>
        </w:rPr>
        <w:t>colours</w:t>
      </w:r>
      <w:proofErr w:type="spellEnd"/>
      <w:r w:rsidRPr="00306F4D">
        <w:rPr>
          <w:rFonts w:ascii="Arial" w:hAnsi="Arial" w:cs="Arial"/>
          <w:b/>
          <w:bCs/>
          <w:sz w:val="15"/>
          <w:szCs w:val="15"/>
        </w:rPr>
        <w:t>, a comparable map of the rest of Europe would light up in yellow and red.)</w:t>
      </w:r>
    </w:p>
    <w:p w14:paraId="53018578" w14:textId="60E9329A" w:rsidR="00D7067C" w:rsidRPr="00306F4D" w:rsidDel="00757DCE" w:rsidRDefault="0D66DE96" w:rsidP="02E2BB75">
      <w:pPr>
        <w:tabs>
          <w:tab w:val="left" w:pos="360"/>
        </w:tabs>
        <w:spacing w:before="120" w:after="240" w:line="276" w:lineRule="auto"/>
        <w:jc w:val="both"/>
        <w:rPr>
          <w:rFonts w:ascii="Arial" w:eastAsia="Arial" w:hAnsi="Arial" w:cs="Arial"/>
          <w:color w:val="auto"/>
          <w:sz w:val="20"/>
          <w:szCs w:val="20"/>
        </w:rPr>
      </w:pPr>
      <w:r w:rsidRPr="00306F4D">
        <w:rPr>
          <w:rFonts w:ascii="Arial" w:eastAsia="Arial" w:hAnsi="Arial" w:cs="Arial"/>
          <w:color w:val="auto"/>
          <w:sz w:val="20"/>
          <w:szCs w:val="20"/>
        </w:rPr>
        <w:t>T</w:t>
      </w:r>
      <w:r w:rsidR="1FE41D30" w:rsidRPr="00306F4D">
        <w:rPr>
          <w:rFonts w:ascii="Arial" w:eastAsia="Arial" w:hAnsi="Arial" w:cs="Arial"/>
          <w:color w:val="auto"/>
          <w:sz w:val="20"/>
          <w:szCs w:val="20"/>
        </w:rPr>
        <w:t>his</w:t>
      </w:r>
      <w:r w:rsidR="000AE834" w:rsidRPr="00306F4D">
        <w:rPr>
          <w:rFonts w:ascii="Arial" w:eastAsia="Arial" w:hAnsi="Arial" w:cs="Arial"/>
          <w:color w:val="auto"/>
          <w:sz w:val="20"/>
          <w:szCs w:val="20"/>
        </w:rPr>
        <w:t xml:space="preserve"> ecologically-diverse</w:t>
      </w:r>
      <w:r w:rsidR="6113CD9E" w:rsidRPr="00306F4D">
        <w:rPr>
          <w:rFonts w:ascii="Arial" w:eastAsia="Arial" w:hAnsi="Arial" w:cs="Arial"/>
          <w:color w:val="auto"/>
          <w:sz w:val="20"/>
          <w:szCs w:val="20"/>
        </w:rPr>
        <w:t xml:space="preserve"> region</w:t>
      </w:r>
      <w:r w:rsidR="52DA0754" w:rsidRPr="00306F4D">
        <w:rPr>
          <w:rFonts w:ascii="Arial" w:eastAsia="Arial" w:hAnsi="Arial" w:cs="Arial"/>
          <w:color w:val="auto"/>
          <w:sz w:val="20"/>
          <w:szCs w:val="20"/>
        </w:rPr>
        <w:t xml:space="preserve"> featu</w:t>
      </w:r>
      <w:r w:rsidR="52DA0754" w:rsidRPr="00306F4D">
        <w:rPr>
          <w:rFonts w:ascii="Arial" w:eastAsia="Arial" w:hAnsi="Arial" w:cs="Arial"/>
          <w:sz w:val="20"/>
          <w:szCs w:val="20"/>
        </w:rPr>
        <w:t>res more than 35,000 km of globally important rivers, notably the Sava and Danube Rivers</w:t>
      </w:r>
      <w:r w:rsidR="00343193" w:rsidRPr="00306F4D">
        <w:rPr>
          <w:rFonts w:ascii="Arial" w:eastAsia="Arial" w:hAnsi="Arial" w:cs="Arial"/>
          <w:sz w:val="20"/>
          <w:szCs w:val="20"/>
        </w:rPr>
        <w:t>.</w:t>
      </w:r>
      <w:r w:rsidR="00D7067C" w:rsidRPr="00306F4D">
        <w:rPr>
          <w:rFonts w:ascii="Arial" w:eastAsia="Arial" w:hAnsi="Arial" w:cs="Arial"/>
          <w:color w:val="auto"/>
          <w:sz w:val="20"/>
          <w:szCs w:val="20"/>
          <w:vertAlign w:val="superscript"/>
        </w:rPr>
        <w:footnoteReference w:id="19"/>
      </w:r>
      <w:r w:rsidR="00FE4884" w:rsidRPr="00306F4D">
        <w:rPr>
          <w:rFonts w:ascii="Arial" w:eastAsia="Arial" w:hAnsi="Arial" w:cs="Arial"/>
          <w:sz w:val="20"/>
          <w:szCs w:val="20"/>
        </w:rPr>
        <w:t xml:space="preserve"> </w:t>
      </w:r>
      <w:r w:rsidR="00DF2CBF" w:rsidRPr="00306F4D">
        <w:rPr>
          <w:rFonts w:ascii="Arial" w:eastAsia="Arial" w:hAnsi="Arial" w:cs="Arial"/>
          <w:sz w:val="20"/>
          <w:szCs w:val="20"/>
        </w:rPr>
        <w:t xml:space="preserve">The Sava </w:t>
      </w:r>
      <w:r w:rsidR="002775E7" w:rsidRPr="00306F4D">
        <w:rPr>
          <w:rFonts w:ascii="Arial" w:eastAsia="Arial" w:hAnsi="Arial" w:cs="Arial"/>
          <w:sz w:val="20"/>
          <w:szCs w:val="20"/>
        </w:rPr>
        <w:t>R</w:t>
      </w:r>
      <w:r w:rsidR="00DF2CBF" w:rsidRPr="00306F4D">
        <w:rPr>
          <w:rFonts w:ascii="Arial" w:eastAsia="Arial" w:hAnsi="Arial" w:cs="Arial"/>
          <w:sz w:val="20"/>
          <w:szCs w:val="20"/>
        </w:rPr>
        <w:t xml:space="preserve">iver </w:t>
      </w:r>
      <w:r w:rsidR="002775E7" w:rsidRPr="00306F4D">
        <w:rPr>
          <w:rFonts w:ascii="Arial" w:eastAsia="Arial" w:hAnsi="Arial" w:cs="Arial"/>
          <w:sz w:val="20"/>
          <w:szCs w:val="20"/>
        </w:rPr>
        <w:t>Basin</w:t>
      </w:r>
      <w:r w:rsidR="000D15B8" w:rsidRPr="00306F4D">
        <w:rPr>
          <w:rFonts w:ascii="Arial" w:eastAsia="Arial" w:hAnsi="Arial" w:cs="Arial"/>
          <w:sz w:val="20"/>
          <w:szCs w:val="20"/>
        </w:rPr>
        <w:t>,</w:t>
      </w:r>
      <w:r w:rsidR="002775E7" w:rsidRPr="00306F4D">
        <w:rPr>
          <w:rFonts w:ascii="Arial" w:eastAsia="Arial" w:hAnsi="Arial" w:cs="Arial"/>
          <w:sz w:val="20"/>
          <w:szCs w:val="20"/>
        </w:rPr>
        <w:t xml:space="preserve"> </w:t>
      </w:r>
      <w:r w:rsidR="14B537B5" w:rsidRPr="00306F4D">
        <w:rPr>
          <w:rFonts w:ascii="Arial" w:eastAsia="Arial" w:hAnsi="Arial" w:cs="Arial"/>
          <w:color w:val="auto"/>
          <w:sz w:val="20"/>
          <w:szCs w:val="20"/>
        </w:rPr>
        <w:t xml:space="preserve">comprising a catchment area of approximately </w:t>
      </w:r>
      <w:r w:rsidR="035C2733" w:rsidRPr="00306F4D">
        <w:rPr>
          <w:rFonts w:ascii="Arial" w:eastAsia="Arial" w:hAnsi="Arial" w:cs="Arial"/>
          <w:color w:val="auto"/>
          <w:sz w:val="20"/>
          <w:szCs w:val="20"/>
        </w:rPr>
        <w:t xml:space="preserve">97,713 </w:t>
      </w:r>
      <w:r w:rsidR="11FF0EF1" w:rsidRPr="00306F4D">
        <w:rPr>
          <w:rFonts w:ascii="Arial" w:eastAsia="Arial" w:hAnsi="Arial" w:cs="Arial"/>
          <w:color w:val="auto"/>
          <w:sz w:val="20"/>
          <w:szCs w:val="20"/>
        </w:rPr>
        <w:t xml:space="preserve">square </w:t>
      </w:r>
      <w:r w:rsidR="52200B70" w:rsidRPr="00306F4D">
        <w:rPr>
          <w:rFonts w:ascii="Arial" w:eastAsia="Arial" w:hAnsi="Arial" w:cs="Arial"/>
          <w:color w:val="auto"/>
          <w:sz w:val="20"/>
          <w:szCs w:val="20"/>
        </w:rPr>
        <w:t>kilometers</w:t>
      </w:r>
      <w:r w:rsidR="00D7067C" w:rsidRPr="00306F4D">
        <w:rPr>
          <w:rFonts w:ascii="Arial" w:eastAsia="Arial" w:hAnsi="Arial" w:cs="Arial"/>
          <w:color w:val="auto"/>
          <w:sz w:val="20"/>
          <w:szCs w:val="20"/>
          <w:vertAlign w:val="superscript"/>
        </w:rPr>
        <w:footnoteReference w:id="20"/>
      </w:r>
      <w:r w:rsidR="00C6573F" w:rsidRPr="00306F4D">
        <w:rPr>
          <w:rFonts w:ascii="Arial" w:eastAsia="Arial" w:hAnsi="Arial" w:cs="Arial"/>
          <w:color w:val="auto"/>
          <w:sz w:val="20"/>
          <w:szCs w:val="20"/>
        </w:rPr>
        <w:t xml:space="preserve"> </w:t>
      </w:r>
      <w:r w:rsidR="5CB3F231" w:rsidRPr="00306F4D">
        <w:rPr>
          <w:rFonts w:ascii="Arial" w:eastAsia="Arial" w:hAnsi="Arial" w:cs="Arial"/>
          <w:color w:val="auto"/>
          <w:sz w:val="20"/>
          <w:szCs w:val="20"/>
        </w:rPr>
        <w:t xml:space="preserve">and </w:t>
      </w:r>
      <w:r w:rsidR="1A5F99C2" w:rsidRPr="00306F4D">
        <w:rPr>
          <w:rFonts w:ascii="Arial" w:eastAsia="Arial" w:hAnsi="Arial" w:cs="Arial"/>
          <w:color w:val="auto"/>
          <w:sz w:val="20"/>
          <w:szCs w:val="20"/>
        </w:rPr>
        <w:t>home to 8.</w:t>
      </w:r>
      <w:r w:rsidR="0AFE350F" w:rsidRPr="00306F4D">
        <w:rPr>
          <w:rFonts w:ascii="Arial" w:eastAsia="Arial" w:hAnsi="Arial" w:cs="Arial"/>
          <w:color w:val="auto"/>
          <w:sz w:val="20"/>
          <w:szCs w:val="20"/>
        </w:rPr>
        <w:t>2</w:t>
      </w:r>
      <w:r w:rsidR="1A5F99C2" w:rsidRPr="00306F4D">
        <w:rPr>
          <w:rFonts w:ascii="Arial" w:eastAsia="Arial" w:hAnsi="Arial" w:cs="Arial"/>
          <w:color w:val="auto"/>
          <w:sz w:val="20"/>
          <w:szCs w:val="20"/>
        </w:rPr>
        <w:t xml:space="preserve"> million people</w:t>
      </w:r>
      <w:r w:rsidR="6B6C44E8" w:rsidRPr="00306F4D">
        <w:rPr>
          <w:rFonts w:ascii="Arial" w:eastAsia="Arial" w:hAnsi="Arial" w:cs="Arial"/>
          <w:color w:val="auto"/>
          <w:sz w:val="20"/>
          <w:szCs w:val="20"/>
        </w:rPr>
        <w:t>,</w:t>
      </w:r>
      <w:r w:rsidR="11FF0EF1" w:rsidRPr="00306F4D">
        <w:rPr>
          <w:rFonts w:ascii="Arial" w:eastAsia="Arial" w:hAnsi="Arial" w:cs="Arial"/>
          <w:color w:val="auto"/>
          <w:sz w:val="20"/>
          <w:szCs w:val="20"/>
        </w:rPr>
        <w:t xml:space="preserve"> drains a significant portion of the Dinaric Alps region, through the major tributaries of </w:t>
      </w:r>
      <w:r w:rsidR="796C730C" w:rsidRPr="00306F4D">
        <w:rPr>
          <w:rFonts w:ascii="Arial" w:eastAsia="Arial" w:hAnsi="Arial" w:cs="Arial"/>
          <w:color w:val="auto"/>
          <w:sz w:val="20"/>
          <w:szCs w:val="20"/>
        </w:rPr>
        <w:t xml:space="preserve">the </w:t>
      </w:r>
      <w:r w:rsidR="11FF0EF1" w:rsidRPr="00306F4D">
        <w:rPr>
          <w:rFonts w:ascii="Arial" w:eastAsia="Arial" w:hAnsi="Arial" w:cs="Arial"/>
          <w:color w:val="auto"/>
          <w:sz w:val="20"/>
          <w:szCs w:val="20"/>
        </w:rPr>
        <w:t xml:space="preserve">Drina, Bosna, Kupa, Una, Vrbas, </w:t>
      </w:r>
      <w:proofErr w:type="spellStart"/>
      <w:r w:rsidR="11FF0EF1" w:rsidRPr="00306F4D">
        <w:rPr>
          <w:rFonts w:ascii="Arial" w:eastAsia="Arial" w:hAnsi="Arial" w:cs="Arial"/>
          <w:color w:val="auto"/>
          <w:sz w:val="20"/>
          <w:szCs w:val="20"/>
        </w:rPr>
        <w:t>Lonja</w:t>
      </w:r>
      <w:proofErr w:type="spellEnd"/>
      <w:r w:rsidR="11FF0EF1" w:rsidRPr="00306F4D">
        <w:rPr>
          <w:rFonts w:ascii="Arial" w:eastAsia="Arial" w:hAnsi="Arial" w:cs="Arial"/>
          <w:color w:val="auto"/>
          <w:sz w:val="20"/>
          <w:szCs w:val="20"/>
        </w:rPr>
        <w:t xml:space="preserve">, </w:t>
      </w:r>
      <w:proofErr w:type="spellStart"/>
      <w:r w:rsidR="11FF0EF1" w:rsidRPr="00306F4D">
        <w:rPr>
          <w:rFonts w:ascii="Arial" w:eastAsia="Arial" w:hAnsi="Arial" w:cs="Arial"/>
          <w:color w:val="auto"/>
          <w:sz w:val="20"/>
          <w:szCs w:val="20"/>
        </w:rPr>
        <w:t>Kolubara</w:t>
      </w:r>
      <w:proofErr w:type="spellEnd"/>
      <w:r w:rsidR="11FF0EF1" w:rsidRPr="00306F4D">
        <w:rPr>
          <w:rFonts w:ascii="Arial" w:eastAsia="Arial" w:hAnsi="Arial" w:cs="Arial"/>
          <w:color w:val="auto"/>
          <w:sz w:val="20"/>
          <w:szCs w:val="20"/>
        </w:rPr>
        <w:t xml:space="preserve">, </w:t>
      </w:r>
      <w:proofErr w:type="spellStart"/>
      <w:r w:rsidR="11FF0EF1" w:rsidRPr="00306F4D" w:rsidDel="00B81857">
        <w:rPr>
          <w:rFonts w:ascii="Arial" w:eastAsia="Arial" w:hAnsi="Arial" w:cs="Arial"/>
          <w:color w:val="auto"/>
          <w:sz w:val="20"/>
          <w:szCs w:val="20"/>
        </w:rPr>
        <w:t>Bosut</w:t>
      </w:r>
      <w:proofErr w:type="spellEnd"/>
      <w:r w:rsidR="11FF0EF1" w:rsidRPr="00306F4D">
        <w:rPr>
          <w:rFonts w:ascii="Arial" w:eastAsia="Arial" w:hAnsi="Arial" w:cs="Arial"/>
          <w:color w:val="auto"/>
          <w:sz w:val="20"/>
          <w:szCs w:val="20"/>
        </w:rPr>
        <w:t xml:space="preserve"> and Krka </w:t>
      </w:r>
      <w:r w:rsidR="73096D6A" w:rsidRPr="00306F4D">
        <w:rPr>
          <w:rFonts w:ascii="Arial" w:eastAsia="Arial" w:hAnsi="Arial" w:cs="Arial"/>
          <w:color w:val="auto"/>
          <w:sz w:val="20"/>
          <w:szCs w:val="20"/>
        </w:rPr>
        <w:t>river</w:t>
      </w:r>
      <w:r w:rsidR="61D65EC1" w:rsidRPr="00306F4D">
        <w:rPr>
          <w:rFonts w:ascii="Arial" w:eastAsia="Arial" w:hAnsi="Arial" w:cs="Arial"/>
          <w:color w:val="auto"/>
          <w:sz w:val="20"/>
          <w:szCs w:val="20"/>
        </w:rPr>
        <w:t>s</w:t>
      </w:r>
      <w:r w:rsidR="73096D6A" w:rsidRPr="00306F4D">
        <w:rPr>
          <w:rFonts w:ascii="Arial" w:eastAsia="Arial" w:hAnsi="Arial" w:cs="Arial"/>
          <w:color w:val="auto"/>
          <w:sz w:val="20"/>
          <w:szCs w:val="20"/>
        </w:rPr>
        <w:t>.</w:t>
      </w:r>
      <w:r w:rsidR="11FF0EF1" w:rsidRPr="00306F4D">
        <w:rPr>
          <w:rFonts w:ascii="Arial" w:eastAsia="Arial" w:hAnsi="Arial" w:cs="Arial"/>
          <w:color w:val="auto"/>
          <w:sz w:val="20"/>
          <w:szCs w:val="20"/>
        </w:rPr>
        <w:t xml:space="preserve"> </w:t>
      </w:r>
      <w:r w:rsidR="666A37B0" w:rsidRPr="00306F4D">
        <w:rPr>
          <w:rFonts w:ascii="Arial" w:eastAsia="Arial" w:hAnsi="Arial" w:cs="Arial"/>
          <w:color w:val="auto"/>
          <w:sz w:val="20"/>
          <w:szCs w:val="20"/>
        </w:rPr>
        <w:t>T</w:t>
      </w:r>
      <w:r w:rsidR="7D5FF4B0" w:rsidRPr="00306F4D">
        <w:rPr>
          <w:rFonts w:ascii="Arial" w:eastAsia="Arial" w:hAnsi="Arial" w:cs="Arial"/>
          <w:color w:val="auto"/>
          <w:sz w:val="20"/>
          <w:szCs w:val="20"/>
        </w:rPr>
        <w:t>he</w:t>
      </w:r>
      <w:r w:rsidR="42E2B15D" w:rsidRPr="00306F4D">
        <w:rPr>
          <w:rFonts w:ascii="Arial" w:eastAsia="Arial" w:hAnsi="Arial" w:cs="Arial"/>
          <w:color w:val="auto"/>
          <w:sz w:val="20"/>
          <w:szCs w:val="20"/>
        </w:rPr>
        <w:t xml:space="preserve"> Sava</w:t>
      </w:r>
      <w:r w:rsidR="52DA0754" w:rsidRPr="00306F4D">
        <w:rPr>
          <w:rFonts w:ascii="Arial" w:eastAsia="Arial" w:hAnsi="Arial" w:cs="Arial"/>
          <w:color w:val="auto"/>
          <w:sz w:val="20"/>
          <w:szCs w:val="20"/>
        </w:rPr>
        <w:t xml:space="preserve"> </w:t>
      </w:r>
      <w:r w:rsidR="46270F9E" w:rsidRPr="00306F4D">
        <w:rPr>
          <w:rFonts w:ascii="Arial" w:eastAsia="Arial" w:hAnsi="Arial" w:cs="Arial"/>
          <w:color w:val="auto"/>
          <w:sz w:val="20"/>
          <w:szCs w:val="20"/>
        </w:rPr>
        <w:t>River’s</w:t>
      </w:r>
      <w:r w:rsidR="52DA0754" w:rsidRPr="00306F4D" w:rsidDel="000D2727">
        <w:rPr>
          <w:rFonts w:ascii="Arial" w:eastAsia="Arial" w:hAnsi="Arial" w:cs="Arial"/>
          <w:color w:val="auto"/>
          <w:sz w:val="20"/>
          <w:szCs w:val="20"/>
        </w:rPr>
        <w:t xml:space="preserve"> </w:t>
      </w:r>
      <w:r w:rsidR="52DA0754" w:rsidRPr="00306F4D">
        <w:rPr>
          <w:rFonts w:ascii="Arial" w:eastAsia="Arial" w:hAnsi="Arial" w:cs="Arial"/>
          <w:color w:val="auto"/>
          <w:sz w:val="20"/>
          <w:szCs w:val="20"/>
        </w:rPr>
        <w:t>region-wide river basin is at significant risk of climate change-induced flooding</w:t>
      </w:r>
      <w:r w:rsidR="7CE474CE" w:rsidRPr="00306F4D">
        <w:rPr>
          <w:rFonts w:ascii="Arial" w:eastAsia="Arial" w:hAnsi="Arial" w:cs="Arial"/>
          <w:color w:val="auto"/>
          <w:sz w:val="20"/>
          <w:szCs w:val="20"/>
        </w:rPr>
        <w:t>,</w:t>
      </w:r>
      <w:r w:rsidR="52DA0754" w:rsidRPr="00306F4D">
        <w:rPr>
          <w:rFonts w:ascii="Arial" w:eastAsia="Arial" w:hAnsi="Arial" w:cs="Arial"/>
          <w:color w:val="auto"/>
          <w:sz w:val="20"/>
          <w:szCs w:val="20"/>
        </w:rPr>
        <w:t xml:space="preserve"> and </w:t>
      </w:r>
      <w:r w:rsidR="57390F47" w:rsidRPr="00306F4D">
        <w:rPr>
          <w:rFonts w:ascii="Arial" w:eastAsia="Arial" w:hAnsi="Arial" w:cs="Arial"/>
          <w:color w:val="auto"/>
          <w:sz w:val="20"/>
          <w:szCs w:val="20"/>
        </w:rPr>
        <w:t>paradoxically water scarcity and</w:t>
      </w:r>
      <w:r w:rsidR="42E2B15D" w:rsidRPr="00306F4D">
        <w:rPr>
          <w:rFonts w:ascii="Arial" w:eastAsia="Arial" w:hAnsi="Arial" w:cs="Arial"/>
          <w:color w:val="auto"/>
          <w:sz w:val="20"/>
          <w:szCs w:val="20"/>
        </w:rPr>
        <w:t xml:space="preserve"> </w:t>
      </w:r>
      <w:r w:rsidR="52DA0754" w:rsidRPr="00306F4D">
        <w:rPr>
          <w:rFonts w:ascii="Arial" w:eastAsia="Arial" w:hAnsi="Arial" w:cs="Arial"/>
          <w:color w:val="auto"/>
          <w:sz w:val="20"/>
          <w:szCs w:val="20"/>
        </w:rPr>
        <w:t>drought</w:t>
      </w:r>
      <w:r w:rsidR="75F682C9" w:rsidRPr="00306F4D">
        <w:rPr>
          <w:rFonts w:ascii="Arial" w:eastAsia="Arial" w:hAnsi="Arial" w:cs="Arial"/>
          <w:color w:val="auto"/>
          <w:sz w:val="20"/>
          <w:szCs w:val="20"/>
        </w:rPr>
        <w:t xml:space="preserve"> resulting in</w:t>
      </w:r>
      <w:r w:rsidR="00A805C3" w:rsidRPr="00306F4D">
        <w:rPr>
          <w:rFonts w:ascii="Arial" w:eastAsia="Arial" w:hAnsi="Arial" w:cs="Arial"/>
          <w:color w:val="auto"/>
          <w:sz w:val="20"/>
          <w:szCs w:val="20"/>
        </w:rPr>
        <w:t xml:space="preserve"> damages to agriculture production</w:t>
      </w:r>
      <w:r w:rsidR="00A805C3" w:rsidRPr="00306F4D" w:rsidDel="0046753A">
        <w:rPr>
          <w:rFonts w:ascii="Arial" w:eastAsia="Arial" w:hAnsi="Arial" w:cs="Arial"/>
          <w:color w:val="auto"/>
          <w:sz w:val="20"/>
          <w:szCs w:val="20"/>
        </w:rPr>
        <w:t>, livelihoods</w:t>
      </w:r>
      <w:r w:rsidR="00A805C3" w:rsidRPr="00306F4D" w:rsidDel="00940D92">
        <w:rPr>
          <w:rFonts w:ascii="Arial" w:eastAsia="Arial" w:hAnsi="Arial" w:cs="Arial"/>
          <w:color w:val="auto"/>
          <w:sz w:val="20"/>
          <w:szCs w:val="20"/>
        </w:rPr>
        <w:t xml:space="preserve"> and food security </w:t>
      </w:r>
      <w:r w:rsidR="00D7067C" w:rsidRPr="00306F4D">
        <w:rPr>
          <w:rFonts w:ascii="Arial" w:eastAsia="Arial" w:hAnsi="Arial" w:cs="Arial"/>
          <w:color w:val="auto"/>
          <w:sz w:val="20"/>
          <w:szCs w:val="20"/>
          <w:vertAlign w:val="superscript"/>
        </w:rPr>
        <w:footnoteReference w:id="21"/>
      </w:r>
      <w:r w:rsidR="78662857" w:rsidRPr="00306F4D">
        <w:rPr>
          <w:rFonts w:ascii="Arial" w:eastAsia="Arial" w:hAnsi="Arial" w:cs="Arial"/>
          <w:color w:val="auto"/>
          <w:sz w:val="20"/>
          <w:szCs w:val="20"/>
        </w:rPr>
        <w:t>.</w:t>
      </w:r>
      <w:r w:rsidR="330C2855" w:rsidRPr="00306F4D">
        <w:rPr>
          <w:rFonts w:ascii="Arial" w:eastAsia="Arial" w:hAnsi="Arial" w:cs="Arial"/>
          <w:color w:val="auto"/>
          <w:sz w:val="20"/>
          <w:szCs w:val="20"/>
        </w:rPr>
        <w:t xml:space="preserve"> </w:t>
      </w:r>
      <w:r w:rsidR="308B3337" w:rsidRPr="00306F4D">
        <w:rPr>
          <w:rFonts w:ascii="Arial" w:eastAsia="Arial" w:hAnsi="Arial" w:cs="Arial"/>
          <w:color w:val="auto"/>
          <w:sz w:val="20"/>
          <w:szCs w:val="20"/>
        </w:rPr>
        <w:t>I</w:t>
      </w:r>
      <w:r w:rsidR="78662857" w:rsidRPr="00306F4D">
        <w:rPr>
          <w:rFonts w:ascii="Arial" w:eastAsia="Arial" w:hAnsi="Arial" w:cs="Arial"/>
          <w:color w:val="auto"/>
          <w:sz w:val="20"/>
          <w:szCs w:val="20"/>
        </w:rPr>
        <w:t xml:space="preserve">ncreasingly frequent </w:t>
      </w:r>
      <w:r w:rsidR="2586068B" w:rsidRPr="00306F4D">
        <w:rPr>
          <w:rFonts w:ascii="Arial" w:eastAsia="Arial" w:hAnsi="Arial" w:cs="Arial"/>
          <w:color w:val="auto"/>
          <w:sz w:val="20"/>
          <w:szCs w:val="20"/>
        </w:rPr>
        <w:t xml:space="preserve">climate-induced </w:t>
      </w:r>
      <w:r w:rsidR="78662857" w:rsidRPr="00306F4D">
        <w:rPr>
          <w:rFonts w:ascii="Arial" w:eastAsia="Arial" w:hAnsi="Arial" w:cs="Arial"/>
          <w:color w:val="auto"/>
          <w:sz w:val="20"/>
          <w:szCs w:val="20"/>
        </w:rPr>
        <w:t>extreme weather and flood</w:t>
      </w:r>
      <w:r w:rsidR="7CBBCC99" w:rsidRPr="00306F4D">
        <w:rPr>
          <w:rFonts w:ascii="Arial" w:eastAsia="Arial" w:hAnsi="Arial" w:cs="Arial"/>
          <w:color w:val="auto"/>
          <w:sz w:val="20"/>
          <w:szCs w:val="20"/>
        </w:rPr>
        <w:t>s</w:t>
      </w:r>
      <w:r w:rsidR="78662857" w:rsidRPr="00306F4D">
        <w:rPr>
          <w:rFonts w:ascii="Arial" w:eastAsia="Arial" w:hAnsi="Arial" w:cs="Arial"/>
          <w:color w:val="auto"/>
          <w:sz w:val="20"/>
          <w:szCs w:val="20"/>
        </w:rPr>
        <w:t xml:space="preserve"> </w:t>
      </w:r>
      <w:r w:rsidR="438B55F7" w:rsidRPr="00306F4D">
        <w:rPr>
          <w:rFonts w:ascii="Arial" w:eastAsia="Arial" w:hAnsi="Arial" w:cs="Arial"/>
          <w:color w:val="auto"/>
          <w:sz w:val="20"/>
          <w:szCs w:val="20"/>
        </w:rPr>
        <w:t xml:space="preserve">are </w:t>
      </w:r>
      <w:r w:rsidR="78662857" w:rsidRPr="00306F4D">
        <w:rPr>
          <w:rFonts w:ascii="Arial" w:eastAsia="Arial" w:hAnsi="Arial" w:cs="Arial"/>
          <w:color w:val="auto"/>
          <w:sz w:val="20"/>
          <w:szCs w:val="20"/>
        </w:rPr>
        <w:t>putting human safety</w:t>
      </w:r>
      <w:r w:rsidR="208610B3" w:rsidRPr="00306F4D">
        <w:rPr>
          <w:rFonts w:ascii="Arial" w:eastAsia="Arial" w:hAnsi="Arial" w:cs="Arial"/>
          <w:color w:val="auto"/>
          <w:sz w:val="20"/>
          <w:szCs w:val="20"/>
        </w:rPr>
        <w:t>, assets</w:t>
      </w:r>
      <w:r w:rsidR="78662857" w:rsidRPr="00306F4D">
        <w:rPr>
          <w:rFonts w:ascii="Arial" w:eastAsia="Arial" w:hAnsi="Arial" w:cs="Arial"/>
          <w:color w:val="auto"/>
          <w:sz w:val="20"/>
          <w:szCs w:val="20"/>
        </w:rPr>
        <w:t xml:space="preserve"> and livelihoods at</w:t>
      </w:r>
      <w:r w:rsidR="58A7FA1B" w:rsidRPr="00306F4D">
        <w:rPr>
          <w:rFonts w:ascii="Arial" w:eastAsia="Arial" w:hAnsi="Arial" w:cs="Arial"/>
          <w:color w:val="auto"/>
          <w:sz w:val="20"/>
          <w:szCs w:val="20"/>
        </w:rPr>
        <w:t xml:space="preserve"> perpetual, increasing and unpredictable</w:t>
      </w:r>
      <w:r w:rsidR="78662857" w:rsidRPr="00306F4D">
        <w:rPr>
          <w:rFonts w:ascii="Arial" w:eastAsia="Arial" w:hAnsi="Arial" w:cs="Arial"/>
          <w:color w:val="auto"/>
          <w:sz w:val="20"/>
          <w:szCs w:val="20"/>
        </w:rPr>
        <w:t xml:space="preserve"> risk.</w:t>
      </w:r>
      <w:r w:rsidR="44BF3074" w:rsidRPr="00306F4D">
        <w:rPr>
          <w:rFonts w:ascii="Arial" w:eastAsia="Arial" w:hAnsi="Arial" w:cs="Arial"/>
          <w:color w:val="auto"/>
          <w:sz w:val="20"/>
          <w:szCs w:val="20"/>
        </w:rPr>
        <w:t xml:space="preserve"> </w:t>
      </w:r>
      <w:r w:rsidR="19650992" w:rsidRPr="00306F4D">
        <w:rPr>
          <w:rFonts w:ascii="Arial" w:eastAsia="Arial" w:hAnsi="Arial" w:cs="Arial"/>
          <w:color w:val="auto"/>
          <w:sz w:val="20"/>
          <w:szCs w:val="20"/>
        </w:rPr>
        <w:t xml:space="preserve"> </w:t>
      </w:r>
      <w:r w:rsidR="635CB2E9" w:rsidRPr="00306F4D">
        <w:rPr>
          <w:rFonts w:ascii="Arial" w:eastAsia="Arial" w:hAnsi="Arial" w:cs="Arial"/>
          <w:color w:val="auto"/>
          <w:sz w:val="20"/>
          <w:szCs w:val="20"/>
        </w:rPr>
        <w:t>Moreover, p</w:t>
      </w:r>
      <w:r w:rsidR="19650992" w:rsidRPr="00306F4D">
        <w:rPr>
          <w:rFonts w:ascii="Arial" w:eastAsia="Arial" w:hAnsi="Arial" w:cs="Arial"/>
          <w:color w:val="auto"/>
          <w:sz w:val="20"/>
          <w:szCs w:val="20"/>
        </w:rPr>
        <w:t>ollution run-off from flood</w:t>
      </w:r>
      <w:r w:rsidR="3B0025A8" w:rsidRPr="00306F4D">
        <w:rPr>
          <w:rFonts w:ascii="Arial" w:eastAsia="Arial" w:hAnsi="Arial" w:cs="Arial"/>
          <w:color w:val="auto"/>
          <w:sz w:val="20"/>
          <w:szCs w:val="20"/>
        </w:rPr>
        <w:t>s</w:t>
      </w:r>
      <w:r w:rsidR="19650992" w:rsidRPr="00306F4D">
        <w:rPr>
          <w:rFonts w:ascii="Arial" w:eastAsia="Arial" w:hAnsi="Arial" w:cs="Arial"/>
          <w:color w:val="auto"/>
          <w:sz w:val="20"/>
          <w:szCs w:val="20"/>
        </w:rPr>
        <w:t xml:space="preserve"> in </w:t>
      </w:r>
      <w:r w:rsidR="27662758" w:rsidRPr="00306F4D">
        <w:rPr>
          <w:rFonts w:ascii="Arial" w:eastAsia="Arial" w:hAnsi="Arial" w:cs="Arial"/>
          <w:color w:val="auto"/>
          <w:sz w:val="20"/>
          <w:szCs w:val="20"/>
        </w:rPr>
        <w:t>the b</w:t>
      </w:r>
      <w:r w:rsidR="19650992" w:rsidRPr="00306F4D">
        <w:rPr>
          <w:rFonts w:ascii="Arial" w:eastAsia="Arial" w:hAnsi="Arial" w:cs="Arial"/>
          <w:color w:val="auto"/>
          <w:sz w:val="20"/>
          <w:szCs w:val="20"/>
        </w:rPr>
        <w:t>asin poses a</w:t>
      </w:r>
      <w:r w:rsidR="7DA3E807" w:rsidRPr="00306F4D">
        <w:rPr>
          <w:rFonts w:ascii="Arial" w:eastAsia="Arial" w:hAnsi="Arial" w:cs="Arial"/>
          <w:color w:val="auto"/>
          <w:sz w:val="20"/>
          <w:szCs w:val="20"/>
        </w:rPr>
        <w:t xml:space="preserve"> compounding,</w:t>
      </w:r>
      <w:r w:rsidR="19650992" w:rsidRPr="00306F4D">
        <w:rPr>
          <w:rFonts w:ascii="Arial" w:eastAsia="Arial" w:hAnsi="Arial" w:cs="Arial"/>
          <w:color w:val="auto"/>
          <w:sz w:val="20"/>
          <w:szCs w:val="20"/>
        </w:rPr>
        <w:t xml:space="preserve"> significant </w:t>
      </w:r>
      <w:r w:rsidR="4218A7C8" w:rsidRPr="00306F4D">
        <w:rPr>
          <w:rFonts w:ascii="Arial" w:eastAsia="Arial" w:hAnsi="Arial" w:cs="Arial"/>
          <w:color w:val="auto"/>
          <w:sz w:val="20"/>
          <w:szCs w:val="20"/>
        </w:rPr>
        <w:t xml:space="preserve">and increasing </w:t>
      </w:r>
      <w:r w:rsidR="19650992" w:rsidRPr="00306F4D">
        <w:rPr>
          <w:rFonts w:ascii="Arial" w:eastAsia="Arial" w:hAnsi="Arial" w:cs="Arial"/>
          <w:color w:val="auto"/>
          <w:sz w:val="20"/>
          <w:szCs w:val="20"/>
        </w:rPr>
        <w:t>threat to human health</w:t>
      </w:r>
      <w:r w:rsidR="28F384C3" w:rsidRPr="00306F4D">
        <w:rPr>
          <w:rFonts w:ascii="Arial" w:eastAsia="Arial" w:hAnsi="Arial" w:cs="Arial"/>
          <w:color w:val="auto"/>
          <w:sz w:val="20"/>
          <w:szCs w:val="20"/>
        </w:rPr>
        <w:t>, ecosystem services,</w:t>
      </w:r>
      <w:r w:rsidR="565EE0C2" w:rsidRPr="00306F4D">
        <w:rPr>
          <w:rFonts w:ascii="Arial" w:eastAsia="Arial" w:hAnsi="Arial" w:cs="Arial"/>
          <w:color w:val="auto"/>
          <w:sz w:val="20"/>
          <w:szCs w:val="20"/>
        </w:rPr>
        <w:t xml:space="preserve"> infrastructure,</w:t>
      </w:r>
      <w:r w:rsidR="28F384C3" w:rsidRPr="00306F4D">
        <w:rPr>
          <w:rFonts w:ascii="Arial" w:eastAsia="Arial" w:hAnsi="Arial" w:cs="Arial"/>
          <w:color w:val="auto"/>
          <w:sz w:val="20"/>
          <w:szCs w:val="20"/>
        </w:rPr>
        <w:t xml:space="preserve"> and livelihoods</w:t>
      </w:r>
      <w:r w:rsidR="19650992" w:rsidRPr="00306F4D">
        <w:rPr>
          <w:rFonts w:ascii="Arial" w:eastAsia="Arial" w:hAnsi="Arial" w:cs="Arial"/>
          <w:color w:val="auto"/>
          <w:sz w:val="20"/>
          <w:szCs w:val="20"/>
        </w:rPr>
        <w:t>. Floodwaters carry</w:t>
      </w:r>
      <w:r w:rsidR="5EAE17D2" w:rsidRPr="00306F4D">
        <w:rPr>
          <w:rFonts w:ascii="Arial" w:eastAsia="Arial" w:hAnsi="Arial" w:cs="Arial"/>
          <w:color w:val="auto"/>
          <w:sz w:val="20"/>
          <w:szCs w:val="20"/>
        </w:rPr>
        <w:t xml:space="preserve"> and disperse</w:t>
      </w:r>
      <w:r w:rsidR="19650992" w:rsidRPr="00306F4D">
        <w:rPr>
          <w:rFonts w:ascii="Arial" w:eastAsia="Arial" w:hAnsi="Arial" w:cs="Arial"/>
          <w:color w:val="auto"/>
          <w:sz w:val="20"/>
          <w:szCs w:val="20"/>
        </w:rPr>
        <w:t xml:space="preserve"> </w:t>
      </w:r>
      <w:r w:rsidR="4BD26587" w:rsidRPr="00306F4D">
        <w:rPr>
          <w:rFonts w:ascii="Arial" w:eastAsia="Arial" w:hAnsi="Arial" w:cs="Arial"/>
          <w:color w:val="auto"/>
          <w:sz w:val="20"/>
          <w:szCs w:val="20"/>
        </w:rPr>
        <w:t>a</w:t>
      </w:r>
      <w:r w:rsidR="3653BA24" w:rsidRPr="00306F4D">
        <w:rPr>
          <w:rFonts w:ascii="Arial" w:eastAsia="Arial" w:hAnsi="Arial" w:cs="Arial"/>
          <w:color w:val="auto"/>
          <w:sz w:val="20"/>
          <w:szCs w:val="20"/>
        </w:rPr>
        <w:t xml:space="preserve"> dangerous and often toxic </w:t>
      </w:r>
      <w:r w:rsidR="19650992" w:rsidRPr="00306F4D">
        <w:rPr>
          <w:rFonts w:ascii="Arial" w:eastAsia="Arial" w:hAnsi="Arial" w:cs="Arial"/>
          <w:color w:val="auto"/>
          <w:sz w:val="20"/>
          <w:szCs w:val="20"/>
        </w:rPr>
        <w:t>mix of sediment, debris, s</w:t>
      </w:r>
      <w:r w:rsidR="5F0F2B41" w:rsidRPr="00306F4D">
        <w:rPr>
          <w:rFonts w:ascii="Arial" w:eastAsia="Arial" w:hAnsi="Arial" w:cs="Arial"/>
          <w:color w:val="auto"/>
          <w:sz w:val="20"/>
          <w:szCs w:val="20"/>
        </w:rPr>
        <w:t>ewage</w:t>
      </w:r>
      <w:r w:rsidR="19650992" w:rsidRPr="00306F4D">
        <w:rPr>
          <w:rFonts w:ascii="Arial" w:eastAsia="Arial" w:hAnsi="Arial" w:cs="Arial"/>
          <w:color w:val="auto"/>
          <w:sz w:val="20"/>
          <w:szCs w:val="20"/>
        </w:rPr>
        <w:t>,</w:t>
      </w:r>
      <w:r w:rsidR="6B59B95C" w:rsidRPr="00306F4D">
        <w:rPr>
          <w:rFonts w:ascii="Arial" w:eastAsia="Arial" w:hAnsi="Arial" w:cs="Arial"/>
          <w:color w:val="auto"/>
          <w:sz w:val="20"/>
          <w:szCs w:val="20"/>
        </w:rPr>
        <w:t xml:space="preserve"> pollution</w:t>
      </w:r>
      <w:r w:rsidR="00D7067C" w:rsidRPr="00306F4D">
        <w:rPr>
          <w:rFonts w:ascii="Arial" w:eastAsia="Arial" w:hAnsi="Arial" w:cs="Arial"/>
          <w:color w:val="auto"/>
          <w:sz w:val="20"/>
          <w:szCs w:val="20"/>
          <w:vertAlign w:val="superscript"/>
        </w:rPr>
        <w:footnoteReference w:id="22"/>
      </w:r>
      <w:r w:rsidR="17D4BFDF" w:rsidRPr="00306F4D">
        <w:rPr>
          <w:rFonts w:ascii="Arial" w:eastAsia="Arial" w:hAnsi="Arial" w:cs="Arial"/>
          <w:color w:val="auto"/>
          <w:sz w:val="20"/>
          <w:szCs w:val="20"/>
        </w:rPr>
        <w:t xml:space="preserve"> </w:t>
      </w:r>
      <w:r w:rsidR="6D4EDE27" w:rsidRPr="00306F4D">
        <w:rPr>
          <w:rFonts w:ascii="Arial" w:eastAsia="Arial" w:hAnsi="Arial" w:cs="Arial"/>
          <w:color w:val="auto"/>
          <w:sz w:val="20"/>
          <w:szCs w:val="20"/>
        </w:rPr>
        <w:t xml:space="preserve">to </w:t>
      </w:r>
      <w:r w:rsidR="79D0D42D" w:rsidRPr="00306F4D">
        <w:rPr>
          <w:rFonts w:ascii="Arial" w:eastAsia="Arial" w:hAnsi="Arial" w:cs="Arial"/>
          <w:color w:val="auto"/>
          <w:sz w:val="20"/>
          <w:szCs w:val="20"/>
        </w:rPr>
        <w:t xml:space="preserve">adjacent residential, industrial and </w:t>
      </w:r>
      <w:r w:rsidR="19650992" w:rsidRPr="00306F4D">
        <w:rPr>
          <w:rFonts w:ascii="Arial" w:eastAsia="Arial" w:hAnsi="Arial" w:cs="Arial"/>
          <w:color w:val="auto"/>
          <w:sz w:val="20"/>
          <w:szCs w:val="20"/>
        </w:rPr>
        <w:t>agricultural lands, including slurry</w:t>
      </w:r>
      <w:r w:rsidR="027B0F18" w:rsidRPr="00306F4D">
        <w:rPr>
          <w:rFonts w:ascii="Arial" w:eastAsia="Arial" w:hAnsi="Arial" w:cs="Arial"/>
          <w:color w:val="auto"/>
          <w:sz w:val="20"/>
          <w:szCs w:val="20"/>
        </w:rPr>
        <w:t xml:space="preserve">, hazardous </w:t>
      </w:r>
      <w:r w:rsidR="027B0F18" w:rsidRPr="00306F4D">
        <w:rPr>
          <w:rFonts w:ascii="Arial" w:eastAsia="Arial" w:hAnsi="Arial" w:cs="Arial"/>
          <w:color w:val="auto"/>
          <w:sz w:val="20"/>
          <w:szCs w:val="20"/>
        </w:rPr>
        <w:lastRenderedPageBreak/>
        <w:t>waste</w:t>
      </w:r>
      <w:r w:rsidR="19650992" w:rsidRPr="00306F4D">
        <w:rPr>
          <w:rFonts w:ascii="Arial" w:eastAsia="Arial" w:hAnsi="Arial" w:cs="Arial"/>
          <w:color w:val="auto"/>
          <w:sz w:val="20"/>
          <w:szCs w:val="20"/>
        </w:rPr>
        <w:t xml:space="preserve"> and pesticides, </w:t>
      </w:r>
      <w:r w:rsidR="00D7067C" w:rsidRPr="00306F4D">
        <w:rPr>
          <w:rFonts w:ascii="Arial" w:eastAsia="Arial" w:hAnsi="Arial" w:cs="Arial"/>
          <w:color w:val="auto"/>
          <w:sz w:val="20"/>
          <w:szCs w:val="20"/>
          <w:vertAlign w:val="superscript"/>
        </w:rPr>
        <w:footnoteReference w:id="23"/>
      </w:r>
      <w:r w:rsidR="5C953776" w:rsidRPr="00306F4D">
        <w:rPr>
          <w:rFonts w:ascii="Arial" w:eastAsia="Arial" w:hAnsi="Arial" w:cs="Arial"/>
          <w:color w:val="auto"/>
          <w:sz w:val="20"/>
          <w:szCs w:val="20"/>
        </w:rPr>
        <w:t xml:space="preserve"> </w:t>
      </w:r>
      <w:r w:rsidR="19650992" w:rsidRPr="00306F4D">
        <w:rPr>
          <w:rFonts w:ascii="Arial" w:eastAsia="Arial" w:hAnsi="Arial" w:cs="Arial"/>
          <w:color w:val="auto"/>
          <w:sz w:val="20"/>
          <w:szCs w:val="20"/>
        </w:rPr>
        <w:t>contaminat</w:t>
      </w:r>
      <w:r w:rsidR="2BFA636B" w:rsidRPr="00306F4D">
        <w:rPr>
          <w:rFonts w:ascii="Arial" w:eastAsia="Arial" w:hAnsi="Arial" w:cs="Arial"/>
          <w:color w:val="auto"/>
          <w:sz w:val="20"/>
          <w:szCs w:val="20"/>
        </w:rPr>
        <w:t>e</w:t>
      </w:r>
      <w:r w:rsidR="19650992" w:rsidRPr="00306F4D" w:rsidDel="001C0481">
        <w:rPr>
          <w:rFonts w:ascii="Arial" w:eastAsia="Arial" w:hAnsi="Arial" w:cs="Arial"/>
          <w:color w:val="auto"/>
          <w:sz w:val="20"/>
          <w:szCs w:val="20"/>
        </w:rPr>
        <w:t xml:space="preserve"> waterways</w:t>
      </w:r>
      <w:r w:rsidR="70A931A9" w:rsidRPr="00306F4D">
        <w:rPr>
          <w:rFonts w:ascii="Arial" w:eastAsia="Arial" w:hAnsi="Arial" w:cs="Arial"/>
          <w:color w:val="auto"/>
          <w:sz w:val="20"/>
          <w:szCs w:val="20"/>
        </w:rPr>
        <w:t>, fields and homes</w:t>
      </w:r>
      <w:r w:rsidR="5326199C" w:rsidRPr="00306F4D">
        <w:rPr>
          <w:rFonts w:ascii="Arial" w:eastAsia="Arial" w:hAnsi="Arial" w:cs="Arial"/>
          <w:color w:val="auto"/>
          <w:sz w:val="20"/>
          <w:szCs w:val="20"/>
        </w:rPr>
        <w:t xml:space="preserve"> for years to come</w:t>
      </w:r>
      <w:r w:rsidR="6A104AE2" w:rsidRPr="00306F4D" w:rsidDel="00FF268F">
        <w:rPr>
          <w:rFonts w:ascii="Arial" w:eastAsia="Arial" w:hAnsi="Arial" w:cs="Arial"/>
          <w:color w:val="auto"/>
          <w:sz w:val="20"/>
          <w:szCs w:val="20"/>
        </w:rPr>
        <w:t xml:space="preserve"> in climate-induced catastrophic flooding events</w:t>
      </w:r>
      <w:r w:rsidR="005E5587" w:rsidRPr="00306F4D">
        <w:rPr>
          <w:rFonts w:ascii="Arial" w:eastAsia="Arial" w:hAnsi="Arial" w:cs="Arial"/>
          <w:color w:val="auto"/>
          <w:sz w:val="20"/>
          <w:szCs w:val="20"/>
          <w:vertAlign w:val="superscript"/>
        </w:rPr>
        <w:footnoteReference w:id="24"/>
      </w:r>
      <w:r w:rsidR="676869B9" w:rsidRPr="00306F4D">
        <w:rPr>
          <w:rFonts w:ascii="Arial" w:eastAsia="Arial" w:hAnsi="Arial" w:cs="Arial"/>
          <w:color w:val="auto"/>
          <w:sz w:val="20"/>
          <w:szCs w:val="20"/>
        </w:rPr>
        <w:t>.</w:t>
      </w:r>
      <w:r w:rsidR="19650992" w:rsidRPr="00306F4D">
        <w:rPr>
          <w:rFonts w:ascii="Arial" w:eastAsia="Arial" w:hAnsi="Arial" w:cs="Arial"/>
          <w:color w:val="auto"/>
          <w:sz w:val="20"/>
          <w:szCs w:val="20"/>
        </w:rPr>
        <w:t xml:space="preserve"> This endangers the </w:t>
      </w:r>
      <w:proofErr w:type="gramStart"/>
      <w:r w:rsidR="19650992" w:rsidRPr="00306F4D">
        <w:rPr>
          <w:rFonts w:ascii="Arial" w:eastAsia="Arial" w:hAnsi="Arial" w:cs="Arial"/>
          <w:color w:val="auto"/>
          <w:sz w:val="20"/>
          <w:szCs w:val="20"/>
        </w:rPr>
        <w:t>environment</w:t>
      </w:r>
      <w:r w:rsidR="0F50DC66" w:rsidRPr="00306F4D">
        <w:rPr>
          <w:rFonts w:ascii="Arial" w:eastAsia="Arial" w:hAnsi="Arial" w:cs="Arial"/>
          <w:color w:val="auto"/>
          <w:sz w:val="20"/>
          <w:szCs w:val="20"/>
        </w:rPr>
        <w:t xml:space="preserve">, </w:t>
      </w:r>
      <w:r w:rsidR="4CA6B3D4" w:rsidRPr="00306F4D">
        <w:rPr>
          <w:rFonts w:ascii="Arial" w:eastAsia="Arial" w:hAnsi="Arial" w:cs="Arial"/>
          <w:color w:val="auto"/>
          <w:sz w:val="20"/>
          <w:szCs w:val="20"/>
        </w:rPr>
        <w:t xml:space="preserve"> communities</w:t>
      </w:r>
      <w:proofErr w:type="gramEnd"/>
      <w:r w:rsidR="3C52986A" w:rsidRPr="00306F4D">
        <w:rPr>
          <w:rFonts w:ascii="Arial" w:eastAsia="Arial" w:hAnsi="Arial" w:cs="Arial"/>
          <w:color w:val="auto"/>
          <w:sz w:val="20"/>
          <w:szCs w:val="20"/>
        </w:rPr>
        <w:t xml:space="preserve"> </w:t>
      </w:r>
      <w:r w:rsidR="00462112" w:rsidRPr="00306F4D">
        <w:rPr>
          <w:rFonts w:ascii="Arial" w:eastAsia="Arial" w:hAnsi="Arial" w:cs="Arial"/>
          <w:color w:val="auto"/>
          <w:sz w:val="20"/>
          <w:szCs w:val="20"/>
        </w:rPr>
        <w:t xml:space="preserve">and </w:t>
      </w:r>
      <w:r w:rsidR="0F50DC66" w:rsidRPr="00306F4D">
        <w:rPr>
          <w:rFonts w:ascii="Arial" w:eastAsia="Arial" w:hAnsi="Arial" w:cs="Arial"/>
          <w:color w:val="auto"/>
          <w:sz w:val="20"/>
          <w:szCs w:val="20"/>
        </w:rPr>
        <w:t>agricultural land</w:t>
      </w:r>
      <w:r w:rsidR="06F537C1" w:rsidRPr="00306F4D">
        <w:rPr>
          <w:rFonts w:ascii="Arial" w:eastAsia="Arial" w:hAnsi="Arial" w:cs="Arial"/>
          <w:color w:val="auto"/>
          <w:sz w:val="20"/>
          <w:szCs w:val="20"/>
        </w:rPr>
        <w:t xml:space="preserve"> throughout the </w:t>
      </w:r>
      <w:r w:rsidR="17BE1A68" w:rsidRPr="00306F4D">
        <w:rPr>
          <w:rFonts w:ascii="Arial" w:eastAsia="Arial" w:hAnsi="Arial" w:cs="Arial"/>
          <w:color w:val="auto"/>
          <w:sz w:val="20"/>
          <w:szCs w:val="20"/>
        </w:rPr>
        <w:t>flood-</w:t>
      </w:r>
      <w:r w:rsidR="06F537C1" w:rsidRPr="00306F4D">
        <w:rPr>
          <w:rFonts w:ascii="Arial" w:eastAsia="Arial" w:hAnsi="Arial" w:cs="Arial"/>
          <w:color w:val="auto"/>
          <w:sz w:val="20"/>
          <w:szCs w:val="20"/>
        </w:rPr>
        <w:t>affected areas of the basin</w:t>
      </w:r>
      <w:r w:rsidR="5F27043D" w:rsidRPr="00306F4D">
        <w:rPr>
          <w:rFonts w:ascii="Arial" w:eastAsia="Arial" w:hAnsi="Arial" w:cs="Arial"/>
          <w:color w:val="auto"/>
          <w:sz w:val="20"/>
          <w:szCs w:val="20"/>
        </w:rPr>
        <w:t xml:space="preserve"> and requires a coordinated local and region-wide transboundary management plan and response</w:t>
      </w:r>
      <w:r w:rsidR="511BC355" w:rsidRPr="00306F4D">
        <w:rPr>
          <w:rFonts w:ascii="Arial" w:eastAsia="Arial" w:hAnsi="Arial" w:cs="Arial"/>
          <w:color w:val="auto"/>
          <w:sz w:val="20"/>
          <w:szCs w:val="20"/>
        </w:rPr>
        <w:t>,</w:t>
      </w:r>
      <w:r w:rsidR="0D864693" w:rsidRPr="00306F4D">
        <w:rPr>
          <w:rFonts w:ascii="Arial" w:eastAsia="Arial" w:hAnsi="Arial" w:cs="Arial"/>
          <w:color w:val="auto"/>
          <w:sz w:val="20"/>
          <w:szCs w:val="20"/>
        </w:rPr>
        <w:t xml:space="preserve"> </w:t>
      </w:r>
      <w:r w:rsidR="001860A3" w:rsidRPr="00306F4D">
        <w:rPr>
          <w:rFonts w:ascii="Arial" w:eastAsia="Arial" w:hAnsi="Arial" w:cs="Arial"/>
          <w:color w:val="auto"/>
          <w:sz w:val="20"/>
          <w:szCs w:val="20"/>
          <w:vertAlign w:val="superscript"/>
        </w:rPr>
        <w:footnoteReference w:id="25"/>
      </w:r>
      <w:r w:rsidR="0D864693" w:rsidRPr="00306F4D">
        <w:rPr>
          <w:rFonts w:ascii="Arial" w:eastAsia="Arial" w:hAnsi="Arial" w:cs="Arial"/>
          <w:color w:val="auto"/>
          <w:sz w:val="20"/>
          <w:szCs w:val="20"/>
        </w:rPr>
        <w:t xml:space="preserve"> </w:t>
      </w:r>
      <w:r w:rsidR="00181FD7" w:rsidRPr="00306F4D">
        <w:rPr>
          <w:rFonts w:ascii="Arial" w:eastAsia="Arial" w:hAnsi="Arial" w:cs="Arial"/>
          <w:color w:val="auto"/>
          <w:sz w:val="20"/>
          <w:szCs w:val="20"/>
        </w:rPr>
        <w:t xml:space="preserve">of the sort </w:t>
      </w:r>
      <w:r w:rsidR="0D864693" w:rsidRPr="00306F4D">
        <w:rPr>
          <w:rFonts w:ascii="Arial" w:eastAsia="Arial" w:hAnsi="Arial" w:cs="Arial"/>
          <w:color w:val="auto"/>
          <w:sz w:val="20"/>
          <w:szCs w:val="20"/>
        </w:rPr>
        <w:t>the Regional Project intends to catalyze and support</w:t>
      </w:r>
      <w:r w:rsidR="19650992" w:rsidRPr="00306F4D">
        <w:rPr>
          <w:rFonts w:ascii="Arial" w:eastAsia="Arial" w:hAnsi="Arial" w:cs="Arial"/>
          <w:color w:val="auto"/>
          <w:sz w:val="20"/>
          <w:szCs w:val="20"/>
        </w:rPr>
        <w:t>.</w:t>
      </w:r>
      <w:r w:rsidR="13668B45" w:rsidRPr="00306F4D">
        <w:rPr>
          <w:rFonts w:ascii="Arial" w:eastAsia="Arial" w:hAnsi="Arial" w:cs="Arial"/>
          <w:color w:val="auto"/>
          <w:sz w:val="20"/>
          <w:szCs w:val="20"/>
        </w:rPr>
        <w:t xml:space="preserve"> </w:t>
      </w:r>
    </w:p>
    <w:p w14:paraId="73327CCA" w14:textId="6A1EFB2C" w:rsidR="00184129" w:rsidRPr="00306F4D" w:rsidRDefault="6AB2BE32" w:rsidP="674B01CE">
      <w:pPr>
        <w:tabs>
          <w:tab w:val="left" w:pos="360"/>
        </w:tabs>
        <w:autoSpaceDE w:val="0"/>
        <w:autoSpaceDN w:val="0"/>
        <w:adjustRightInd w:val="0"/>
        <w:spacing w:before="120" w:after="240" w:line="276" w:lineRule="auto"/>
        <w:jc w:val="both"/>
        <w:rPr>
          <w:rFonts w:ascii="Arial" w:eastAsia="Arial" w:hAnsi="Arial" w:cs="Arial"/>
          <w:color w:val="auto"/>
          <w:sz w:val="20"/>
          <w:szCs w:val="20"/>
          <w:vertAlign w:val="superscript"/>
        </w:rPr>
      </w:pPr>
      <w:r w:rsidRPr="00306F4D">
        <w:rPr>
          <w:rFonts w:ascii="Arial" w:eastAsia="Arial" w:hAnsi="Arial" w:cs="Arial"/>
          <w:sz w:val="20"/>
          <w:szCs w:val="20"/>
        </w:rPr>
        <w:t>The agriculturally rich Pannonian Plain (Carpathian Basin), a large sedimentary basin in the lowlands of the Carpathian Mountains and enriched by the Danube River, invigorates agricultural productivity in northern Serbia. Otherwise, the Western Balkans region is a net food importer,</w:t>
      </w:r>
      <w:r w:rsidR="00184129" w:rsidRPr="00306F4D">
        <w:rPr>
          <w:rFonts w:ascii="Arial" w:eastAsia="Arial" w:hAnsi="Arial" w:cs="Arial"/>
          <w:sz w:val="20"/>
          <w:szCs w:val="20"/>
          <w:vertAlign w:val="superscript"/>
        </w:rPr>
        <w:footnoteReference w:id="26"/>
      </w:r>
      <w:r w:rsidRPr="00306F4D">
        <w:rPr>
          <w:rFonts w:ascii="Arial" w:eastAsia="Arial" w:hAnsi="Arial" w:cs="Arial"/>
          <w:sz w:val="20"/>
          <w:szCs w:val="20"/>
        </w:rPr>
        <w:t xml:space="preserve"> at risk of climate-induced food insecurity, and a mountainous, vulnerable, and challenged region for livelihood resilience, food security and climate change.</w:t>
      </w:r>
      <w:r w:rsidRPr="00306F4D">
        <w:rPr>
          <w:rFonts w:ascii="Arial" w:eastAsia="Arial" w:hAnsi="Arial" w:cs="Arial"/>
          <w:color w:val="auto"/>
          <w:sz w:val="20"/>
          <w:szCs w:val="20"/>
        </w:rPr>
        <w:t xml:space="preserve"> On average, the region’s total household expenditure on food is high, for example, which particularly burdens the poor, marginalized, and climate-vulnerable populations who are a priority of the Regional Project, and more than double that of the EU: 44% in North Macedonia, 32% in Montenegro, and 28% in Serbia,</w:t>
      </w:r>
      <w:r w:rsidR="00184129" w:rsidRPr="00306F4D">
        <w:rPr>
          <w:rFonts w:ascii="Arial" w:eastAsia="Arial" w:hAnsi="Arial" w:cs="Arial"/>
          <w:color w:val="auto"/>
          <w:sz w:val="20"/>
          <w:szCs w:val="20"/>
          <w:vertAlign w:val="superscript"/>
        </w:rPr>
        <w:footnoteReference w:id="27"/>
      </w:r>
      <w:r w:rsidRPr="00306F4D">
        <w:rPr>
          <w:rFonts w:ascii="Arial" w:eastAsia="Arial" w:hAnsi="Arial" w:cs="Arial"/>
          <w:color w:val="auto"/>
          <w:sz w:val="20"/>
          <w:szCs w:val="20"/>
        </w:rPr>
        <w:t xml:space="preserve"> compared to 13% in the EU.</w:t>
      </w:r>
      <w:r w:rsidR="00184129" w:rsidRPr="00306F4D">
        <w:rPr>
          <w:rFonts w:ascii="Arial" w:eastAsia="Arial" w:hAnsi="Arial" w:cs="Arial"/>
          <w:color w:val="auto"/>
          <w:sz w:val="20"/>
          <w:szCs w:val="20"/>
          <w:vertAlign w:val="superscript"/>
        </w:rPr>
        <w:footnoteReference w:id="28"/>
      </w:r>
      <w:r w:rsidRPr="00306F4D">
        <w:rPr>
          <w:rFonts w:ascii="Arial" w:eastAsia="Arial" w:hAnsi="Arial" w:cs="Arial"/>
          <w:color w:val="auto"/>
          <w:sz w:val="20"/>
          <w:szCs w:val="20"/>
        </w:rPr>
        <w:t xml:space="preserve"> Moreover, all of the Regional Project’s four partner countries are dependent on the import of agricultural inputs, notably energy</w:t>
      </w:r>
      <w:r w:rsidR="00184129" w:rsidRPr="00306F4D">
        <w:rPr>
          <w:rFonts w:ascii="Arial" w:eastAsia="Arial" w:hAnsi="Arial" w:cs="Arial"/>
          <w:color w:val="auto"/>
          <w:sz w:val="20"/>
          <w:szCs w:val="20"/>
          <w:vertAlign w:val="superscript"/>
        </w:rPr>
        <w:footnoteReference w:id="29"/>
      </w:r>
      <w:r w:rsidRPr="00306F4D">
        <w:rPr>
          <w:rFonts w:ascii="Arial" w:eastAsia="Arial" w:hAnsi="Arial" w:cs="Arial"/>
          <w:color w:val="auto"/>
          <w:sz w:val="20"/>
          <w:szCs w:val="20"/>
        </w:rPr>
        <w:t xml:space="preserve"> and fertilizer,</w:t>
      </w:r>
      <w:r w:rsidR="00184129" w:rsidRPr="00306F4D">
        <w:rPr>
          <w:rFonts w:ascii="Arial" w:eastAsia="Arial" w:hAnsi="Arial" w:cs="Arial"/>
          <w:color w:val="auto"/>
          <w:sz w:val="20"/>
          <w:szCs w:val="20"/>
          <w:vertAlign w:val="superscript"/>
        </w:rPr>
        <w:footnoteReference w:id="30"/>
      </w:r>
      <w:r w:rsidRPr="00306F4D">
        <w:rPr>
          <w:rFonts w:ascii="Arial" w:eastAsia="Arial" w:hAnsi="Arial" w:cs="Arial"/>
          <w:color w:val="auto"/>
          <w:sz w:val="20"/>
          <w:szCs w:val="20"/>
        </w:rPr>
        <w:t xml:space="preserve"> and therefore vulnerable to climate-induced and other disruptions of global trade in key commodities. Global supply shocks in commodities, such as fertilizer, are already having severe consequences on the Western Balkan’s food system, food security and livelihoods.</w:t>
      </w:r>
      <w:r w:rsidR="00184129" w:rsidRPr="00306F4D">
        <w:rPr>
          <w:rFonts w:ascii="Arial" w:eastAsia="Arial" w:hAnsi="Arial" w:cs="Arial"/>
          <w:color w:val="auto"/>
          <w:sz w:val="20"/>
          <w:szCs w:val="20"/>
          <w:vertAlign w:val="superscript"/>
        </w:rPr>
        <w:footnoteReference w:id="31"/>
      </w:r>
    </w:p>
    <w:p w14:paraId="772AD8F8" w14:textId="22F8C76C" w:rsidR="00D7067C" w:rsidRPr="00306F4D" w:rsidRDefault="43A82DD0" w:rsidP="338C5E83">
      <w:pPr>
        <w:tabs>
          <w:tab w:val="left" w:pos="360"/>
        </w:tabs>
        <w:spacing w:before="120" w:after="240" w:line="276" w:lineRule="auto"/>
        <w:jc w:val="both"/>
        <w:rPr>
          <w:rFonts w:ascii="Arial" w:eastAsia="Arial" w:hAnsi="Arial" w:cs="Arial"/>
          <w:sz w:val="20"/>
          <w:szCs w:val="20"/>
        </w:rPr>
      </w:pPr>
      <w:r w:rsidRPr="00306F4D">
        <w:rPr>
          <w:rFonts w:ascii="Arial" w:eastAsia="Arial" w:hAnsi="Arial" w:cs="Arial"/>
          <w:sz w:val="20"/>
          <w:szCs w:val="20"/>
        </w:rPr>
        <w:t xml:space="preserve">Today, the countries of the Western Balkans are at a climate-change adaptation turning point in the development of their economies, societies and environment. </w:t>
      </w:r>
      <w:r w:rsidR="1BF54414" w:rsidRPr="00306F4D">
        <w:rPr>
          <w:rFonts w:ascii="Arial" w:eastAsia="Arial" w:hAnsi="Arial" w:cs="Arial"/>
          <w:sz w:val="20"/>
          <w:szCs w:val="20"/>
        </w:rPr>
        <w:t>A few</w:t>
      </w:r>
      <w:r w:rsidRPr="00306F4D">
        <w:rPr>
          <w:rFonts w:ascii="Arial" w:eastAsia="Arial" w:hAnsi="Arial" w:cs="Arial"/>
          <w:sz w:val="20"/>
          <w:szCs w:val="20"/>
        </w:rPr>
        <w:t xml:space="preserve"> social, economic and other drivers will shape the region’s future. Integration with the European Union and EU accession</w:t>
      </w:r>
      <w:r w:rsidR="5D58AF7C" w:rsidRPr="00306F4D">
        <w:rPr>
          <w:rFonts w:ascii="Arial" w:eastAsia="Arial" w:hAnsi="Arial" w:cs="Arial"/>
          <w:sz w:val="20"/>
          <w:szCs w:val="20"/>
          <w:vertAlign w:val="superscript"/>
        </w:rPr>
        <w:footnoteReference w:id="32"/>
      </w:r>
      <w:r w:rsidRPr="00306F4D">
        <w:rPr>
          <w:rFonts w:ascii="Arial" w:eastAsia="Arial" w:hAnsi="Arial" w:cs="Arial"/>
          <w:sz w:val="20"/>
          <w:szCs w:val="20"/>
        </w:rPr>
        <w:t xml:space="preserve"> are the principal objectives for countries in the region, in the hope that </w:t>
      </w:r>
      <w:r w:rsidR="3D63F309" w:rsidRPr="00306F4D">
        <w:rPr>
          <w:rFonts w:ascii="Arial" w:eastAsia="Arial" w:hAnsi="Arial" w:cs="Arial"/>
          <w:sz w:val="20"/>
          <w:szCs w:val="20"/>
        </w:rPr>
        <w:t>it</w:t>
      </w:r>
      <w:r w:rsidRPr="00306F4D">
        <w:rPr>
          <w:rFonts w:ascii="Arial" w:eastAsia="Arial" w:hAnsi="Arial" w:cs="Arial"/>
          <w:sz w:val="20"/>
          <w:szCs w:val="20"/>
        </w:rPr>
        <w:t xml:space="preserve"> will bring security, stability and prosperity to the </w:t>
      </w:r>
      <w:r w:rsidR="7942BC61" w:rsidRPr="00306F4D">
        <w:rPr>
          <w:rFonts w:ascii="Arial" w:eastAsia="Arial" w:hAnsi="Arial" w:cs="Arial"/>
          <w:sz w:val="20"/>
          <w:szCs w:val="20"/>
        </w:rPr>
        <w:t>people</w:t>
      </w:r>
      <w:r w:rsidRPr="00306F4D">
        <w:rPr>
          <w:rFonts w:ascii="Arial" w:eastAsia="Arial" w:hAnsi="Arial" w:cs="Arial"/>
          <w:sz w:val="20"/>
          <w:szCs w:val="20"/>
        </w:rPr>
        <w:t xml:space="preserve"> of the region. Closer integration with the EU will strongly influence environmental</w:t>
      </w:r>
      <w:r w:rsidR="2FDB42FE" w:rsidRPr="00306F4D">
        <w:rPr>
          <w:rFonts w:ascii="Arial" w:eastAsia="Arial" w:hAnsi="Arial" w:cs="Arial"/>
          <w:sz w:val="20"/>
          <w:szCs w:val="20"/>
        </w:rPr>
        <w:t xml:space="preserve">, </w:t>
      </w:r>
      <w:r w:rsidRPr="00306F4D">
        <w:rPr>
          <w:rFonts w:ascii="Arial" w:eastAsia="Arial" w:hAnsi="Arial" w:cs="Arial"/>
          <w:sz w:val="20"/>
          <w:szCs w:val="20"/>
        </w:rPr>
        <w:t xml:space="preserve">climate </w:t>
      </w:r>
      <w:r w:rsidR="0CFAC5C6" w:rsidRPr="00306F4D">
        <w:rPr>
          <w:rFonts w:ascii="Arial" w:eastAsia="Arial" w:hAnsi="Arial" w:cs="Arial"/>
          <w:sz w:val="20"/>
          <w:szCs w:val="20"/>
        </w:rPr>
        <w:t xml:space="preserve">and adaptation </w:t>
      </w:r>
      <w:r w:rsidRPr="00306F4D">
        <w:rPr>
          <w:rFonts w:ascii="Arial" w:eastAsia="Arial" w:hAnsi="Arial" w:cs="Arial"/>
          <w:sz w:val="20"/>
          <w:szCs w:val="20"/>
        </w:rPr>
        <w:t xml:space="preserve">policies, laws and actions in the coming decades. The </w:t>
      </w:r>
      <w:r w:rsidR="5E179658" w:rsidRPr="00306F4D">
        <w:rPr>
          <w:rFonts w:ascii="Arial" w:eastAsia="Arial" w:hAnsi="Arial" w:cs="Arial"/>
          <w:sz w:val="20"/>
          <w:szCs w:val="20"/>
        </w:rPr>
        <w:t>Wester</w:t>
      </w:r>
      <w:r w:rsidR="177A3B0B" w:rsidRPr="00306F4D">
        <w:rPr>
          <w:rFonts w:ascii="Arial" w:eastAsia="Arial" w:hAnsi="Arial" w:cs="Arial"/>
          <w:sz w:val="20"/>
          <w:szCs w:val="20"/>
        </w:rPr>
        <w:t>n</w:t>
      </w:r>
      <w:r w:rsidR="5E179658" w:rsidRPr="00306F4D">
        <w:rPr>
          <w:rFonts w:ascii="Arial" w:eastAsia="Arial" w:hAnsi="Arial" w:cs="Arial"/>
          <w:sz w:val="20"/>
          <w:szCs w:val="20"/>
        </w:rPr>
        <w:t xml:space="preserve"> Balkans</w:t>
      </w:r>
      <w:r w:rsidRPr="00306F4D">
        <w:rPr>
          <w:rFonts w:ascii="Arial" w:eastAsia="Arial" w:hAnsi="Arial" w:cs="Arial"/>
          <w:sz w:val="20"/>
          <w:szCs w:val="20"/>
        </w:rPr>
        <w:t xml:space="preserve"> region as a whole </w:t>
      </w:r>
      <w:proofErr w:type="gramStart"/>
      <w:r w:rsidRPr="00306F4D">
        <w:rPr>
          <w:rFonts w:ascii="Arial" w:eastAsia="Arial" w:hAnsi="Arial" w:cs="Arial"/>
          <w:sz w:val="20"/>
          <w:szCs w:val="20"/>
        </w:rPr>
        <w:t>faces</w:t>
      </w:r>
      <w:proofErr w:type="gramEnd"/>
      <w:r w:rsidRPr="00306F4D">
        <w:rPr>
          <w:rFonts w:ascii="Arial" w:eastAsia="Arial" w:hAnsi="Arial" w:cs="Arial"/>
          <w:sz w:val="20"/>
          <w:szCs w:val="20"/>
        </w:rPr>
        <w:t xml:space="preserve"> similar environmental problems, which need to be tackled both locally and within the countries themselves and across borders. Legacy issues related to war, former industrial and mining sites, illegal dumping of waste, and the extraction of minerals exacerbates the adaptation challenge. </w:t>
      </w:r>
      <w:r w:rsidRPr="00306F4D">
        <w:rPr>
          <w:rFonts w:ascii="Arial" w:eastAsia="Arial" w:hAnsi="Arial" w:cs="Arial"/>
          <w:sz w:val="20"/>
          <w:szCs w:val="20"/>
        </w:rPr>
        <w:lastRenderedPageBreak/>
        <w:t>Improving air quality, the protection and use of rivers and lakes, the conservation of biodiversity and the sustainable management of land, forest and water resources are all pressing priorities and shape the adaptation challenge.</w:t>
      </w:r>
      <w:r w:rsidR="7DA175C6" w:rsidRPr="00306F4D">
        <w:rPr>
          <w:rFonts w:asciiTheme="minorHAnsi" w:eastAsiaTheme="minorEastAsia" w:hAnsiTheme="minorHAnsi" w:cstheme="minorBidi"/>
          <w:color w:val="000000" w:themeColor="text1"/>
          <w:sz w:val="20"/>
          <w:szCs w:val="20"/>
          <w:vertAlign w:val="superscript"/>
        </w:rPr>
        <w:footnoteReference w:id="33"/>
      </w:r>
    </w:p>
    <w:p w14:paraId="5A68FED1" w14:textId="2BF143D9" w:rsidR="00544904" w:rsidRPr="00306F4D" w:rsidRDefault="52DA0754" w:rsidP="02E2BB75">
      <w:pPr>
        <w:pStyle w:val="Heading2"/>
        <w:rPr>
          <w:rFonts w:ascii="Arial" w:eastAsia="Arial" w:hAnsi="Arial" w:cs="Arial"/>
          <w:b/>
          <w:bCs/>
          <w:sz w:val="20"/>
          <w:szCs w:val="20"/>
          <w:lang w:val="en-GB"/>
        </w:rPr>
      </w:pPr>
      <w:r w:rsidRPr="00306F4D">
        <w:rPr>
          <w:rFonts w:ascii="Arial" w:eastAsia="Arial" w:hAnsi="Arial" w:cs="Arial"/>
          <w:sz w:val="20"/>
          <w:szCs w:val="20"/>
        </w:rPr>
        <w:t xml:space="preserve">Climate change exacerbates </w:t>
      </w:r>
      <w:r w:rsidR="5AB3EE6E" w:rsidRPr="00306F4D">
        <w:rPr>
          <w:rFonts w:ascii="Arial" w:eastAsia="Arial" w:hAnsi="Arial" w:cs="Arial"/>
          <w:sz w:val="20"/>
          <w:szCs w:val="20"/>
        </w:rPr>
        <w:t>these</w:t>
      </w:r>
      <w:r w:rsidRPr="00306F4D">
        <w:rPr>
          <w:rFonts w:ascii="Arial" w:eastAsia="Arial" w:hAnsi="Arial" w:cs="Arial"/>
          <w:sz w:val="20"/>
          <w:szCs w:val="20"/>
        </w:rPr>
        <w:t xml:space="preserve"> challenges and amplifies the risks to ecosystems, </w:t>
      </w:r>
      <w:bookmarkStart w:id="12" w:name="_Int_TMpn5bDv"/>
      <w:r w:rsidR="5A148F94" w:rsidRPr="00306F4D">
        <w:rPr>
          <w:rFonts w:ascii="Arial" w:eastAsia="Arial" w:hAnsi="Arial" w:cs="Arial"/>
          <w:sz w:val="20"/>
          <w:szCs w:val="20"/>
        </w:rPr>
        <w:t>livelihoods</w:t>
      </w:r>
      <w:bookmarkEnd w:id="12"/>
      <w:r w:rsidRPr="00306F4D">
        <w:rPr>
          <w:rFonts w:ascii="Arial" w:eastAsia="Arial" w:hAnsi="Arial" w:cs="Arial"/>
          <w:sz w:val="20"/>
          <w:szCs w:val="20"/>
        </w:rPr>
        <w:t xml:space="preserve"> and society.</w:t>
      </w:r>
      <w:r w:rsidR="00D7067C" w:rsidRPr="00306F4D">
        <w:rPr>
          <w:rFonts w:ascii="Arial" w:eastAsia="Arial" w:hAnsi="Arial" w:cs="Arial"/>
          <w:sz w:val="20"/>
          <w:szCs w:val="20"/>
          <w:vertAlign w:val="superscript"/>
        </w:rPr>
        <w:footnoteReference w:id="34"/>
      </w:r>
      <w:bookmarkStart w:id="13" w:name="_Toc202893728"/>
      <w:r w:rsidR="1C69A19E" w:rsidRPr="00306F4D">
        <w:rPr>
          <w:rFonts w:ascii="Arial" w:eastAsia="Arial" w:hAnsi="Arial" w:cs="Arial"/>
          <w:b/>
          <w:bCs/>
          <w:sz w:val="20"/>
          <w:szCs w:val="20"/>
          <w:lang w:val="en-GB"/>
        </w:rPr>
        <w:t>Climate Risk and Climate Change Vulnerabilities in the Western Balkans Region</w:t>
      </w:r>
      <w:bookmarkEnd w:id="13"/>
    </w:p>
    <w:p w14:paraId="600256FD" w14:textId="67E22596" w:rsidR="02E2BB75" w:rsidRPr="00306F4D" w:rsidRDefault="42E2B15D" w:rsidP="338C5E83">
      <w:pPr>
        <w:tabs>
          <w:tab w:val="left" w:pos="360"/>
        </w:tabs>
        <w:spacing w:before="120" w:after="240" w:line="276" w:lineRule="auto"/>
        <w:jc w:val="both"/>
        <w:rPr>
          <w:rFonts w:ascii="Arial" w:eastAsia="Arial" w:hAnsi="Arial" w:cs="Arial"/>
          <w:sz w:val="20"/>
          <w:szCs w:val="20"/>
          <w:lang w:val="en-GB"/>
        </w:rPr>
      </w:pPr>
      <w:r w:rsidRPr="00306F4D">
        <w:rPr>
          <w:rFonts w:ascii="Arial" w:eastAsia="Arial" w:hAnsi="Arial" w:cs="Arial"/>
          <w:sz w:val="20"/>
          <w:szCs w:val="20"/>
        </w:rPr>
        <w:t>The Western Balkans region experiences a variety of climates due to its diverse, mountainous and riverine geography, including Mediterranean, continental, and alpine influences</w:t>
      </w:r>
      <w:r w:rsidR="0518682C" w:rsidRPr="00306F4D">
        <w:rPr>
          <w:rFonts w:ascii="Arial" w:eastAsia="Arial" w:hAnsi="Arial" w:cs="Arial"/>
          <w:sz w:val="20"/>
          <w:szCs w:val="20"/>
        </w:rPr>
        <w:t xml:space="preserve"> </w:t>
      </w:r>
      <w:r w:rsidR="0518682C" w:rsidRPr="00306F4D">
        <w:rPr>
          <w:rFonts w:ascii="Arial" w:eastAsia="Arial" w:hAnsi="Arial" w:cs="Arial"/>
          <w:b/>
          <w:bCs/>
          <w:sz w:val="20"/>
          <w:szCs w:val="20"/>
        </w:rPr>
        <w:t>(Figure 4)</w:t>
      </w:r>
      <w:r w:rsidRPr="00306F4D">
        <w:rPr>
          <w:rFonts w:ascii="Arial" w:eastAsia="Arial" w:hAnsi="Arial" w:cs="Arial"/>
          <w:sz w:val="20"/>
          <w:szCs w:val="20"/>
        </w:rPr>
        <w:t>. Northern and central areas have cold winters and warm summers with consistent rainfall. Coastal and southern areas, particularly along the Adriatic Sea, have a Mediterranean climate with hot, dry summers and mild, wet winters. Inland, the climate is generally continental, with cold winters, warm summers, and well-distributed rainfall. Alpine climates are found in higher mountain areas throughout the region. Climate change is already impacting</w:t>
      </w:r>
      <w:r w:rsidR="20588016" w:rsidRPr="00306F4D">
        <w:rPr>
          <w:rFonts w:ascii="Arial" w:eastAsia="Arial" w:hAnsi="Arial" w:cs="Arial"/>
          <w:sz w:val="20"/>
          <w:szCs w:val="20"/>
        </w:rPr>
        <w:t xml:space="preserve"> </w:t>
      </w:r>
      <w:r w:rsidR="2521F5B6" w:rsidRPr="00306F4D">
        <w:rPr>
          <w:rFonts w:ascii="Arial" w:eastAsia="Arial" w:hAnsi="Arial" w:cs="Arial"/>
          <w:sz w:val="20"/>
          <w:szCs w:val="20"/>
        </w:rPr>
        <w:t xml:space="preserve">all </w:t>
      </w:r>
      <w:r w:rsidR="207C374B" w:rsidRPr="00306F4D">
        <w:rPr>
          <w:rFonts w:ascii="Arial" w:eastAsia="Arial" w:hAnsi="Arial" w:cs="Arial"/>
          <w:sz w:val="20"/>
          <w:szCs w:val="20"/>
        </w:rPr>
        <w:t>four</w:t>
      </w:r>
      <w:r w:rsidR="5DA0AC27" w:rsidRPr="00306F4D">
        <w:rPr>
          <w:rFonts w:ascii="Arial" w:eastAsia="Arial" w:hAnsi="Arial" w:cs="Arial"/>
          <w:sz w:val="20"/>
          <w:szCs w:val="20"/>
        </w:rPr>
        <w:t xml:space="preserve"> partner</w:t>
      </w:r>
      <w:r w:rsidR="207C374B" w:rsidRPr="00306F4D">
        <w:rPr>
          <w:rFonts w:ascii="Arial" w:eastAsia="Arial" w:hAnsi="Arial" w:cs="Arial"/>
          <w:sz w:val="20"/>
          <w:szCs w:val="20"/>
        </w:rPr>
        <w:t xml:space="preserve"> countries</w:t>
      </w:r>
      <w:r w:rsidR="40962E52" w:rsidRPr="00306F4D">
        <w:rPr>
          <w:rFonts w:ascii="Arial" w:eastAsia="Arial" w:hAnsi="Arial" w:cs="Arial"/>
          <w:sz w:val="20"/>
          <w:szCs w:val="20"/>
        </w:rPr>
        <w:t xml:space="preserve"> of</w:t>
      </w:r>
      <w:r w:rsidRPr="00306F4D">
        <w:rPr>
          <w:rFonts w:ascii="Arial" w:eastAsia="Arial" w:hAnsi="Arial" w:cs="Arial"/>
          <w:sz w:val="20"/>
          <w:szCs w:val="20"/>
        </w:rPr>
        <w:t xml:space="preserve"> </w:t>
      </w:r>
      <w:r w:rsidR="06768B39" w:rsidRPr="00306F4D">
        <w:rPr>
          <w:rFonts w:ascii="Arial" w:eastAsia="Arial" w:hAnsi="Arial" w:cs="Arial"/>
          <w:sz w:val="20"/>
          <w:szCs w:val="20"/>
        </w:rPr>
        <w:t xml:space="preserve">the </w:t>
      </w:r>
      <w:r w:rsidR="40962E52" w:rsidRPr="00306F4D">
        <w:rPr>
          <w:rFonts w:ascii="Arial" w:eastAsia="Arial" w:hAnsi="Arial" w:cs="Arial"/>
          <w:sz w:val="20"/>
          <w:szCs w:val="20"/>
        </w:rPr>
        <w:t xml:space="preserve">Regional </w:t>
      </w:r>
      <w:proofErr w:type="gramStart"/>
      <w:r w:rsidR="40962E52" w:rsidRPr="00306F4D">
        <w:rPr>
          <w:rFonts w:ascii="Arial" w:eastAsia="Arial" w:hAnsi="Arial" w:cs="Arial"/>
          <w:sz w:val="20"/>
          <w:szCs w:val="20"/>
        </w:rPr>
        <w:t>Project,-</w:t>
      </w:r>
      <w:proofErr w:type="gramEnd"/>
      <w:r w:rsidRPr="00306F4D">
        <w:rPr>
          <w:rFonts w:ascii="Arial" w:eastAsia="Arial" w:hAnsi="Arial" w:cs="Arial"/>
          <w:sz w:val="20"/>
          <w:szCs w:val="20"/>
        </w:rPr>
        <w:t xml:space="preserve"> with increasing, more intense and unpredictable severity, generating more frequent and extreme weather events, including heatwaves, drought, and heavy rain</w:t>
      </w:r>
      <w:r w:rsidR="16448000" w:rsidRPr="00306F4D">
        <w:rPr>
          <w:rFonts w:ascii="Arial" w:eastAsia="Arial" w:hAnsi="Arial" w:cs="Arial"/>
          <w:sz w:val="20"/>
          <w:szCs w:val="20"/>
        </w:rPr>
        <w:t>, as described in the country summaries below</w:t>
      </w:r>
      <w:r w:rsidRPr="00306F4D">
        <w:rPr>
          <w:rFonts w:ascii="Arial" w:eastAsia="Arial" w:hAnsi="Arial" w:cs="Arial"/>
          <w:sz w:val="20"/>
          <w:szCs w:val="20"/>
        </w:rPr>
        <w:t>.</w:t>
      </w:r>
    </w:p>
    <w:p w14:paraId="19D30A89" w14:textId="77777777" w:rsidR="00192382" w:rsidRPr="00306F4D" w:rsidRDefault="00475991" w:rsidP="00192382">
      <w:pPr>
        <w:tabs>
          <w:tab w:val="left" w:pos="360"/>
        </w:tabs>
        <w:spacing w:before="120" w:after="0" w:line="240" w:lineRule="auto"/>
        <w:rPr>
          <w:rFonts w:ascii="Arial" w:eastAsia="Arial" w:hAnsi="Arial" w:cs="Arial"/>
          <w:b/>
          <w:bCs/>
          <w:color w:val="000000" w:themeColor="text1"/>
          <w:sz w:val="18"/>
          <w:szCs w:val="18"/>
        </w:rPr>
      </w:pPr>
      <w:r w:rsidRPr="00306F4D">
        <w:rPr>
          <w:noProof/>
        </w:rPr>
        <w:drawing>
          <wp:anchor distT="0" distB="0" distL="114300" distR="114300" simplePos="0" relativeHeight="251658240" behindDoc="0" locked="0" layoutInCell="1" allowOverlap="1" wp14:anchorId="62899ED5" wp14:editId="4929CD0B">
            <wp:simplePos x="0" y="0"/>
            <wp:positionH relativeFrom="margin">
              <wp:align>left</wp:align>
            </wp:positionH>
            <wp:positionV relativeFrom="paragraph">
              <wp:posOffset>8255</wp:posOffset>
            </wp:positionV>
            <wp:extent cx="3642360" cy="2580640"/>
            <wp:effectExtent l="0" t="0" r="0" b="0"/>
            <wp:wrapSquare wrapText="bothSides"/>
            <wp:docPr id="935349464" name="Picture 935349464" descr="Picture 1,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9436" r="8551"/>
                    <a:stretch/>
                  </pic:blipFill>
                  <pic:spPr bwMode="auto">
                    <a:xfrm>
                      <a:off x="0" y="0"/>
                      <a:ext cx="3642360" cy="2580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9E6B3B" w14:textId="31F4DD1A" w:rsidR="1B93BE3B" w:rsidRPr="00306F4D" w:rsidRDefault="30ECAEF6" w:rsidP="00192382">
      <w:pPr>
        <w:tabs>
          <w:tab w:val="left" w:pos="360"/>
        </w:tabs>
        <w:spacing w:before="120" w:after="0" w:line="240" w:lineRule="auto"/>
        <w:rPr>
          <w:rFonts w:ascii="Arial" w:eastAsia="Arial" w:hAnsi="Arial" w:cs="Arial"/>
          <w:b/>
          <w:bCs/>
          <w:color w:val="000000" w:themeColor="text1"/>
          <w:sz w:val="18"/>
          <w:szCs w:val="18"/>
        </w:rPr>
      </w:pPr>
      <w:r w:rsidRPr="00306F4D">
        <w:rPr>
          <w:rFonts w:ascii="Arial" w:eastAsia="Arial" w:hAnsi="Arial" w:cs="Arial"/>
          <w:b/>
          <w:bCs/>
          <w:color w:val="000000" w:themeColor="text1"/>
          <w:sz w:val="18"/>
          <w:szCs w:val="18"/>
        </w:rPr>
        <w:t xml:space="preserve">Figure </w:t>
      </w:r>
      <w:r w:rsidRPr="00306F4D">
        <w:rPr>
          <w:rFonts w:ascii="Arial" w:hAnsi="Arial" w:cs="Arial"/>
          <w:b/>
          <w:bCs/>
          <w:color w:val="000000" w:themeColor="text1"/>
          <w:sz w:val="18"/>
          <w:szCs w:val="18"/>
        </w:rPr>
        <w:t>4</w:t>
      </w:r>
      <w:r w:rsidRPr="00306F4D">
        <w:rPr>
          <w:rFonts w:ascii="Arial" w:eastAsia="Arial" w:hAnsi="Arial" w:cs="Arial"/>
          <w:b/>
          <w:bCs/>
          <w:color w:val="000000" w:themeColor="text1"/>
          <w:sz w:val="18"/>
          <w:szCs w:val="18"/>
        </w:rPr>
        <w:t xml:space="preserve">. Climate Map of the Western Balkans Region. Present day climates (1980-2016) according to the </w:t>
      </w:r>
      <w:proofErr w:type="spellStart"/>
      <w:r w:rsidRPr="00306F4D">
        <w:rPr>
          <w:rFonts w:ascii="Arial" w:eastAsia="Arial" w:hAnsi="Arial" w:cs="Arial"/>
          <w:b/>
          <w:bCs/>
          <w:color w:val="000000" w:themeColor="text1"/>
          <w:sz w:val="18"/>
          <w:szCs w:val="18"/>
        </w:rPr>
        <w:t>Köppen</w:t>
      </w:r>
      <w:proofErr w:type="spellEnd"/>
      <w:r w:rsidRPr="00306F4D">
        <w:rPr>
          <w:rFonts w:ascii="Arial" w:eastAsia="Arial" w:hAnsi="Arial" w:cs="Arial"/>
          <w:b/>
          <w:bCs/>
          <w:color w:val="000000" w:themeColor="text1"/>
          <w:sz w:val="18"/>
          <w:szCs w:val="18"/>
        </w:rPr>
        <w:t xml:space="preserve">-Geiger classification on a 1km resolution according to (Beck, et al., 2018) (adapted by </w:t>
      </w:r>
      <w:proofErr w:type="spellStart"/>
      <w:r w:rsidRPr="00306F4D">
        <w:rPr>
          <w:rFonts w:ascii="Arial" w:eastAsia="Arial" w:hAnsi="Arial" w:cs="Arial"/>
          <w:b/>
          <w:bCs/>
          <w:color w:val="000000" w:themeColor="text1"/>
          <w:sz w:val="18"/>
          <w:szCs w:val="18"/>
        </w:rPr>
        <w:t>ClimaProof</w:t>
      </w:r>
      <w:proofErr w:type="spellEnd"/>
      <w:r w:rsidRPr="00306F4D">
        <w:rPr>
          <w:rFonts w:ascii="Arial" w:eastAsia="Arial" w:hAnsi="Arial" w:cs="Arial"/>
          <w:b/>
          <w:bCs/>
          <w:color w:val="000000" w:themeColor="text1"/>
          <w:sz w:val="18"/>
          <w:szCs w:val="18"/>
        </w:rPr>
        <w:t>).</w:t>
      </w:r>
    </w:p>
    <w:p w14:paraId="3D9557D6" w14:textId="4CF2C48D" w:rsidR="56CB35C7" w:rsidRPr="00306F4D" w:rsidRDefault="00475991" w:rsidP="02E2BB75">
      <w:pPr>
        <w:tabs>
          <w:tab w:val="left" w:pos="360"/>
        </w:tabs>
        <w:spacing w:before="120" w:after="240" w:line="276" w:lineRule="auto"/>
        <w:jc w:val="both"/>
        <w:rPr>
          <w:rFonts w:ascii="Arial" w:eastAsia="Arial" w:hAnsi="Arial" w:cs="Arial"/>
          <w:sz w:val="20"/>
          <w:szCs w:val="20"/>
        </w:rPr>
      </w:pPr>
      <w:r w:rsidRPr="00306F4D">
        <w:rPr>
          <w:noProof/>
        </w:rPr>
        <w:drawing>
          <wp:anchor distT="0" distB="0" distL="114300" distR="114300" simplePos="0" relativeHeight="251658246" behindDoc="1" locked="0" layoutInCell="1" allowOverlap="1" wp14:anchorId="69FF2878" wp14:editId="55C2E1A4">
            <wp:simplePos x="0" y="0"/>
            <wp:positionH relativeFrom="page">
              <wp:posOffset>4389120</wp:posOffset>
            </wp:positionH>
            <wp:positionV relativeFrom="paragraph">
              <wp:posOffset>301625</wp:posOffset>
            </wp:positionV>
            <wp:extent cx="2712720" cy="776605"/>
            <wp:effectExtent l="0" t="0" r="0" b="4445"/>
            <wp:wrapTight wrapText="bothSides">
              <wp:wrapPolygon edited="0">
                <wp:start x="0" y="0"/>
                <wp:lineTo x="0" y="21194"/>
                <wp:lineTo x="21388" y="21194"/>
                <wp:lineTo x="21388" y="0"/>
                <wp:lineTo x="0" y="0"/>
              </wp:wrapPolygon>
            </wp:wrapTight>
            <wp:docPr id="2139366616" name="Picture 2139366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4588" r="13919" b="15875"/>
                    <a:stretch/>
                  </pic:blipFill>
                  <pic:spPr bwMode="auto">
                    <a:xfrm>
                      <a:off x="0" y="0"/>
                      <a:ext cx="2712720" cy="776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6A6CAE83" w14:textId="77777777" w:rsidR="0047715A" w:rsidRPr="00306F4D" w:rsidRDefault="0047715A" w:rsidP="391FF130">
      <w:pPr>
        <w:tabs>
          <w:tab w:val="left" w:pos="360"/>
        </w:tabs>
        <w:spacing w:before="120" w:after="240" w:line="276" w:lineRule="auto"/>
        <w:jc w:val="both"/>
        <w:rPr>
          <w:rFonts w:ascii="Arial" w:eastAsia="Arial" w:hAnsi="Arial" w:cs="Arial"/>
          <w:b/>
          <w:bCs/>
          <w:sz w:val="20"/>
          <w:szCs w:val="20"/>
        </w:rPr>
      </w:pPr>
    </w:p>
    <w:p w14:paraId="6B127FCA" w14:textId="77777777" w:rsidR="0047715A" w:rsidRPr="00306F4D" w:rsidRDefault="0047715A" w:rsidP="391FF130">
      <w:pPr>
        <w:tabs>
          <w:tab w:val="left" w:pos="360"/>
        </w:tabs>
        <w:spacing w:before="120" w:after="240" w:line="276" w:lineRule="auto"/>
        <w:jc w:val="both"/>
        <w:rPr>
          <w:rFonts w:ascii="Arial" w:eastAsia="Arial" w:hAnsi="Arial" w:cs="Arial"/>
          <w:b/>
          <w:bCs/>
          <w:sz w:val="20"/>
          <w:szCs w:val="20"/>
        </w:rPr>
      </w:pPr>
    </w:p>
    <w:p w14:paraId="5B462F02" w14:textId="77777777" w:rsidR="0047715A" w:rsidRPr="00306F4D" w:rsidRDefault="0047715A" w:rsidP="391FF130">
      <w:pPr>
        <w:tabs>
          <w:tab w:val="left" w:pos="360"/>
        </w:tabs>
        <w:spacing w:before="120" w:after="240" w:line="276" w:lineRule="auto"/>
        <w:jc w:val="both"/>
        <w:rPr>
          <w:rFonts w:ascii="Arial" w:eastAsia="Arial" w:hAnsi="Arial" w:cs="Arial"/>
          <w:b/>
          <w:bCs/>
          <w:sz w:val="20"/>
          <w:szCs w:val="20"/>
        </w:rPr>
      </w:pPr>
    </w:p>
    <w:p w14:paraId="084D541F" w14:textId="7E12F1E0" w:rsidR="0A2CADAC" w:rsidRPr="00306F4D" w:rsidRDefault="52DA0754" w:rsidP="391FF130">
      <w:pPr>
        <w:tabs>
          <w:tab w:val="left" w:pos="360"/>
        </w:tabs>
        <w:spacing w:before="120" w:after="240" w:line="276" w:lineRule="auto"/>
        <w:jc w:val="both"/>
        <w:rPr>
          <w:rFonts w:ascii="Arial" w:eastAsia="Arial" w:hAnsi="Arial" w:cs="Arial"/>
          <w:sz w:val="20"/>
          <w:szCs w:val="20"/>
          <w:lang w:val="en-GB"/>
        </w:rPr>
      </w:pPr>
      <w:r w:rsidRPr="00306F4D">
        <w:rPr>
          <w:rFonts w:ascii="Arial" w:eastAsia="Arial" w:hAnsi="Arial" w:cs="Arial"/>
          <w:b/>
          <w:bCs/>
          <w:sz w:val="20"/>
          <w:szCs w:val="20"/>
        </w:rPr>
        <w:t>This section</w:t>
      </w:r>
      <w:r w:rsidRPr="00306F4D">
        <w:rPr>
          <w:rFonts w:ascii="Arial" w:eastAsia="Arial" w:hAnsi="Arial" w:cs="Arial"/>
          <w:sz w:val="20"/>
          <w:szCs w:val="20"/>
        </w:rPr>
        <w:t xml:space="preserve"> </w:t>
      </w:r>
      <w:r w:rsidR="6CAD2658" w:rsidRPr="00306F4D">
        <w:rPr>
          <w:rFonts w:ascii="Arial" w:eastAsia="Arial" w:hAnsi="Arial" w:cs="Arial"/>
          <w:sz w:val="20"/>
          <w:szCs w:val="20"/>
        </w:rPr>
        <w:t xml:space="preserve">presents a summary of the climate change analysis for the sub-region, including </w:t>
      </w:r>
      <w:r w:rsidRPr="00306F4D">
        <w:rPr>
          <w:rFonts w:ascii="Arial" w:eastAsia="Arial" w:hAnsi="Arial" w:cs="Arial"/>
          <w:sz w:val="20"/>
          <w:szCs w:val="20"/>
        </w:rPr>
        <w:t xml:space="preserve">the </w:t>
      </w:r>
      <w:proofErr w:type="gramStart"/>
      <w:r w:rsidRPr="00306F4D">
        <w:rPr>
          <w:rFonts w:ascii="Arial" w:eastAsia="Arial" w:hAnsi="Arial" w:cs="Arial"/>
          <w:sz w:val="20"/>
          <w:szCs w:val="20"/>
        </w:rPr>
        <w:t>current status</w:t>
      </w:r>
      <w:proofErr w:type="gramEnd"/>
      <w:r w:rsidRPr="00306F4D">
        <w:rPr>
          <w:rFonts w:ascii="Arial" w:eastAsia="Arial" w:hAnsi="Arial" w:cs="Arial"/>
          <w:sz w:val="20"/>
          <w:szCs w:val="20"/>
        </w:rPr>
        <w:t>, observed change, and projected future status of climate change in the Western Balkans region</w:t>
      </w:r>
      <w:r w:rsidR="101F37D5" w:rsidRPr="00306F4D">
        <w:rPr>
          <w:rFonts w:ascii="Arial" w:eastAsia="Arial" w:hAnsi="Arial" w:cs="Arial"/>
          <w:sz w:val="20"/>
          <w:szCs w:val="20"/>
        </w:rPr>
        <w:t>.</w:t>
      </w:r>
      <w:r w:rsidRPr="00306F4D">
        <w:rPr>
          <w:rFonts w:ascii="Arial" w:eastAsia="Arial" w:hAnsi="Arial" w:cs="Arial"/>
          <w:sz w:val="20"/>
          <w:szCs w:val="20"/>
        </w:rPr>
        <w:t xml:space="preserve"> </w:t>
      </w:r>
      <w:r w:rsidR="04FFB117" w:rsidRPr="00306F4D">
        <w:rPr>
          <w:rFonts w:ascii="Arial" w:eastAsia="Arial" w:hAnsi="Arial" w:cs="Arial"/>
          <w:sz w:val="20"/>
          <w:szCs w:val="20"/>
        </w:rPr>
        <w:t xml:space="preserve">The detailed climate change analysis for the sub-region and targeted countries is presented in the </w:t>
      </w:r>
      <w:r w:rsidR="04FFB117" w:rsidRPr="00306F4D">
        <w:rPr>
          <w:rFonts w:ascii="Arial" w:eastAsia="Arial" w:hAnsi="Arial" w:cs="Arial"/>
          <w:b/>
          <w:bCs/>
          <w:sz w:val="20"/>
          <w:szCs w:val="20"/>
        </w:rPr>
        <w:t xml:space="preserve">Annex </w:t>
      </w:r>
      <w:r w:rsidR="09A8B3C0" w:rsidRPr="00306F4D">
        <w:rPr>
          <w:rFonts w:ascii="Arial" w:eastAsia="Arial" w:hAnsi="Arial" w:cs="Arial"/>
          <w:b/>
          <w:bCs/>
          <w:sz w:val="20"/>
          <w:szCs w:val="20"/>
        </w:rPr>
        <w:t>10</w:t>
      </w:r>
      <w:r w:rsidR="04FFB117" w:rsidRPr="00306F4D">
        <w:rPr>
          <w:rFonts w:ascii="Arial" w:eastAsia="Arial" w:hAnsi="Arial" w:cs="Arial"/>
          <w:sz w:val="20"/>
          <w:szCs w:val="20"/>
        </w:rPr>
        <w:t xml:space="preserve">. </w:t>
      </w:r>
      <w:r w:rsidRPr="00306F4D">
        <w:rPr>
          <w:rFonts w:ascii="Arial" w:eastAsia="Arial" w:hAnsi="Arial" w:cs="Arial"/>
          <w:sz w:val="20"/>
          <w:szCs w:val="20"/>
        </w:rPr>
        <w:t xml:space="preserve">Values for the period 1961-2015 are </w:t>
      </w:r>
      <w:r w:rsidR="04AAE74F" w:rsidRPr="00306F4D">
        <w:rPr>
          <w:rFonts w:ascii="Arial" w:eastAsia="Arial" w:hAnsi="Arial" w:cs="Arial"/>
          <w:sz w:val="20"/>
          <w:szCs w:val="20"/>
        </w:rPr>
        <w:t>analyzed</w:t>
      </w:r>
      <w:r w:rsidRPr="00306F4D">
        <w:rPr>
          <w:rFonts w:ascii="Arial" w:eastAsia="Arial" w:hAnsi="Arial" w:cs="Arial"/>
          <w:sz w:val="20"/>
          <w:szCs w:val="20"/>
        </w:rPr>
        <w:t xml:space="preserve">, drawing extensively on </w:t>
      </w:r>
      <w:r w:rsidR="06838B0A" w:rsidRPr="00306F4D">
        <w:rPr>
          <w:rFonts w:ascii="Arial" w:eastAsia="Arial" w:hAnsi="Arial" w:cs="Arial"/>
          <w:sz w:val="20"/>
          <w:szCs w:val="20"/>
        </w:rPr>
        <w:t>the Regional Cooperation Council’s (RCC)</w:t>
      </w:r>
      <w:r w:rsidR="00D7067C" w:rsidRPr="00306F4D">
        <w:rPr>
          <w:rFonts w:ascii="Arial" w:eastAsia="Arial" w:hAnsi="Arial" w:cs="Arial"/>
          <w:sz w:val="20"/>
          <w:szCs w:val="20"/>
          <w:vertAlign w:val="superscript"/>
        </w:rPr>
        <w:footnoteReference w:id="35"/>
      </w:r>
      <w:r w:rsidR="06838B0A" w:rsidRPr="00306F4D">
        <w:rPr>
          <w:rFonts w:ascii="Arial" w:eastAsia="Arial" w:hAnsi="Arial" w:cs="Arial"/>
          <w:sz w:val="20"/>
          <w:szCs w:val="20"/>
        </w:rPr>
        <w:t xml:space="preserve"> landmark study </w:t>
      </w:r>
      <w:r w:rsidR="03CFC326" w:rsidRPr="00306F4D">
        <w:rPr>
          <w:rFonts w:ascii="Arial" w:eastAsia="Arial" w:hAnsi="Arial" w:cs="Arial"/>
          <w:sz w:val="20"/>
          <w:szCs w:val="20"/>
        </w:rPr>
        <w:t>of climate change in the region (hereafter,</w:t>
      </w:r>
      <w:r w:rsidR="06838B0A" w:rsidRPr="00306F4D">
        <w:rPr>
          <w:rFonts w:ascii="Arial" w:eastAsia="Arial" w:hAnsi="Arial" w:cs="Arial"/>
          <w:sz w:val="20"/>
          <w:szCs w:val="20"/>
        </w:rPr>
        <w:t xml:space="preserve"> </w:t>
      </w:r>
      <w:r w:rsidR="7B930439" w:rsidRPr="00306F4D">
        <w:rPr>
          <w:rFonts w:ascii="Arial" w:eastAsia="Arial" w:hAnsi="Arial" w:cs="Arial"/>
          <w:sz w:val="20"/>
          <w:szCs w:val="20"/>
        </w:rPr>
        <w:t>“</w:t>
      </w:r>
      <w:r w:rsidRPr="00306F4D">
        <w:rPr>
          <w:rFonts w:ascii="Arial" w:eastAsia="Arial" w:hAnsi="Arial" w:cs="Arial"/>
          <w:sz w:val="20"/>
          <w:szCs w:val="20"/>
        </w:rPr>
        <w:t>RCC (2018</w:t>
      </w:r>
      <w:r w:rsidR="61495EBE" w:rsidRPr="00306F4D">
        <w:rPr>
          <w:rFonts w:ascii="Arial" w:eastAsia="Arial" w:hAnsi="Arial" w:cs="Arial"/>
          <w:sz w:val="20"/>
          <w:szCs w:val="20"/>
        </w:rPr>
        <w:t>)</w:t>
      </w:r>
      <w:r w:rsidR="75336D37" w:rsidRPr="00306F4D">
        <w:rPr>
          <w:rFonts w:ascii="Arial" w:eastAsia="Arial" w:hAnsi="Arial" w:cs="Arial"/>
          <w:sz w:val="20"/>
          <w:szCs w:val="20"/>
        </w:rPr>
        <w:t>”)</w:t>
      </w:r>
      <w:r w:rsidR="61495EBE" w:rsidRPr="00306F4D">
        <w:rPr>
          <w:rFonts w:ascii="Arial" w:eastAsia="Arial" w:hAnsi="Arial" w:cs="Arial"/>
          <w:sz w:val="20"/>
          <w:szCs w:val="20"/>
        </w:rPr>
        <w:t>,</w:t>
      </w:r>
      <w:r w:rsidR="00D7067C" w:rsidRPr="00306F4D">
        <w:rPr>
          <w:rFonts w:ascii="Arial" w:eastAsia="Arial" w:hAnsi="Arial" w:cs="Arial"/>
          <w:sz w:val="20"/>
          <w:szCs w:val="20"/>
          <w:vertAlign w:val="superscript"/>
        </w:rPr>
        <w:footnoteReference w:id="36"/>
      </w:r>
      <w:r w:rsidRPr="00306F4D">
        <w:rPr>
          <w:rFonts w:ascii="Arial" w:eastAsia="Arial" w:hAnsi="Arial" w:cs="Arial"/>
          <w:sz w:val="20"/>
          <w:szCs w:val="20"/>
        </w:rPr>
        <w:t xml:space="preserve"> which defines the period 1961-1980 as the “past” climate baseline period, and 1996-2015 as the “present” climate period.</w:t>
      </w:r>
      <w:r w:rsidR="00D7067C" w:rsidRPr="00306F4D">
        <w:rPr>
          <w:rFonts w:ascii="Arial" w:eastAsia="Arial" w:hAnsi="Arial" w:cs="Arial"/>
          <w:sz w:val="20"/>
          <w:szCs w:val="20"/>
          <w:vertAlign w:val="superscript"/>
        </w:rPr>
        <w:footnoteReference w:id="37"/>
      </w:r>
      <w:r w:rsidRPr="00306F4D">
        <w:rPr>
          <w:rFonts w:ascii="Arial" w:eastAsia="Arial" w:hAnsi="Arial" w:cs="Arial"/>
          <w:sz w:val="20"/>
          <w:szCs w:val="20"/>
        </w:rPr>
        <w:t xml:space="preserve"> Use of 20 years for climatological period is in accordance with IPCC AR5</w:t>
      </w:r>
      <w:r w:rsidR="00430631" w:rsidRPr="00306F4D">
        <w:rPr>
          <w:rStyle w:val="FootnoteReference"/>
          <w:rFonts w:ascii="Arial" w:eastAsia="Arial" w:hAnsi="Arial" w:cs="Arial"/>
          <w:sz w:val="20"/>
          <w:szCs w:val="20"/>
        </w:rPr>
        <w:footnoteReference w:id="38"/>
      </w:r>
    </w:p>
    <w:p w14:paraId="611EEF13" w14:textId="77777777" w:rsidR="00D7067C" w:rsidRPr="00306F4D" w:rsidRDefault="00D7067C" w:rsidP="007C26CE">
      <w:pPr>
        <w:pStyle w:val="Heading3"/>
        <w:rPr>
          <w:rFonts w:ascii="Arial" w:eastAsia="Arial" w:hAnsi="Arial" w:cs="Arial"/>
          <w:b/>
          <w:color w:val="000000" w:themeColor="text1"/>
          <w:sz w:val="20"/>
          <w:szCs w:val="20"/>
          <w:lang w:val="en-GB"/>
        </w:rPr>
      </w:pPr>
      <w:bookmarkStart w:id="14" w:name="_Toc201659493"/>
      <w:r w:rsidRPr="00306F4D">
        <w:rPr>
          <w:rFonts w:ascii="Arial" w:eastAsia="Arial" w:hAnsi="Arial" w:cs="Arial"/>
          <w:b/>
          <w:sz w:val="20"/>
          <w:szCs w:val="20"/>
          <w:lang w:val="en-GB"/>
        </w:rPr>
        <w:lastRenderedPageBreak/>
        <w:t>Current Climate Status</w:t>
      </w:r>
      <w:bookmarkEnd w:id="14"/>
    </w:p>
    <w:p w14:paraId="30331719" w14:textId="7023BDEF" w:rsidR="00D7067C" w:rsidRPr="00306F4D" w:rsidRDefault="6095E061" w:rsidP="02E2BB75">
      <w:pPr>
        <w:pStyle w:val="Heading5"/>
        <w:tabs>
          <w:tab w:val="left" w:pos="360"/>
        </w:tabs>
        <w:spacing w:before="120" w:after="240" w:line="276" w:lineRule="auto"/>
        <w:jc w:val="both"/>
        <w:rPr>
          <w:rFonts w:ascii="Arial" w:eastAsia="Arial" w:hAnsi="Arial" w:cs="Arial"/>
          <w:b/>
          <w:bCs/>
          <w:color w:val="000000" w:themeColor="text1"/>
          <w:sz w:val="20"/>
          <w:szCs w:val="20"/>
          <w:lang w:val="en-GB"/>
        </w:rPr>
      </w:pPr>
      <w:bookmarkStart w:id="15" w:name="_Toc201659494"/>
      <w:r w:rsidRPr="00306F4D">
        <w:rPr>
          <w:rFonts w:ascii="Arial" w:eastAsia="Arial" w:hAnsi="Arial" w:cs="Arial"/>
          <w:sz w:val="20"/>
          <w:szCs w:val="20"/>
          <w:lang w:val="en-GB"/>
        </w:rPr>
        <w:t xml:space="preserve">1) </w:t>
      </w:r>
      <w:r w:rsidR="3E867F3D" w:rsidRPr="00306F4D">
        <w:rPr>
          <w:rFonts w:ascii="Arial" w:eastAsia="Arial" w:hAnsi="Arial" w:cs="Arial"/>
          <w:sz w:val="20"/>
          <w:szCs w:val="20"/>
          <w:lang w:val="en-GB"/>
        </w:rPr>
        <w:t>Temperature (12-19°C Average Annual</w:t>
      </w:r>
      <w:bookmarkEnd w:id="15"/>
      <w:r w:rsidR="3E867F3D" w:rsidRPr="00306F4D">
        <w:rPr>
          <w:rFonts w:ascii="Arial" w:eastAsia="Arial" w:hAnsi="Arial" w:cs="Arial"/>
          <w:sz w:val="20"/>
          <w:szCs w:val="20"/>
          <w:lang w:val="en-GB"/>
        </w:rPr>
        <w:t>)</w:t>
      </w:r>
    </w:p>
    <w:p w14:paraId="30B89230" w14:textId="11B39CFC" w:rsidR="00DE6F2B" w:rsidRPr="00306F4D" w:rsidRDefault="4AB7A320" w:rsidP="338C5E83">
      <w:pPr>
        <w:tabs>
          <w:tab w:val="left" w:pos="360"/>
        </w:tabs>
        <w:spacing w:before="120" w:after="240" w:line="276" w:lineRule="auto"/>
        <w:jc w:val="both"/>
        <w:rPr>
          <w:rFonts w:ascii="Arial" w:eastAsia="Arial" w:hAnsi="Arial" w:cs="Arial"/>
          <w:b/>
          <w:bCs/>
          <w:sz w:val="20"/>
          <w:szCs w:val="20"/>
        </w:rPr>
      </w:pPr>
      <w:r w:rsidRPr="00306F4D">
        <w:rPr>
          <w:noProof/>
        </w:rPr>
        <w:drawing>
          <wp:inline distT="0" distB="0" distL="0" distR="0" wp14:anchorId="4595EDC8" wp14:editId="39D67B79">
            <wp:extent cx="4134118" cy="2228311"/>
            <wp:effectExtent l="0" t="0" r="6350" b="0"/>
            <wp:docPr id="1771770215" name="Picture 1771770215" descr="Picture 1,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187611" cy="2257144"/>
                    </a:xfrm>
                    <a:prstGeom prst="rect">
                      <a:avLst/>
                    </a:prstGeom>
                  </pic:spPr>
                </pic:pic>
              </a:graphicData>
            </a:graphic>
          </wp:inline>
        </w:drawing>
      </w:r>
    </w:p>
    <w:p w14:paraId="0D34E58C" w14:textId="77A7BAF2" w:rsidR="00DE6F2B" w:rsidRPr="00306F4D" w:rsidRDefault="0FC6D997" w:rsidP="338C5E83">
      <w:pPr>
        <w:tabs>
          <w:tab w:val="left" w:pos="360"/>
        </w:tabs>
        <w:spacing w:before="120" w:after="240" w:line="276" w:lineRule="auto"/>
        <w:jc w:val="both"/>
        <w:rPr>
          <w:rFonts w:ascii="Arial" w:eastAsia="Arial" w:hAnsi="Arial" w:cs="Arial"/>
          <w:b/>
          <w:bCs/>
          <w:sz w:val="20"/>
          <w:szCs w:val="20"/>
        </w:rPr>
      </w:pPr>
      <w:r w:rsidRPr="00306F4D">
        <w:rPr>
          <w:rFonts w:ascii="Arial" w:eastAsiaTheme="minorEastAsia" w:hAnsi="Arial" w:cs="Arial"/>
          <w:b/>
          <w:bCs/>
          <w:sz w:val="20"/>
          <w:szCs w:val="20"/>
        </w:rPr>
        <w:t xml:space="preserve">  </w:t>
      </w:r>
      <w:r w:rsidRPr="00306F4D">
        <w:rPr>
          <w:rFonts w:ascii="Arial" w:eastAsia="Arial" w:hAnsi="Arial" w:cs="Arial"/>
          <w:b/>
          <w:bCs/>
          <w:sz w:val="16"/>
          <w:szCs w:val="16"/>
        </w:rPr>
        <w:t xml:space="preserve">Figure </w:t>
      </w:r>
      <w:r w:rsidR="002A27ED" w:rsidRPr="00306F4D">
        <w:rPr>
          <w:rFonts w:ascii="Arial" w:eastAsia="Arial" w:hAnsi="Arial" w:cs="Arial"/>
          <w:sz w:val="16"/>
          <w:szCs w:val="16"/>
        </w:rPr>
        <w:fldChar w:fldCharType="begin"/>
      </w:r>
      <w:r w:rsidR="002A27ED" w:rsidRPr="00306F4D">
        <w:rPr>
          <w:rFonts w:ascii="Arial" w:eastAsia="Arial" w:hAnsi="Arial" w:cs="Arial"/>
          <w:sz w:val="16"/>
          <w:szCs w:val="16"/>
        </w:rPr>
        <w:instrText xml:space="preserve"> SEQ Figure \* ARABIC </w:instrText>
      </w:r>
      <w:r w:rsidR="002A27ED" w:rsidRPr="00306F4D">
        <w:rPr>
          <w:rFonts w:ascii="Arial" w:eastAsia="Arial" w:hAnsi="Arial" w:cs="Arial"/>
          <w:sz w:val="16"/>
          <w:szCs w:val="16"/>
        </w:rPr>
        <w:fldChar w:fldCharType="separate"/>
      </w:r>
      <w:r w:rsidRPr="00306F4D">
        <w:rPr>
          <w:rFonts w:ascii="Arial" w:eastAsia="Arial" w:hAnsi="Arial" w:cs="Arial"/>
          <w:sz w:val="16"/>
          <w:szCs w:val="16"/>
        </w:rPr>
        <w:t>5</w:t>
      </w:r>
      <w:r w:rsidR="002A27ED" w:rsidRPr="00306F4D">
        <w:rPr>
          <w:rFonts w:ascii="Arial" w:eastAsia="Arial" w:hAnsi="Arial" w:cs="Arial"/>
          <w:sz w:val="16"/>
          <w:szCs w:val="16"/>
        </w:rPr>
        <w:fldChar w:fldCharType="end"/>
      </w:r>
      <w:r w:rsidRPr="00306F4D">
        <w:rPr>
          <w:rFonts w:ascii="Arial" w:eastAsia="Arial" w:hAnsi="Arial" w:cs="Arial"/>
          <w:b/>
          <w:bCs/>
          <w:sz w:val="16"/>
          <w:szCs w:val="16"/>
        </w:rPr>
        <w:t>. Current Temperature and Precipitation (1996-2016 Average) in Western Balkans Region.</w:t>
      </w:r>
      <w:r w:rsidRPr="00306F4D">
        <w:rPr>
          <w:rFonts w:ascii="Arial" w:eastAsia="Arial" w:hAnsi="Arial" w:cs="Arial"/>
          <w:sz w:val="20"/>
          <w:szCs w:val="20"/>
        </w:rPr>
        <w:t xml:space="preserve"> </w:t>
      </w:r>
    </w:p>
    <w:p w14:paraId="0E3B9B8C" w14:textId="49FD98C0" w:rsidR="00DE6F2B" w:rsidRPr="00306F4D" w:rsidRDefault="52DA0754" w:rsidP="338C5E83">
      <w:pPr>
        <w:tabs>
          <w:tab w:val="left" w:pos="360"/>
        </w:tabs>
        <w:spacing w:before="120" w:after="240" w:line="276" w:lineRule="auto"/>
        <w:jc w:val="both"/>
        <w:rPr>
          <w:rFonts w:ascii="Arial" w:eastAsia="Arial" w:hAnsi="Arial" w:cs="Arial"/>
          <w:b/>
          <w:bCs/>
          <w:sz w:val="20"/>
          <w:szCs w:val="20"/>
        </w:rPr>
      </w:pPr>
      <w:r w:rsidRPr="00306F4D">
        <w:rPr>
          <w:rFonts w:ascii="Arial" w:eastAsia="Arial" w:hAnsi="Arial" w:cs="Arial"/>
          <w:sz w:val="20"/>
          <w:szCs w:val="20"/>
        </w:rPr>
        <w:t>Average</w:t>
      </w:r>
      <w:r w:rsidR="00FD7681" w:rsidRPr="00306F4D">
        <w:rPr>
          <w:rFonts w:ascii="Arial" w:eastAsia="Arial" w:hAnsi="Arial" w:cs="Arial"/>
          <w:sz w:val="20"/>
          <w:szCs w:val="20"/>
        </w:rPr>
        <w:t xml:space="preserve"> annual temperature for the whole region in the present climate period (since 1996) is 10.9°C</w:t>
      </w:r>
      <w:r w:rsidR="00185A9C" w:rsidRPr="00306F4D">
        <w:rPr>
          <w:rFonts w:ascii="Arial" w:eastAsia="Arial" w:hAnsi="Arial" w:cs="Arial"/>
          <w:sz w:val="20"/>
          <w:szCs w:val="20"/>
        </w:rPr>
        <w:t>.</w:t>
      </w:r>
      <w:r w:rsidR="00FD7681" w:rsidRPr="00306F4D">
        <w:rPr>
          <w:rFonts w:ascii="Arial" w:eastAsia="Arial" w:hAnsi="Arial" w:cs="Arial"/>
          <w:sz w:val="20"/>
          <w:szCs w:val="20"/>
          <w:vertAlign w:val="superscript"/>
        </w:rPr>
        <w:t xml:space="preserve"> </w:t>
      </w:r>
      <w:r w:rsidR="00D7067C" w:rsidRPr="00306F4D">
        <w:rPr>
          <w:rFonts w:ascii="Arial" w:eastAsia="Arial" w:hAnsi="Arial" w:cs="Arial"/>
          <w:sz w:val="20"/>
          <w:szCs w:val="20"/>
          <w:vertAlign w:val="superscript"/>
        </w:rPr>
        <w:footnoteReference w:id="39"/>
      </w:r>
      <w:r w:rsidR="008D71D5" w:rsidRPr="00306F4D">
        <w:rPr>
          <w:sz w:val="20"/>
          <w:szCs w:val="20"/>
        </w:rPr>
        <w:t xml:space="preserve"> </w:t>
      </w:r>
      <w:r w:rsidRPr="00306F4D">
        <w:rPr>
          <w:rFonts w:ascii="Arial" w:eastAsia="Arial" w:hAnsi="Arial" w:cs="Arial"/>
          <w:sz w:val="20"/>
          <w:szCs w:val="20"/>
        </w:rPr>
        <w:t xml:space="preserve">The Northern and Central Areas of the Western Balkans typically experience cold winters, warm summers, and well-distributed rainfall throughout the year. The Southern and Coastal areas experience a Mediterranean climate, characterized by hot, dry summers and mild, relatively rainy winters. Average annual temperatures range from 12°C to 19°C, generally, with </w:t>
      </w:r>
      <w:r w:rsidR="1EC13A22" w:rsidRPr="00306F4D">
        <w:rPr>
          <w:rFonts w:ascii="Arial" w:eastAsia="Arial" w:hAnsi="Arial" w:cs="Arial"/>
          <w:sz w:val="20"/>
          <w:szCs w:val="20"/>
        </w:rPr>
        <w:t xml:space="preserve">significant </w:t>
      </w:r>
      <w:r w:rsidRPr="00306F4D">
        <w:rPr>
          <w:rFonts w:ascii="Arial" w:eastAsia="Arial" w:hAnsi="Arial" w:cs="Arial"/>
          <w:sz w:val="20"/>
          <w:szCs w:val="20"/>
        </w:rPr>
        <w:t xml:space="preserve">variations depending on location, altitude, and proximity to coast </w:t>
      </w:r>
      <w:r w:rsidRPr="00306F4D">
        <w:rPr>
          <w:rFonts w:ascii="Arial" w:eastAsia="Arial" w:hAnsi="Arial" w:cs="Arial"/>
          <w:b/>
          <w:bCs/>
          <w:sz w:val="20"/>
          <w:szCs w:val="20"/>
        </w:rPr>
        <w:t>(</w:t>
      </w:r>
      <w:r w:rsidR="0582BE59" w:rsidRPr="00306F4D">
        <w:rPr>
          <w:rFonts w:ascii="Arial" w:eastAsia="Arial" w:hAnsi="Arial" w:cs="Arial"/>
          <w:b/>
          <w:bCs/>
          <w:sz w:val="20"/>
          <w:szCs w:val="20"/>
        </w:rPr>
        <w:t>Figure 5).</w:t>
      </w:r>
    </w:p>
    <w:p w14:paraId="650B7021" w14:textId="2AEB8AB9" w:rsidR="00D7067C" w:rsidRPr="00306F4D" w:rsidRDefault="6C0E93A6" w:rsidP="02E2BB75">
      <w:pPr>
        <w:pStyle w:val="Heading5"/>
        <w:rPr>
          <w:rFonts w:ascii="Arial" w:eastAsia="Arial" w:hAnsi="Arial" w:cs="Arial"/>
          <w:b/>
          <w:bCs/>
          <w:color w:val="000000" w:themeColor="text1"/>
          <w:sz w:val="20"/>
          <w:szCs w:val="20"/>
          <w:lang w:val="en-GB"/>
        </w:rPr>
      </w:pPr>
      <w:bookmarkStart w:id="16" w:name="_Toc201659495"/>
      <w:r w:rsidRPr="00306F4D">
        <w:rPr>
          <w:rFonts w:ascii="Arial" w:eastAsia="Arial" w:hAnsi="Arial" w:cs="Arial"/>
          <w:sz w:val="20"/>
          <w:szCs w:val="20"/>
          <w:lang w:val="en-GB"/>
        </w:rPr>
        <w:t xml:space="preserve">2) </w:t>
      </w:r>
      <w:r w:rsidR="19A75A43" w:rsidRPr="00306F4D">
        <w:rPr>
          <w:rFonts w:ascii="Arial" w:eastAsia="Arial" w:hAnsi="Arial" w:cs="Arial"/>
          <w:sz w:val="20"/>
          <w:szCs w:val="20"/>
          <w:lang w:val="en-GB"/>
        </w:rPr>
        <w:t>Precipitation (Variable: 800 to 5,000 mm Average Annual)</w:t>
      </w:r>
      <w:bookmarkEnd w:id="16"/>
    </w:p>
    <w:p w14:paraId="11C95CFE" w14:textId="2698C9BC" w:rsidR="338C5E83" w:rsidRPr="00306F4D" w:rsidRDefault="52DA0754" w:rsidP="00934295">
      <w:pPr>
        <w:tabs>
          <w:tab w:val="left" w:pos="360"/>
        </w:tabs>
        <w:autoSpaceDE w:val="0"/>
        <w:autoSpaceDN w:val="0"/>
        <w:adjustRightInd w:val="0"/>
        <w:spacing w:before="120" w:after="240" w:line="276" w:lineRule="auto"/>
        <w:jc w:val="both"/>
        <w:rPr>
          <w:rFonts w:ascii="Arial" w:eastAsia="Arial" w:hAnsi="Arial" w:cs="Arial"/>
          <w:sz w:val="20"/>
          <w:szCs w:val="20"/>
        </w:rPr>
      </w:pPr>
      <w:r w:rsidRPr="00306F4D">
        <w:rPr>
          <w:rFonts w:ascii="Arial" w:eastAsia="Arial" w:hAnsi="Arial" w:cs="Arial"/>
          <w:sz w:val="20"/>
          <w:szCs w:val="20"/>
        </w:rPr>
        <w:t xml:space="preserve">Average annual precipitation in the Western Balkans in the present climate period (since 1996) varies significantly, depending on location, altitude, and proximity to the coast, ranging from </w:t>
      </w:r>
      <w:r w:rsidR="4200C7B5" w:rsidRPr="00306F4D">
        <w:rPr>
          <w:rFonts w:ascii="Arial" w:eastAsia="Arial" w:hAnsi="Arial" w:cs="Arial"/>
          <w:sz w:val="20"/>
          <w:szCs w:val="20"/>
        </w:rPr>
        <w:t>6</w:t>
      </w:r>
      <w:r w:rsidR="61495EBE" w:rsidRPr="00306F4D">
        <w:rPr>
          <w:rFonts w:ascii="Arial" w:eastAsia="Arial" w:hAnsi="Arial" w:cs="Arial"/>
          <w:sz w:val="20"/>
          <w:szCs w:val="20"/>
        </w:rPr>
        <w:t>00</w:t>
      </w:r>
      <w:r w:rsidRPr="00306F4D">
        <w:rPr>
          <w:rFonts w:ascii="Arial" w:eastAsia="Arial" w:hAnsi="Arial" w:cs="Arial"/>
          <w:sz w:val="20"/>
          <w:szCs w:val="20"/>
        </w:rPr>
        <w:t xml:space="preserve"> mm to 5,000 mm, which greatly emphasizes the need for locally led adaptation solutions, which is the focus of this Regional Project. The northern parts of the region generally receive around 800 mm per year.</w:t>
      </w:r>
      <w:r w:rsidR="00D7067C" w:rsidRPr="00306F4D">
        <w:rPr>
          <w:rFonts w:ascii="Arial" w:eastAsia="Arial" w:hAnsi="Arial" w:cs="Arial"/>
          <w:sz w:val="20"/>
          <w:szCs w:val="20"/>
          <w:vertAlign w:val="superscript"/>
        </w:rPr>
        <w:footnoteReference w:id="40"/>
      </w:r>
      <w:r w:rsidRPr="00306F4D">
        <w:rPr>
          <w:rFonts w:ascii="Arial" w:eastAsia="Arial" w:hAnsi="Arial" w:cs="Arial"/>
          <w:sz w:val="20"/>
          <w:szCs w:val="20"/>
        </w:rPr>
        <w:t xml:space="preserve"> The </w:t>
      </w:r>
      <w:r w:rsidR="1492422A" w:rsidRPr="00306F4D">
        <w:rPr>
          <w:rFonts w:ascii="Arial" w:eastAsia="Arial" w:hAnsi="Arial" w:cs="Arial"/>
          <w:sz w:val="20"/>
          <w:szCs w:val="20"/>
        </w:rPr>
        <w:t xml:space="preserve">drier, </w:t>
      </w:r>
      <w:r w:rsidR="11CCBB61" w:rsidRPr="00306F4D">
        <w:rPr>
          <w:rFonts w:ascii="Arial" w:eastAsia="Arial" w:hAnsi="Arial" w:cs="Arial"/>
          <w:sz w:val="20"/>
          <w:szCs w:val="20"/>
        </w:rPr>
        <w:t>n</w:t>
      </w:r>
      <w:r w:rsidR="61495EBE" w:rsidRPr="00306F4D">
        <w:rPr>
          <w:rFonts w:ascii="Arial" w:eastAsia="Arial" w:hAnsi="Arial" w:cs="Arial"/>
          <w:sz w:val="20"/>
          <w:szCs w:val="20"/>
        </w:rPr>
        <w:t xml:space="preserve">orthern </w:t>
      </w:r>
      <w:r w:rsidRPr="00306F4D">
        <w:rPr>
          <w:rFonts w:ascii="Arial" w:eastAsia="Arial" w:hAnsi="Arial" w:cs="Arial"/>
          <w:sz w:val="20"/>
          <w:szCs w:val="20"/>
        </w:rPr>
        <w:t xml:space="preserve">Pannonian </w:t>
      </w:r>
      <w:r w:rsidR="4AD6A43B" w:rsidRPr="00306F4D">
        <w:rPr>
          <w:rFonts w:ascii="Arial" w:eastAsia="Arial" w:hAnsi="Arial" w:cs="Arial"/>
          <w:sz w:val="20"/>
          <w:szCs w:val="20"/>
        </w:rPr>
        <w:t>Plain area</w:t>
      </w:r>
      <w:r w:rsidRPr="00306F4D">
        <w:rPr>
          <w:rFonts w:ascii="Arial" w:eastAsia="Arial" w:hAnsi="Arial" w:cs="Arial"/>
          <w:sz w:val="20"/>
          <w:szCs w:val="20"/>
        </w:rPr>
        <w:t xml:space="preserve">, receives average annual precipitation </w:t>
      </w:r>
      <w:r w:rsidR="4D976D40" w:rsidRPr="00306F4D">
        <w:rPr>
          <w:rFonts w:ascii="Arial" w:eastAsia="Arial" w:hAnsi="Arial" w:cs="Arial"/>
          <w:sz w:val="20"/>
          <w:szCs w:val="20"/>
        </w:rPr>
        <w:t>approximately</w:t>
      </w:r>
      <w:r w:rsidR="61495EBE" w:rsidRPr="00306F4D">
        <w:rPr>
          <w:rFonts w:ascii="Arial" w:eastAsia="Arial" w:hAnsi="Arial" w:cs="Arial"/>
          <w:sz w:val="20"/>
          <w:szCs w:val="20"/>
        </w:rPr>
        <w:t xml:space="preserve"> </w:t>
      </w:r>
      <w:r w:rsidRPr="00306F4D">
        <w:rPr>
          <w:rFonts w:ascii="Arial" w:eastAsia="Arial" w:hAnsi="Arial" w:cs="Arial"/>
          <w:sz w:val="20"/>
          <w:szCs w:val="20"/>
        </w:rPr>
        <w:t xml:space="preserve">of from </w:t>
      </w:r>
      <w:r w:rsidR="486154BA" w:rsidRPr="00306F4D">
        <w:rPr>
          <w:rFonts w:ascii="Arial" w:eastAsia="Arial" w:hAnsi="Arial" w:cs="Arial"/>
          <w:sz w:val="20"/>
          <w:szCs w:val="20"/>
        </w:rPr>
        <w:t>60</w:t>
      </w:r>
      <w:r w:rsidR="61495EBE" w:rsidRPr="00306F4D">
        <w:rPr>
          <w:rFonts w:ascii="Arial" w:eastAsia="Arial" w:hAnsi="Arial" w:cs="Arial"/>
          <w:sz w:val="20"/>
          <w:szCs w:val="20"/>
        </w:rPr>
        <w:t>0</w:t>
      </w:r>
      <w:r w:rsidRPr="00306F4D">
        <w:rPr>
          <w:rFonts w:ascii="Arial" w:eastAsia="Arial" w:hAnsi="Arial" w:cs="Arial"/>
          <w:sz w:val="20"/>
          <w:szCs w:val="20"/>
        </w:rPr>
        <w:t xml:space="preserve"> to 1,050 mm.</w:t>
      </w:r>
      <w:r w:rsidR="00D7067C" w:rsidRPr="00306F4D">
        <w:rPr>
          <w:rFonts w:ascii="Arial" w:eastAsia="Arial" w:hAnsi="Arial" w:cs="Arial"/>
          <w:sz w:val="20"/>
          <w:szCs w:val="20"/>
          <w:vertAlign w:val="superscript"/>
        </w:rPr>
        <w:footnoteReference w:id="41"/>
      </w:r>
      <w:r w:rsidRPr="00306F4D">
        <w:rPr>
          <w:rFonts w:ascii="Arial" w:eastAsia="Arial" w:hAnsi="Arial" w:cs="Arial"/>
          <w:sz w:val="20"/>
          <w:szCs w:val="20"/>
        </w:rPr>
        <w:t xml:space="preserve"> The southwestern coastal areas can experience up to 5,000 mm.</w:t>
      </w:r>
      <w:r w:rsidR="00D7067C" w:rsidRPr="00306F4D">
        <w:rPr>
          <w:rFonts w:ascii="Arial" w:eastAsia="Arial" w:hAnsi="Arial" w:cs="Arial"/>
          <w:sz w:val="20"/>
          <w:szCs w:val="20"/>
          <w:vertAlign w:val="superscript"/>
        </w:rPr>
        <w:footnoteReference w:id="42"/>
      </w:r>
      <w:r w:rsidR="61495EBE" w:rsidRPr="00306F4D">
        <w:rPr>
          <w:rFonts w:ascii="Arial" w:eastAsia="Arial" w:hAnsi="Arial" w:cs="Arial"/>
          <w:sz w:val="20"/>
          <w:szCs w:val="20"/>
        </w:rPr>
        <w:t xml:space="preserve"> </w:t>
      </w:r>
      <w:r w:rsidR="4D2F1CB3" w:rsidRPr="00306F4D">
        <w:rPr>
          <w:rFonts w:ascii="Arial" w:eastAsia="Arial" w:hAnsi="Arial" w:cs="Arial"/>
          <w:sz w:val="20"/>
          <w:szCs w:val="20"/>
        </w:rPr>
        <w:t>The Dinaric Mountains form a topographic barrier that affects the precipitation pattern of the Balkan Peninsula</w:t>
      </w:r>
      <w:r w:rsidR="5FEEE662" w:rsidRPr="00306F4D">
        <w:rPr>
          <w:rFonts w:ascii="Arial" w:eastAsia="Arial" w:hAnsi="Arial" w:cs="Arial"/>
          <w:sz w:val="20"/>
          <w:szCs w:val="20"/>
        </w:rPr>
        <w:t>,</w:t>
      </w:r>
      <w:r w:rsidR="4D2F1CB3" w:rsidRPr="00306F4D">
        <w:rPr>
          <w:rFonts w:ascii="Arial" w:eastAsia="Arial" w:hAnsi="Arial" w:cs="Arial"/>
          <w:sz w:val="20"/>
          <w:szCs w:val="20"/>
        </w:rPr>
        <w:t xml:space="preserve"> with the west-facing side receiving large amounts of rainfall,</w:t>
      </w:r>
      <w:r w:rsidR="00D7067C" w:rsidRPr="00306F4D">
        <w:rPr>
          <w:rFonts w:ascii="Arial" w:eastAsia="Arial" w:hAnsi="Arial" w:cs="Arial"/>
          <w:sz w:val="20"/>
          <w:szCs w:val="20"/>
          <w:vertAlign w:val="superscript"/>
        </w:rPr>
        <w:footnoteReference w:id="43"/>
      </w:r>
      <w:r w:rsidR="4D2F1CB3" w:rsidRPr="00306F4D">
        <w:rPr>
          <w:rFonts w:ascii="Arial" w:eastAsia="Arial" w:hAnsi="Arial" w:cs="Arial"/>
          <w:sz w:val="20"/>
          <w:szCs w:val="20"/>
        </w:rPr>
        <w:t xml:space="preserve"> the </w:t>
      </w:r>
      <w:r w:rsidR="61495EBE" w:rsidRPr="00306F4D">
        <w:rPr>
          <w:rFonts w:ascii="Arial" w:eastAsia="Arial" w:hAnsi="Arial" w:cs="Arial"/>
          <w:sz w:val="20"/>
          <w:szCs w:val="20"/>
        </w:rPr>
        <w:t xml:space="preserve">mountainous </w:t>
      </w:r>
      <w:r w:rsidR="61495EBE" w:rsidRPr="00306F4D">
        <w:rPr>
          <w:rFonts w:ascii="Arial" w:eastAsia="Arial" w:hAnsi="Arial" w:cs="Arial"/>
          <w:sz w:val="20"/>
          <w:szCs w:val="20"/>
        </w:rPr>
        <w:lastRenderedPageBreak/>
        <w:t xml:space="preserve">areas, particularly the Dinaric Alps, </w:t>
      </w:r>
      <w:r w:rsidR="79014868" w:rsidRPr="00306F4D">
        <w:rPr>
          <w:rFonts w:ascii="Arial" w:eastAsia="Arial" w:hAnsi="Arial" w:cs="Arial"/>
          <w:sz w:val="20"/>
          <w:szCs w:val="20"/>
        </w:rPr>
        <w:t>receiving</w:t>
      </w:r>
      <w:r w:rsidR="61495EBE" w:rsidRPr="00306F4D">
        <w:rPr>
          <w:rFonts w:ascii="Arial" w:eastAsia="Arial" w:hAnsi="Arial" w:cs="Arial"/>
          <w:sz w:val="20"/>
          <w:szCs w:val="20"/>
        </w:rPr>
        <w:t xml:space="preserve"> higher amounts of precipitation</w:t>
      </w:r>
      <w:r w:rsidR="1A58B49F" w:rsidRPr="00306F4D">
        <w:rPr>
          <w:rFonts w:ascii="Arial" w:eastAsia="Arial" w:hAnsi="Arial" w:cs="Arial"/>
          <w:sz w:val="20"/>
          <w:szCs w:val="20"/>
        </w:rPr>
        <w:t>,</w:t>
      </w:r>
      <w:r w:rsidR="00D7067C" w:rsidRPr="00306F4D">
        <w:rPr>
          <w:rFonts w:ascii="Arial" w:eastAsia="Arial" w:hAnsi="Arial" w:cs="Arial"/>
          <w:sz w:val="20"/>
          <w:szCs w:val="20"/>
          <w:vertAlign w:val="superscript"/>
        </w:rPr>
        <w:footnoteReference w:id="44"/>
      </w:r>
      <w:r w:rsidR="11DE9625" w:rsidRPr="00306F4D">
        <w:rPr>
          <w:rFonts w:ascii="Arial" w:eastAsia="Arial" w:hAnsi="Arial" w:cs="Arial"/>
          <w:sz w:val="20"/>
          <w:szCs w:val="20"/>
        </w:rPr>
        <w:t xml:space="preserve"> and the east-facing</w:t>
      </w:r>
      <w:r w:rsidR="1E754291" w:rsidRPr="00306F4D">
        <w:rPr>
          <w:rFonts w:ascii="Arial" w:eastAsia="Arial" w:hAnsi="Arial" w:cs="Arial"/>
          <w:sz w:val="20"/>
          <w:szCs w:val="20"/>
        </w:rPr>
        <w:t xml:space="preserve">, agriculturally-endowed </w:t>
      </w:r>
      <w:r w:rsidR="11DE9625" w:rsidRPr="00306F4D">
        <w:rPr>
          <w:rFonts w:ascii="Arial" w:eastAsia="Arial" w:hAnsi="Arial" w:cs="Arial"/>
          <w:sz w:val="20"/>
          <w:szCs w:val="20"/>
        </w:rPr>
        <w:t>side semi-</w:t>
      </w:r>
      <w:r w:rsidR="3D18B0AE" w:rsidRPr="00306F4D">
        <w:rPr>
          <w:rFonts w:ascii="Arial" w:eastAsia="Arial" w:hAnsi="Arial" w:cs="Arial"/>
          <w:sz w:val="20"/>
          <w:szCs w:val="20"/>
        </w:rPr>
        <w:t xml:space="preserve">arid and </w:t>
      </w:r>
      <w:r w:rsidR="75E6D2C3" w:rsidRPr="00306F4D">
        <w:rPr>
          <w:rFonts w:ascii="Arial" w:eastAsia="Arial" w:hAnsi="Arial" w:cs="Arial"/>
          <w:sz w:val="20"/>
          <w:szCs w:val="20"/>
        </w:rPr>
        <w:t xml:space="preserve">in </w:t>
      </w:r>
      <w:r w:rsidR="3D18B0AE" w:rsidRPr="00306F4D">
        <w:rPr>
          <w:rFonts w:ascii="Arial" w:eastAsia="Arial" w:hAnsi="Arial" w:cs="Arial"/>
          <w:sz w:val="20"/>
          <w:szCs w:val="20"/>
        </w:rPr>
        <w:t>seasonal</w:t>
      </w:r>
      <w:r w:rsidR="3D920736" w:rsidRPr="00306F4D">
        <w:rPr>
          <w:rFonts w:ascii="Arial" w:eastAsia="Arial" w:hAnsi="Arial" w:cs="Arial"/>
          <w:sz w:val="20"/>
          <w:szCs w:val="20"/>
        </w:rPr>
        <w:t xml:space="preserve"> and increasing</w:t>
      </w:r>
      <w:r w:rsidR="3D18B0AE" w:rsidRPr="00306F4D">
        <w:rPr>
          <w:rFonts w:ascii="Arial" w:eastAsia="Arial" w:hAnsi="Arial" w:cs="Arial"/>
          <w:sz w:val="20"/>
          <w:szCs w:val="20"/>
        </w:rPr>
        <w:t xml:space="preserve"> drought,</w:t>
      </w:r>
      <w:r w:rsidR="00D7067C" w:rsidRPr="00306F4D">
        <w:rPr>
          <w:rFonts w:ascii="Arial" w:eastAsia="Arial" w:hAnsi="Arial" w:cs="Arial"/>
          <w:sz w:val="20"/>
          <w:szCs w:val="20"/>
          <w:vertAlign w:val="superscript"/>
        </w:rPr>
        <w:footnoteReference w:id="45"/>
      </w:r>
      <w:r w:rsidR="2B6523F3" w:rsidRPr="00306F4D">
        <w:rPr>
          <w:rFonts w:ascii="Arial" w:eastAsia="Arial" w:hAnsi="Arial" w:cs="Arial"/>
          <w:sz w:val="20"/>
          <w:szCs w:val="20"/>
        </w:rPr>
        <w:t xml:space="preserve"> as shown in Figure 5.</w:t>
      </w:r>
    </w:p>
    <w:p w14:paraId="3F393424" w14:textId="3857C7BF" w:rsidR="00D7067C" w:rsidRPr="00306F4D" w:rsidRDefault="19A75A43" w:rsidP="02E2BB75">
      <w:pPr>
        <w:tabs>
          <w:tab w:val="left" w:pos="360"/>
        </w:tabs>
        <w:spacing w:before="120" w:after="240" w:line="276" w:lineRule="auto"/>
        <w:jc w:val="both"/>
        <w:rPr>
          <w:rFonts w:ascii="Arial" w:eastAsia="Arial" w:hAnsi="Arial" w:cs="Arial"/>
          <w:b/>
          <w:bCs/>
          <w:color w:val="000000" w:themeColor="text1"/>
          <w:sz w:val="20"/>
          <w:szCs w:val="20"/>
          <w:lang w:val="en-GB"/>
        </w:rPr>
      </w:pPr>
      <w:bookmarkStart w:id="19" w:name="_Toc201659496"/>
      <w:r w:rsidRPr="00306F4D">
        <w:rPr>
          <w:rFonts w:ascii="Arial" w:eastAsia="Arial" w:hAnsi="Arial" w:cs="Arial"/>
          <w:b/>
          <w:bCs/>
          <w:sz w:val="20"/>
          <w:szCs w:val="20"/>
          <w:lang w:val="en-GB"/>
        </w:rPr>
        <w:t>Observed Climate Change</w:t>
      </w:r>
      <w:bookmarkEnd w:id="19"/>
    </w:p>
    <w:p w14:paraId="4EA08215" w14:textId="71ACE8F1" w:rsidR="00D7067C" w:rsidRPr="00306F4D" w:rsidRDefault="4774CA41" w:rsidP="02E2BB75">
      <w:pPr>
        <w:tabs>
          <w:tab w:val="left" w:pos="360"/>
        </w:tabs>
        <w:spacing w:before="120" w:after="240" w:line="276" w:lineRule="auto"/>
        <w:jc w:val="both"/>
        <w:rPr>
          <w:rFonts w:ascii="Arial" w:eastAsia="Arial" w:hAnsi="Arial" w:cs="Arial"/>
          <w:b/>
          <w:bCs/>
          <w:color w:val="000000" w:themeColor="text1"/>
          <w:sz w:val="20"/>
          <w:szCs w:val="20"/>
          <w:lang w:val="en-GB"/>
        </w:rPr>
      </w:pPr>
      <w:r w:rsidRPr="00306F4D">
        <w:rPr>
          <w:rFonts w:ascii="Arial" w:eastAsia="Arial" w:hAnsi="Arial" w:cs="Arial"/>
          <w:sz w:val="20"/>
          <w:szCs w:val="20"/>
        </w:rPr>
        <w:t xml:space="preserve">1) </w:t>
      </w:r>
      <w:bookmarkStart w:id="20" w:name="_Toc201580335"/>
      <w:bookmarkStart w:id="21" w:name="_Toc201659497"/>
      <w:r w:rsidR="19A75A43" w:rsidRPr="00306F4D">
        <w:rPr>
          <w:rFonts w:ascii="Arial" w:eastAsia="Arial" w:hAnsi="Arial" w:cs="Arial"/>
          <w:sz w:val="20"/>
          <w:szCs w:val="20"/>
          <w:lang w:val="en-GB"/>
        </w:rPr>
        <w:t>Temperature (+1.2°C Average Rise</w:t>
      </w:r>
      <w:bookmarkEnd w:id="20"/>
      <w:bookmarkEnd w:id="21"/>
      <w:r w:rsidR="19A75A43" w:rsidRPr="00306F4D">
        <w:rPr>
          <w:rFonts w:ascii="Arial" w:eastAsia="Arial" w:hAnsi="Arial" w:cs="Arial"/>
          <w:sz w:val="20"/>
          <w:szCs w:val="20"/>
          <w:lang w:val="en-GB"/>
        </w:rPr>
        <w:t>)</w:t>
      </w:r>
    </w:p>
    <w:p w14:paraId="7EAB309F" w14:textId="39CFC62F" w:rsidR="00D7067C" w:rsidRPr="00306F4D" w:rsidRDefault="52DA0754" w:rsidP="00D7067C">
      <w:pPr>
        <w:tabs>
          <w:tab w:val="left" w:pos="360"/>
        </w:tabs>
        <w:autoSpaceDE w:val="0"/>
        <w:autoSpaceDN w:val="0"/>
        <w:adjustRightInd w:val="0"/>
        <w:spacing w:before="120" w:after="240" w:line="276" w:lineRule="auto"/>
        <w:jc w:val="both"/>
        <w:rPr>
          <w:rFonts w:ascii="Arial" w:eastAsia="Arial" w:hAnsi="Arial" w:cs="Arial"/>
          <w:sz w:val="20"/>
          <w:szCs w:val="20"/>
        </w:rPr>
      </w:pPr>
      <w:r w:rsidRPr="00306F4D">
        <w:rPr>
          <w:rFonts w:ascii="Arial" w:eastAsia="Arial" w:hAnsi="Arial" w:cs="Arial"/>
          <w:sz w:val="20"/>
          <w:szCs w:val="20"/>
        </w:rPr>
        <w:t>The Western Balkans region has already experienced a noticeable increase in average temperatures of 1.2°C,</w:t>
      </w:r>
      <w:r w:rsidR="00D7067C" w:rsidRPr="00306F4D">
        <w:rPr>
          <w:rFonts w:ascii="Arial" w:eastAsia="Arial" w:hAnsi="Arial" w:cs="Arial"/>
          <w:sz w:val="20"/>
          <w:szCs w:val="20"/>
          <w:vertAlign w:val="superscript"/>
        </w:rPr>
        <w:footnoteReference w:id="46"/>
      </w:r>
      <w:r w:rsidRPr="00306F4D">
        <w:rPr>
          <w:rFonts w:ascii="Arial" w:eastAsia="Arial" w:hAnsi="Arial" w:cs="Arial"/>
          <w:sz w:val="20"/>
          <w:szCs w:val="20"/>
        </w:rPr>
        <w:t xml:space="preserve"> </w:t>
      </w:r>
      <w:r w:rsidR="61092992" w:rsidRPr="00306F4D">
        <w:rPr>
          <w:rFonts w:ascii="Arial" w:eastAsia="Arial" w:hAnsi="Arial" w:cs="Arial"/>
          <w:sz w:val="20"/>
          <w:szCs w:val="20"/>
        </w:rPr>
        <w:t>compared</w:t>
      </w:r>
      <w:r w:rsidRPr="00306F4D">
        <w:rPr>
          <w:rFonts w:ascii="Arial" w:eastAsia="Arial" w:hAnsi="Arial" w:cs="Arial"/>
          <w:sz w:val="20"/>
          <w:szCs w:val="20"/>
        </w:rPr>
        <w:t xml:space="preserve"> to the baseline, pre-industrial climate period of 1961-1980,</w:t>
      </w:r>
      <w:bookmarkStart w:id="22" w:name="_Ref201922931"/>
      <w:r w:rsidR="00D7067C" w:rsidRPr="00306F4D">
        <w:rPr>
          <w:rStyle w:val="FootnoteReference"/>
          <w:rFonts w:ascii="Arial" w:eastAsia="Arial" w:hAnsi="Arial" w:cs="Arial"/>
          <w:sz w:val="20"/>
          <w:szCs w:val="20"/>
        </w:rPr>
        <w:footnoteReference w:id="47"/>
      </w:r>
      <w:bookmarkEnd w:id="22"/>
      <w:r w:rsidRPr="00306F4D">
        <w:rPr>
          <w:rFonts w:ascii="Arial" w:eastAsia="Arial" w:hAnsi="Arial" w:cs="Arial"/>
          <w:sz w:val="20"/>
          <w:szCs w:val="20"/>
        </w:rPr>
        <w:t xml:space="preserve"> with some areas experiencing a more pronounced warming trend, an increase in the number of days over 40°C,</w:t>
      </w:r>
      <w:r w:rsidR="00D7067C" w:rsidRPr="00306F4D">
        <w:rPr>
          <w:rFonts w:ascii="Arial" w:eastAsia="Arial" w:hAnsi="Arial" w:cs="Arial"/>
          <w:sz w:val="20"/>
          <w:szCs w:val="20"/>
          <w:vertAlign w:val="superscript"/>
        </w:rPr>
        <w:footnoteReference w:id="48"/>
      </w:r>
      <w:r w:rsidRPr="00306F4D">
        <w:rPr>
          <w:rFonts w:ascii="Arial" w:eastAsia="Arial" w:hAnsi="Arial" w:cs="Arial"/>
          <w:sz w:val="20"/>
          <w:szCs w:val="20"/>
        </w:rPr>
        <w:t xml:space="preserve"> and/or an increase in the frequency and severity of heatwaves. The observed mean annual temperature increase since the pre-industrial baseline period is approximately 2-2.5°</w:t>
      </w:r>
      <w:proofErr w:type="spellStart"/>
      <w:r w:rsidRPr="00306F4D">
        <w:rPr>
          <w:rFonts w:ascii="Arial" w:eastAsia="Arial" w:hAnsi="Arial" w:cs="Arial"/>
          <w:sz w:val="20"/>
          <w:szCs w:val="20"/>
        </w:rPr>
        <w:t>C over</w:t>
      </w:r>
      <w:proofErr w:type="spellEnd"/>
      <w:r w:rsidRPr="00306F4D">
        <w:rPr>
          <w:rFonts w:ascii="Arial" w:eastAsia="Arial" w:hAnsi="Arial" w:cs="Arial"/>
          <w:sz w:val="20"/>
          <w:szCs w:val="20"/>
        </w:rPr>
        <w:t xml:space="preserve"> the region, mainly in: Bosnia and Herzegovina, Montenegro and Serbia.</w:t>
      </w:r>
      <w:r w:rsidR="00D7067C" w:rsidRPr="00306F4D">
        <w:rPr>
          <w:rFonts w:ascii="Arial" w:eastAsia="Arial" w:hAnsi="Arial" w:cs="Arial"/>
          <w:sz w:val="20"/>
          <w:szCs w:val="20"/>
          <w:vertAlign w:val="superscript"/>
        </w:rPr>
        <w:footnoteReference w:id="49"/>
      </w:r>
      <w:r w:rsidRPr="00306F4D">
        <w:rPr>
          <w:rFonts w:ascii="Arial" w:eastAsia="Arial" w:hAnsi="Arial" w:cs="Arial"/>
          <w:sz w:val="20"/>
          <w:szCs w:val="20"/>
        </w:rPr>
        <w:t xml:space="preserve"> Moreover, the observed change in average </w:t>
      </w:r>
      <w:r w:rsidRPr="00306F4D">
        <w:rPr>
          <w:rFonts w:ascii="Arial" w:eastAsia="Arial" w:hAnsi="Arial" w:cs="Arial"/>
          <w:i/>
          <w:iCs/>
          <w:sz w:val="20"/>
          <w:szCs w:val="20"/>
        </w:rPr>
        <w:t>maximum</w:t>
      </w:r>
      <w:r w:rsidRPr="00306F4D">
        <w:rPr>
          <w:rFonts w:ascii="Arial" w:eastAsia="Arial" w:hAnsi="Arial" w:cs="Arial"/>
          <w:sz w:val="20"/>
          <w:szCs w:val="20"/>
        </w:rPr>
        <w:t xml:space="preserve"> temperature increase has been far more pronounced than average minimum, with values of highest increase over 2.5°C, mostly over, </w:t>
      </w:r>
      <w:r w:rsidR="7E7F8EB1" w:rsidRPr="00306F4D">
        <w:rPr>
          <w:rFonts w:ascii="Arial" w:eastAsia="Arial" w:hAnsi="Arial" w:cs="Arial"/>
          <w:sz w:val="20"/>
          <w:szCs w:val="20"/>
        </w:rPr>
        <w:t>in</w:t>
      </w:r>
      <w:r w:rsidRPr="00306F4D">
        <w:rPr>
          <w:rFonts w:ascii="Arial" w:eastAsia="Arial" w:hAnsi="Arial" w:cs="Arial"/>
          <w:sz w:val="20"/>
          <w:szCs w:val="20"/>
        </w:rPr>
        <w:t xml:space="preserve"> Bosnia and Herzegovina, Montenegro and some parts of Serbia</w:t>
      </w:r>
      <w:r w:rsidR="7BD02B21" w:rsidRPr="00306F4D">
        <w:rPr>
          <w:rFonts w:ascii="Arial" w:eastAsia="Arial" w:hAnsi="Arial" w:cs="Arial"/>
          <w:sz w:val="20"/>
          <w:szCs w:val="20"/>
        </w:rPr>
        <w:t xml:space="preserve"> </w:t>
      </w:r>
      <w:r w:rsidRPr="00306F4D">
        <w:rPr>
          <w:rFonts w:ascii="Arial" w:eastAsia="Arial" w:hAnsi="Arial" w:cs="Arial"/>
          <w:sz w:val="20"/>
          <w:szCs w:val="20"/>
        </w:rPr>
        <w:t>(</w:t>
      </w:r>
      <w:r w:rsidR="7BD02B21" w:rsidRPr="00306F4D">
        <w:rPr>
          <w:rFonts w:ascii="Arial" w:eastAsia="Arial" w:hAnsi="Arial" w:cs="Arial"/>
          <w:b/>
          <w:bCs/>
          <w:sz w:val="20"/>
          <w:szCs w:val="20"/>
        </w:rPr>
        <w:t>Figure 6</w:t>
      </w:r>
      <w:r w:rsidRPr="00306F4D">
        <w:rPr>
          <w:rFonts w:ascii="Arial" w:eastAsia="Arial" w:hAnsi="Arial" w:cs="Arial"/>
          <w:sz w:val="20"/>
          <w:szCs w:val="20"/>
        </w:rPr>
        <w:t>).</w:t>
      </w:r>
      <w:r w:rsidR="00D7067C" w:rsidRPr="00306F4D">
        <w:rPr>
          <w:rFonts w:ascii="Arial" w:eastAsia="Arial" w:hAnsi="Arial" w:cs="Arial"/>
          <w:sz w:val="20"/>
          <w:szCs w:val="20"/>
          <w:vertAlign w:val="superscript"/>
        </w:rPr>
        <w:footnoteReference w:id="50"/>
      </w:r>
    </w:p>
    <w:p w14:paraId="2DB9C73F" w14:textId="3CB4333B" w:rsidR="0045480F" w:rsidRPr="00306F4D" w:rsidRDefault="7B9640E7" w:rsidP="46F23532">
      <w:pPr>
        <w:tabs>
          <w:tab w:val="left" w:pos="360"/>
        </w:tabs>
        <w:spacing w:after="0" w:line="240" w:lineRule="auto"/>
        <w:jc w:val="center"/>
        <w:rPr>
          <w:rFonts w:ascii="Arial" w:eastAsia="Arial" w:hAnsi="Arial" w:cs="Arial"/>
          <w:sz w:val="20"/>
          <w:szCs w:val="20"/>
        </w:rPr>
      </w:pPr>
      <w:r w:rsidRPr="00306F4D">
        <w:rPr>
          <w:noProof/>
        </w:rPr>
        <w:drawing>
          <wp:inline distT="0" distB="0" distL="0" distR="0" wp14:anchorId="0A9FD6F1" wp14:editId="24C50D8C">
            <wp:extent cx="4893972" cy="2376400"/>
            <wp:effectExtent l="0" t="0" r="0" b="0"/>
            <wp:docPr id="678532568" name="Picture 678532568" descr="Picture 1,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532568"/>
                    <pic:cNvPicPr/>
                  </pic:nvPicPr>
                  <pic:blipFill>
                    <a:blip r:embed="rId17">
                      <a:extLst>
                        <a:ext uri="{28A0092B-C50C-407E-A947-70E740481C1C}">
                          <a14:useLocalDpi xmlns:a14="http://schemas.microsoft.com/office/drawing/2010/main" val="0"/>
                        </a:ext>
                      </a:extLst>
                    </a:blip>
                    <a:stretch>
                      <a:fillRect/>
                    </a:stretch>
                  </pic:blipFill>
                  <pic:spPr>
                    <a:xfrm>
                      <a:off x="0" y="0"/>
                      <a:ext cx="4893972" cy="2376400"/>
                    </a:xfrm>
                    <a:prstGeom prst="rect">
                      <a:avLst/>
                    </a:prstGeom>
                  </pic:spPr>
                </pic:pic>
              </a:graphicData>
            </a:graphic>
          </wp:inline>
        </w:drawing>
      </w:r>
      <w:bookmarkStart w:id="23" w:name="_Ref201608421"/>
      <w:r w:rsidR="00680E77" w:rsidRPr="00306F4D">
        <w:rPr>
          <w:rFonts w:ascii="Arial" w:eastAsia="Arial" w:hAnsi="Arial" w:cs="Arial"/>
          <w:b/>
          <w:bCs/>
          <w:sz w:val="16"/>
          <w:szCs w:val="16"/>
        </w:rPr>
        <w:tab/>
      </w:r>
      <w:r w:rsidR="00680E77" w:rsidRPr="00306F4D">
        <w:rPr>
          <w:rFonts w:ascii="Arial" w:eastAsia="Arial" w:hAnsi="Arial" w:cs="Arial"/>
          <w:b/>
          <w:bCs/>
          <w:sz w:val="16"/>
          <w:szCs w:val="16"/>
        </w:rPr>
        <w:tab/>
      </w:r>
      <w:r w:rsidR="00680E77" w:rsidRPr="00306F4D">
        <w:rPr>
          <w:rFonts w:ascii="Arial" w:eastAsia="Arial" w:hAnsi="Arial" w:cs="Arial"/>
          <w:b/>
          <w:bCs/>
          <w:sz w:val="16"/>
          <w:szCs w:val="16"/>
        </w:rPr>
        <w:tab/>
      </w:r>
      <w:r w:rsidR="00680E77" w:rsidRPr="00306F4D">
        <w:rPr>
          <w:rFonts w:ascii="Arial" w:eastAsia="Arial" w:hAnsi="Arial" w:cs="Arial"/>
          <w:b/>
          <w:bCs/>
          <w:sz w:val="16"/>
          <w:szCs w:val="16"/>
        </w:rPr>
        <w:tab/>
      </w:r>
      <w:r w:rsidR="22408918" w:rsidRPr="00306F4D">
        <w:rPr>
          <w:rFonts w:ascii="Arial" w:eastAsia="Arial" w:hAnsi="Arial" w:cs="Arial"/>
          <w:b/>
          <w:bCs/>
          <w:sz w:val="16"/>
          <w:szCs w:val="16"/>
        </w:rPr>
        <w:t xml:space="preserve">Figure </w:t>
      </w:r>
      <w:r w:rsidR="00F9233F" w:rsidRPr="00306F4D">
        <w:rPr>
          <w:rFonts w:ascii="Arial" w:eastAsia="Arial" w:hAnsi="Arial" w:cs="Arial"/>
          <w:sz w:val="16"/>
          <w:szCs w:val="16"/>
        </w:rPr>
        <w:fldChar w:fldCharType="begin"/>
      </w:r>
      <w:r w:rsidR="00F9233F" w:rsidRPr="00306F4D">
        <w:rPr>
          <w:rFonts w:ascii="Arial" w:eastAsia="Arial" w:hAnsi="Arial" w:cs="Arial"/>
          <w:sz w:val="16"/>
          <w:szCs w:val="16"/>
        </w:rPr>
        <w:instrText xml:space="preserve"> SEQ Figure \* ARABIC </w:instrText>
      </w:r>
      <w:r w:rsidR="00F9233F" w:rsidRPr="00306F4D">
        <w:rPr>
          <w:rFonts w:ascii="Arial" w:eastAsia="Arial" w:hAnsi="Arial" w:cs="Arial"/>
          <w:sz w:val="16"/>
          <w:szCs w:val="16"/>
        </w:rPr>
        <w:fldChar w:fldCharType="separate"/>
      </w:r>
      <w:r w:rsidR="5FD403A1" w:rsidRPr="00306F4D">
        <w:rPr>
          <w:rFonts w:ascii="Arial" w:eastAsia="Arial" w:hAnsi="Arial" w:cs="Arial"/>
          <w:sz w:val="16"/>
          <w:szCs w:val="16"/>
        </w:rPr>
        <w:t>6</w:t>
      </w:r>
      <w:r w:rsidR="00F9233F" w:rsidRPr="00306F4D">
        <w:rPr>
          <w:rFonts w:ascii="Arial" w:eastAsia="Arial" w:hAnsi="Arial" w:cs="Arial"/>
          <w:sz w:val="16"/>
          <w:szCs w:val="16"/>
        </w:rPr>
        <w:fldChar w:fldCharType="end"/>
      </w:r>
      <w:bookmarkEnd w:id="23"/>
      <w:r w:rsidR="22408918" w:rsidRPr="00306F4D">
        <w:rPr>
          <w:rFonts w:ascii="Arial" w:eastAsia="Arial" w:hAnsi="Arial" w:cs="Arial"/>
          <w:b/>
          <w:bCs/>
          <w:sz w:val="16"/>
          <w:szCs w:val="16"/>
        </w:rPr>
        <w:t>. Observed Change in Temperature and Precipitation in Western Balkans Region (1961-2015).</w:t>
      </w:r>
    </w:p>
    <w:p w14:paraId="08755188" w14:textId="4FB7EEA0" w:rsidR="00D7067C" w:rsidRPr="00306F4D" w:rsidRDefault="52DA0754" w:rsidP="00D7067C">
      <w:pPr>
        <w:tabs>
          <w:tab w:val="left" w:pos="360"/>
        </w:tabs>
        <w:autoSpaceDE w:val="0"/>
        <w:autoSpaceDN w:val="0"/>
        <w:adjustRightInd w:val="0"/>
        <w:spacing w:before="120" w:after="240" w:line="276" w:lineRule="auto"/>
        <w:jc w:val="both"/>
        <w:rPr>
          <w:rFonts w:ascii="Arial" w:eastAsia="Arial" w:hAnsi="Arial" w:cs="Arial"/>
          <w:sz w:val="20"/>
          <w:szCs w:val="20"/>
        </w:rPr>
      </w:pPr>
      <w:r w:rsidRPr="00306F4D">
        <w:rPr>
          <w:rFonts w:ascii="Arial" w:eastAsia="Arial" w:hAnsi="Arial" w:cs="Arial"/>
          <w:sz w:val="20"/>
          <w:szCs w:val="20"/>
        </w:rPr>
        <w:t xml:space="preserve">This warming trend region-wide is expected to disproportionately affect sectors critical for the region’s livelihoods, </w:t>
      </w:r>
      <w:r w:rsidR="52DEA705" w:rsidRPr="00306F4D">
        <w:rPr>
          <w:rFonts w:ascii="Arial" w:eastAsia="Arial" w:hAnsi="Arial" w:cs="Arial"/>
          <w:sz w:val="20"/>
          <w:szCs w:val="20"/>
        </w:rPr>
        <w:t>resilience</w:t>
      </w:r>
      <w:r w:rsidRPr="00306F4D">
        <w:rPr>
          <w:rFonts w:ascii="Arial" w:eastAsia="Arial" w:hAnsi="Arial" w:cs="Arial"/>
          <w:sz w:val="20"/>
          <w:szCs w:val="20"/>
        </w:rPr>
        <w:t xml:space="preserve"> and health, particularly agriculture, forestry, water resources, and disease, due to increased heat waves, increased cardiovascular disease, and the potential spread of vector-borne diseases. However, the spatial distribution </w:t>
      </w:r>
      <w:r w:rsidR="2FECC41A" w:rsidRPr="00306F4D">
        <w:rPr>
          <w:rFonts w:ascii="Arial" w:eastAsia="Arial" w:hAnsi="Arial" w:cs="Arial"/>
          <w:sz w:val="20"/>
          <w:szCs w:val="20"/>
        </w:rPr>
        <w:t>of</w:t>
      </w:r>
      <w:r w:rsidRPr="00306F4D">
        <w:rPr>
          <w:rFonts w:ascii="Arial" w:eastAsia="Arial" w:hAnsi="Arial" w:cs="Arial"/>
          <w:sz w:val="20"/>
          <w:szCs w:val="20"/>
        </w:rPr>
        <w:t xml:space="preserve"> temperature increase is not uniform, with southern and central areas showing a smaller increase (0.5°C to 1.0°C), though higher annual averages, compared to northern areas (1.0°C to 1.5°C).</w:t>
      </w:r>
      <w:r w:rsidR="00D7067C" w:rsidRPr="00306F4D">
        <w:rPr>
          <w:rFonts w:ascii="Arial" w:eastAsia="Arial" w:hAnsi="Arial" w:cs="Arial"/>
          <w:sz w:val="20"/>
          <w:szCs w:val="20"/>
          <w:vertAlign w:val="superscript"/>
        </w:rPr>
        <w:footnoteReference w:id="51"/>
      </w:r>
      <w:r w:rsidRPr="00306F4D">
        <w:rPr>
          <w:rFonts w:ascii="Arial" w:eastAsia="Arial" w:hAnsi="Arial" w:cs="Arial"/>
          <w:sz w:val="20"/>
          <w:szCs w:val="20"/>
        </w:rPr>
        <w:t xml:space="preserve"> The seasonal </w:t>
      </w:r>
      <w:r w:rsidRPr="00306F4D">
        <w:rPr>
          <w:rFonts w:ascii="Arial" w:eastAsia="Arial" w:hAnsi="Arial" w:cs="Arial"/>
          <w:sz w:val="20"/>
          <w:szCs w:val="20"/>
        </w:rPr>
        <w:lastRenderedPageBreak/>
        <w:t>variation in observed temperature rise is also significant, with the most pronounced increases in the agriculturally critical summer months.</w:t>
      </w:r>
      <w:r w:rsidR="00D7067C" w:rsidRPr="00306F4D">
        <w:rPr>
          <w:rFonts w:ascii="Arial" w:eastAsia="Arial" w:hAnsi="Arial" w:cs="Arial"/>
          <w:sz w:val="20"/>
          <w:szCs w:val="20"/>
          <w:vertAlign w:val="superscript"/>
        </w:rPr>
        <w:footnoteReference w:id="52"/>
      </w:r>
    </w:p>
    <w:p w14:paraId="17C574FF" w14:textId="2C430907" w:rsidR="00D7067C" w:rsidRPr="00306F4D" w:rsidRDefault="52DA0754" w:rsidP="00D7067C">
      <w:pPr>
        <w:tabs>
          <w:tab w:val="left" w:pos="360"/>
        </w:tabs>
        <w:autoSpaceDE w:val="0"/>
        <w:autoSpaceDN w:val="0"/>
        <w:adjustRightInd w:val="0"/>
        <w:spacing w:before="120" w:after="240" w:line="276" w:lineRule="auto"/>
        <w:jc w:val="both"/>
        <w:rPr>
          <w:rFonts w:ascii="Arial" w:eastAsia="Arial" w:hAnsi="Arial" w:cs="Arial"/>
          <w:sz w:val="20"/>
          <w:szCs w:val="20"/>
        </w:rPr>
      </w:pPr>
      <w:r w:rsidRPr="00306F4D">
        <w:rPr>
          <w:rFonts w:ascii="Arial" w:eastAsia="Arial" w:hAnsi="Arial" w:cs="Arial"/>
          <w:sz w:val="20"/>
          <w:szCs w:val="20"/>
        </w:rPr>
        <w:t>Significant temperature increases began in the 1980s.</w:t>
      </w:r>
      <w:r w:rsidR="00D7067C" w:rsidRPr="00306F4D">
        <w:rPr>
          <w:rFonts w:ascii="Arial" w:eastAsia="Arial" w:hAnsi="Arial" w:cs="Arial"/>
          <w:sz w:val="20"/>
          <w:szCs w:val="20"/>
          <w:vertAlign w:val="superscript"/>
        </w:rPr>
        <w:footnoteReference w:id="53"/>
      </w:r>
      <w:r w:rsidRPr="00306F4D">
        <w:rPr>
          <w:rFonts w:ascii="Arial" w:eastAsia="Arial" w:hAnsi="Arial" w:cs="Arial"/>
          <w:sz w:val="20"/>
          <w:szCs w:val="20"/>
        </w:rPr>
        <w:t xml:space="preserve"> Moreover, the temperature over the whole region is increasing faster than the global average trend, with </w:t>
      </w:r>
      <w:r w:rsidR="78BAC983" w:rsidRPr="00306F4D">
        <w:rPr>
          <w:rFonts w:ascii="Arial" w:eastAsia="Arial" w:hAnsi="Arial" w:cs="Arial"/>
          <w:sz w:val="20"/>
          <w:szCs w:val="20"/>
        </w:rPr>
        <w:t xml:space="preserve">an </w:t>
      </w:r>
      <w:r w:rsidRPr="00306F4D">
        <w:rPr>
          <w:rFonts w:ascii="Arial" w:eastAsia="Arial" w:hAnsi="Arial" w:cs="Arial"/>
          <w:sz w:val="20"/>
          <w:szCs w:val="20"/>
        </w:rPr>
        <w:t>especially pronounced change in the summer season and accelerated increase of maximum temperature.</w:t>
      </w:r>
      <w:r w:rsidR="00D7067C" w:rsidRPr="00306F4D">
        <w:rPr>
          <w:rFonts w:ascii="Arial" w:eastAsia="Arial" w:hAnsi="Arial" w:cs="Arial"/>
          <w:sz w:val="20"/>
          <w:szCs w:val="20"/>
          <w:vertAlign w:val="superscript"/>
        </w:rPr>
        <w:footnoteReference w:id="54"/>
      </w:r>
      <w:r w:rsidRPr="00306F4D">
        <w:rPr>
          <w:rFonts w:ascii="Arial" w:eastAsia="Arial" w:hAnsi="Arial" w:cs="Arial"/>
          <w:sz w:val="20"/>
          <w:szCs w:val="20"/>
        </w:rPr>
        <w:t xml:space="preserve"> This highlights the alarming patterns </w:t>
      </w:r>
      <w:r w:rsidR="08B7C481" w:rsidRPr="00306F4D">
        <w:rPr>
          <w:rFonts w:ascii="Arial" w:eastAsia="Arial" w:hAnsi="Arial" w:cs="Arial"/>
          <w:sz w:val="20"/>
          <w:szCs w:val="20"/>
        </w:rPr>
        <w:t>of</w:t>
      </w:r>
      <w:r w:rsidRPr="00306F4D">
        <w:rPr>
          <w:rFonts w:ascii="Arial" w:eastAsia="Arial" w:hAnsi="Arial" w:cs="Arial"/>
          <w:sz w:val="20"/>
          <w:szCs w:val="20"/>
        </w:rPr>
        <w:t xml:space="preserve"> temperature and climate in the Western Balkans and the need for a robust, </w:t>
      </w:r>
      <w:proofErr w:type="gramStart"/>
      <w:r w:rsidRPr="00306F4D">
        <w:rPr>
          <w:rFonts w:ascii="Arial" w:eastAsia="Arial" w:hAnsi="Arial" w:cs="Arial"/>
          <w:sz w:val="20"/>
          <w:szCs w:val="20"/>
        </w:rPr>
        <w:t>locally-led</w:t>
      </w:r>
      <w:proofErr w:type="gramEnd"/>
      <w:r w:rsidRPr="00306F4D">
        <w:rPr>
          <w:rFonts w:ascii="Arial" w:eastAsia="Arial" w:hAnsi="Arial" w:cs="Arial"/>
          <w:sz w:val="20"/>
          <w:szCs w:val="20"/>
        </w:rPr>
        <w:t xml:space="preserve"> adaptation response.</w:t>
      </w:r>
    </w:p>
    <w:p w14:paraId="0D262305" w14:textId="0845DA68" w:rsidR="00D7067C" w:rsidRPr="00306F4D" w:rsidRDefault="00607165" w:rsidP="06186C37">
      <w:pPr>
        <w:pStyle w:val="Heading5"/>
        <w:rPr>
          <w:rFonts w:ascii="Arial" w:eastAsia="Arial" w:hAnsi="Arial" w:cs="Arial"/>
          <w:b/>
          <w:color w:val="000000" w:themeColor="text1"/>
          <w:sz w:val="20"/>
          <w:szCs w:val="20"/>
          <w:lang w:val="en-GB"/>
        </w:rPr>
      </w:pPr>
      <w:bookmarkStart w:id="24" w:name="_Toc201659498"/>
      <w:r w:rsidRPr="00306F4D">
        <w:rPr>
          <w:rFonts w:ascii="Arial" w:eastAsia="Arial" w:hAnsi="Arial" w:cs="Arial"/>
          <w:sz w:val="20"/>
          <w:szCs w:val="20"/>
          <w:lang w:val="en-GB"/>
        </w:rPr>
        <w:t xml:space="preserve">2) </w:t>
      </w:r>
      <w:r w:rsidR="00D7067C" w:rsidRPr="00306F4D">
        <w:rPr>
          <w:rFonts w:ascii="Arial" w:eastAsia="Arial" w:hAnsi="Arial" w:cs="Arial"/>
          <w:sz w:val="20"/>
          <w:szCs w:val="20"/>
          <w:lang w:val="en-GB"/>
        </w:rPr>
        <w:t>Precipitation (+0.2% to +17%).</w:t>
      </w:r>
      <w:bookmarkEnd w:id="24"/>
    </w:p>
    <w:p w14:paraId="0B1A3C21" w14:textId="252115C0" w:rsidR="00D7067C" w:rsidRPr="00306F4D" w:rsidRDefault="52DA0754" w:rsidP="00D7067C">
      <w:pPr>
        <w:tabs>
          <w:tab w:val="left" w:pos="360"/>
        </w:tabs>
        <w:autoSpaceDE w:val="0"/>
        <w:autoSpaceDN w:val="0"/>
        <w:adjustRightInd w:val="0"/>
        <w:spacing w:before="120" w:after="240" w:line="276" w:lineRule="auto"/>
        <w:jc w:val="both"/>
        <w:rPr>
          <w:rFonts w:ascii="Arial" w:eastAsia="Arial" w:hAnsi="Arial" w:cs="Arial"/>
          <w:sz w:val="20"/>
          <w:szCs w:val="20"/>
        </w:rPr>
      </w:pPr>
      <w:r w:rsidRPr="00306F4D">
        <w:rPr>
          <w:rFonts w:ascii="Arial" w:eastAsia="Arial" w:hAnsi="Arial" w:cs="Arial"/>
          <w:sz w:val="20"/>
          <w:szCs w:val="20"/>
        </w:rPr>
        <w:t>The observed changes in precipitation patterns since the pre-industrial, baseline climate period (1961-1980), include a mix of increases and decreases, with some areas experiencing more frequent heavy precipitation events, particularly in the east, north, and west (e.g., 15% of river stations in spring and 17% in autumn,</w:t>
      </w:r>
      <w:r w:rsidR="00D7067C" w:rsidRPr="00306F4D">
        <w:rPr>
          <w:rFonts w:ascii="Arial" w:eastAsia="Arial" w:hAnsi="Arial" w:cs="Arial"/>
          <w:sz w:val="20"/>
          <w:szCs w:val="20"/>
          <w:vertAlign w:val="superscript"/>
        </w:rPr>
        <w:footnoteReference w:id="55"/>
      </w:r>
      <w:r w:rsidRPr="00306F4D">
        <w:rPr>
          <w:rFonts w:ascii="Arial" w:eastAsia="Arial" w:hAnsi="Arial" w:cs="Arial"/>
          <w:sz w:val="20"/>
          <w:szCs w:val="20"/>
        </w:rPr>
        <w:t xml:space="preserve"> contributing to increasing severity of floods, which is discussed below), while other areas, especially in the Dinaric Alps</w:t>
      </w:r>
      <w:r w:rsidR="6D58D08A" w:rsidRPr="00306F4D">
        <w:rPr>
          <w:rFonts w:ascii="Arial" w:eastAsia="Arial" w:hAnsi="Arial" w:cs="Arial"/>
          <w:sz w:val="20"/>
          <w:szCs w:val="20"/>
        </w:rPr>
        <w:t xml:space="preserve">, </w:t>
      </w:r>
      <w:r w:rsidRPr="00306F4D">
        <w:rPr>
          <w:rFonts w:ascii="Arial" w:eastAsia="Arial" w:hAnsi="Arial" w:cs="Arial"/>
          <w:sz w:val="20"/>
          <w:szCs w:val="20"/>
        </w:rPr>
        <w:t>northern Albania</w:t>
      </w:r>
      <w:r w:rsidR="177BDB49" w:rsidRPr="00306F4D">
        <w:rPr>
          <w:rFonts w:ascii="Arial" w:eastAsia="Arial" w:hAnsi="Arial" w:cs="Arial"/>
          <w:sz w:val="20"/>
          <w:szCs w:val="20"/>
        </w:rPr>
        <w:t xml:space="preserve"> and the Pannonian Plain (</w:t>
      </w:r>
      <w:r w:rsidR="50C1EABE" w:rsidRPr="00306F4D">
        <w:rPr>
          <w:rFonts w:ascii="Arial" w:eastAsia="Arial" w:hAnsi="Arial" w:cs="Arial"/>
          <w:sz w:val="20"/>
          <w:szCs w:val="20"/>
        </w:rPr>
        <w:t>a significant decrease of up to</w:t>
      </w:r>
      <w:r w:rsidR="0AF8E169" w:rsidRPr="00306F4D">
        <w:rPr>
          <w:rFonts w:ascii="Arial" w:eastAsia="Arial" w:hAnsi="Arial" w:cs="Arial"/>
          <w:sz w:val="20"/>
          <w:szCs w:val="20"/>
        </w:rPr>
        <w:t xml:space="preserve"> </w:t>
      </w:r>
      <w:r w:rsidR="50C1EABE" w:rsidRPr="00306F4D">
        <w:rPr>
          <w:rFonts w:ascii="Arial" w:eastAsia="Arial" w:hAnsi="Arial" w:cs="Arial"/>
          <w:sz w:val="20"/>
          <w:szCs w:val="20"/>
        </w:rPr>
        <w:t>6% per decade</w:t>
      </w:r>
      <w:r w:rsidR="00D7067C" w:rsidRPr="00306F4D">
        <w:rPr>
          <w:rFonts w:ascii="Arial" w:eastAsia="Arial" w:hAnsi="Arial" w:cs="Arial"/>
          <w:sz w:val="20"/>
          <w:szCs w:val="20"/>
          <w:vertAlign w:val="superscript"/>
        </w:rPr>
        <w:footnoteReference w:id="56"/>
      </w:r>
      <w:r w:rsidR="5E578044" w:rsidRPr="00306F4D">
        <w:rPr>
          <w:rFonts w:ascii="Arial" w:eastAsia="Arial" w:hAnsi="Arial" w:cs="Arial"/>
          <w:sz w:val="20"/>
          <w:szCs w:val="20"/>
        </w:rPr>
        <w:t>)</w:t>
      </w:r>
      <w:r w:rsidRPr="00306F4D">
        <w:rPr>
          <w:rFonts w:ascii="Arial" w:eastAsia="Arial" w:hAnsi="Arial" w:cs="Arial"/>
          <w:sz w:val="20"/>
          <w:szCs w:val="20"/>
        </w:rPr>
        <w:t xml:space="preserve"> have experienced a decrease in heavy precipitation. The present regional annual average is 807 mm, indicating an observed change in precipitation of 0.2% relative to the baseline period.</w:t>
      </w:r>
      <w:r w:rsidR="00D7067C" w:rsidRPr="00306F4D">
        <w:rPr>
          <w:rFonts w:ascii="Arial" w:eastAsia="Arial" w:hAnsi="Arial" w:cs="Arial"/>
          <w:sz w:val="20"/>
          <w:szCs w:val="20"/>
          <w:vertAlign w:val="superscript"/>
        </w:rPr>
        <w:footnoteReference w:id="57"/>
      </w:r>
      <w:r w:rsidRPr="00306F4D">
        <w:rPr>
          <w:rFonts w:ascii="Arial" w:eastAsia="Arial" w:hAnsi="Arial" w:cs="Arial"/>
          <w:sz w:val="20"/>
          <w:szCs w:val="20"/>
        </w:rPr>
        <w:t xml:space="preserve"> Precipitation had decreased in the 1980s and 1990s, but then began to increase and returned, at present in observed changes, to the values of the pre-industrial baseline period. This is the apparent reason for the small change of 0.2%</w:t>
      </w:r>
      <w:r w:rsidR="3E51D5A4" w:rsidRPr="00306F4D">
        <w:rPr>
          <w:rFonts w:ascii="Arial" w:eastAsia="Arial" w:hAnsi="Arial" w:cs="Arial"/>
          <w:sz w:val="20"/>
          <w:szCs w:val="20"/>
        </w:rPr>
        <w:t xml:space="preserve"> as </w:t>
      </w:r>
      <w:r w:rsidR="71A85A46" w:rsidRPr="00306F4D">
        <w:rPr>
          <w:rFonts w:ascii="Arial" w:eastAsia="Arial" w:hAnsi="Arial" w:cs="Arial"/>
          <w:sz w:val="20"/>
          <w:szCs w:val="20"/>
        </w:rPr>
        <w:t>shown</w:t>
      </w:r>
      <w:r w:rsidR="3E51D5A4" w:rsidRPr="00306F4D">
        <w:rPr>
          <w:rFonts w:ascii="Arial" w:eastAsia="Arial" w:hAnsi="Arial" w:cs="Arial"/>
          <w:sz w:val="20"/>
          <w:szCs w:val="20"/>
        </w:rPr>
        <w:t xml:space="preserve"> in </w:t>
      </w:r>
      <w:r w:rsidR="3E51D5A4" w:rsidRPr="00306F4D">
        <w:rPr>
          <w:rFonts w:ascii="Arial" w:eastAsia="Arial" w:hAnsi="Arial" w:cs="Arial"/>
          <w:b/>
          <w:bCs/>
          <w:sz w:val="20"/>
          <w:szCs w:val="20"/>
        </w:rPr>
        <w:t xml:space="preserve">Figure </w:t>
      </w:r>
      <w:r w:rsidR="2CF30AF0" w:rsidRPr="00306F4D">
        <w:rPr>
          <w:rFonts w:ascii="Arial" w:eastAsia="Arial" w:hAnsi="Arial" w:cs="Arial"/>
          <w:b/>
          <w:bCs/>
          <w:sz w:val="20"/>
          <w:szCs w:val="20"/>
        </w:rPr>
        <w:t>6</w:t>
      </w:r>
      <w:r w:rsidR="2CF30AF0" w:rsidRPr="00306F4D">
        <w:rPr>
          <w:rFonts w:ascii="Arial" w:eastAsia="Arial" w:hAnsi="Arial" w:cs="Arial"/>
          <w:sz w:val="20"/>
          <w:szCs w:val="20"/>
        </w:rPr>
        <w:t>.</w:t>
      </w:r>
      <w:r w:rsidR="00D7067C" w:rsidRPr="00306F4D">
        <w:rPr>
          <w:rFonts w:ascii="Arial" w:eastAsia="Arial" w:hAnsi="Arial" w:cs="Arial"/>
          <w:sz w:val="20"/>
          <w:szCs w:val="20"/>
          <w:vertAlign w:val="superscript"/>
        </w:rPr>
        <w:footnoteReference w:id="58"/>
      </w:r>
    </w:p>
    <w:p w14:paraId="08817224" w14:textId="127E45AC" w:rsidR="00D7067C" w:rsidRPr="00306F4D" w:rsidRDefault="52DA0754" w:rsidP="00D7067C">
      <w:pPr>
        <w:tabs>
          <w:tab w:val="left" w:pos="360"/>
        </w:tabs>
        <w:autoSpaceDE w:val="0"/>
        <w:autoSpaceDN w:val="0"/>
        <w:adjustRightInd w:val="0"/>
        <w:spacing w:before="120" w:after="240" w:line="276" w:lineRule="auto"/>
        <w:jc w:val="both"/>
        <w:rPr>
          <w:rFonts w:ascii="Arial" w:eastAsia="Arial" w:hAnsi="Arial" w:cs="Arial"/>
          <w:sz w:val="20"/>
          <w:szCs w:val="20"/>
        </w:rPr>
      </w:pPr>
      <w:r w:rsidRPr="00306F4D">
        <w:rPr>
          <w:rFonts w:ascii="Arial" w:eastAsia="Arial" w:hAnsi="Arial" w:cs="Arial"/>
          <w:sz w:val="20"/>
          <w:szCs w:val="20"/>
        </w:rPr>
        <w:t>In general, the observed changes in precipitation are not as pronounced as the observed warming, because of the complex topography of the mountains.</w:t>
      </w:r>
      <w:r w:rsidR="00D7067C" w:rsidRPr="00306F4D">
        <w:rPr>
          <w:rFonts w:ascii="Arial" w:eastAsia="Arial" w:hAnsi="Arial" w:cs="Arial"/>
          <w:sz w:val="20"/>
          <w:szCs w:val="20"/>
          <w:vertAlign w:val="superscript"/>
        </w:rPr>
        <w:footnoteReference w:id="59"/>
      </w:r>
      <w:r w:rsidRPr="00306F4D">
        <w:rPr>
          <w:rFonts w:ascii="Arial" w:eastAsia="Arial" w:hAnsi="Arial" w:cs="Arial"/>
          <w:sz w:val="20"/>
          <w:szCs w:val="20"/>
        </w:rPr>
        <w:t xml:space="preserve"> However, overall</w:t>
      </w:r>
      <w:r w:rsidR="29F3DE65" w:rsidRPr="00306F4D">
        <w:rPr>
          <w:rFonts w:ascii="Arial" w:eastAsia="Arial" w:hAnsi="Arial" w:cs="Arial"/>
          <w:sz w:val="20"/>
          <w:szCs w:val="20"/>
        </w:rPr>
        <w:t>,</w:t>
      </w:r>
      <w:r w:rsidRPr="00306F4D">
        <w:rPr>
          <w:rFonts w:ascii="Arial" w:eastAsia="Arial" w:hAnsi="Arial" w:cs="Arial"/>
          <w:sz w:val="20"/>
          <w:szCs w:val="20"/>
        </w:rPr>
        <w:t xml:space="preserve"> the region has received a decreasing amount of precipitation, contributing to increasing severity of drought events, which is discussed below, with North Macedonia, among the Regional Project’s four partner countries, displaying the clearest downward trend. Bosnia and Herzegovina, Montenegro and Serbia, generally, experienced mixed or unchanging </w:t>
      </w:r>
      <w:r w:rsidR="039C4371" w:rsidRPr="00306F4D">
        <w:rPr>
          <w:rFonts w:ascii="Arial" w:eastAsia="Arial" w:hAnsi="Arial" w:cs="Arial"/>
          <w:sz w:val="20"/>
          <w:szCs w:val="20"/>
        </w:rPr>
        <w:t xml:space="preserve">annual </w:t>
      </w:r>
      <w:r w:rsidRPr="00306F4D">
        <w:rPr>
          <w:rFonts w:ascii="Arial" w:eastAsia="Arial" w:hAnsi="Arial" w:cs="Arial"/>
          <w:sz w:val="20"/>
          <w:szCs w:val="20"/>
        </w:rPr>
        <w:t>precipitation patterns</w:t>
      </w:r>
      <w:r w:rsidR="1F050CB6" w:rsidRPr="00306F4D">
        <w:rPr>
          <w:rFonts w:ascii="Arial" w:eastAsia="Arial" w:hAnsi="Arial" w:cs="Arial"/>
          <w:sz w:val="20"/>
          <w:szCs w:val="20"/>
        </w:rPr>
        <w:t>.</w:t>
      </w:r>
    </w:p>
    <w:p w14:paraId="11FD822A" w14:textId="2B9E881A" w:rsidR="00993BC8" w:rsidRPr="00306F4D" w:rsidRDefault="19A75A43" w:rsidP="00D7067C">
      <w:pPr>
        <w:tabs>
          <w:tab w:val="left" w:pos="360"/>
        </w:tabs>
        <w:autoSpaceDE w:val="0"/>
        <w:autoSpaceDN w:val="0"/>
        <w:adjustRightInd w:val="0"/>
        <w:spacing w:before="120" w:after="240" w:line="276" w:lineRule="auto"/>
        <w:jc w:val="both"/>
        <w:rPr>
          <w:rFonts w:ascii="Arial" w:eastAsia="Arial" w:hAnsi="Arial" w:cs="Arial"/>
          <w:sz w:val="20"/>
          <w:szCs w:val="20"/>
        </w:rPr>
      </w:pPr>
      <w:r w:rsidRPr="00306F4D">
        <w:rPr>
          <w:rFonts w:ascii="Arial" w:eastAsia="Arial" w:hAnsi="Arial" w:cs="Arial"/>
          <w:sz w:val="20"/>
          <w:szCs w:val="20"/>
        </w:rPr>
        <w:t>Within the region, the Dinaric Alps generally receive the most precipitation. The mountains in the Western Balkans are therefore central to the flow of fresh water through rivers, farmland, communities and ecosystems, as decreasing precipitation and increasing evapotranspiration are combining to make the region, and soils in general, drier. The decrease in precipitation, particularly during the summer months,</w:t>
      </w:r>
      <w:r w:rsidR="004F3A23" w:rsidRPr="00306F4D">
        <w:rPr>
          <w:rFonts w:ascii="Arial" w:eastAsia="Arial" w:hAnsi="Arial" w:cs="Arial"/>
          <w:sz w:val="20"/>
          <w:szCs w:val="20"/>
        </w:rPr>
        <w:t xml:space="preserve"> </w:t>
      </w:r>
      <w:r w:rsidRPr="00306F4D">
        <w:rPr>
          <w:rFonts w:ascii="Arial" w:eastAsia="Arial" w:hAnsi="Arial" w:cs="Arial"/>
          <w:sz w:val="20"/>
          <w:szCs w:val="20"/>
        </w:rPr>
        <w:t>has led to increased drought conditions and reduced water availability in many parts of the region</w:t>
      </w:r>
      <w:r w:rsidR="0C939ED5" w:rsidRPr="00306F4D">
        <w:rPr>
          <w:rFonts w:ascii="Arial" w:eastAsia="Arial" w:hAnsi="Arial" w:cs="Arial"/>
          <w:sz w:val="20"/>
          <w:szCs w:val="20"/>
        </w:rPr>
        <w:t xml:space="preserve">, especially in </w:t>
      </w:r>
      <w:r w:rsidR="72DF8645" w:rsidRPr="00306F4D">
        <w:rPr>
          <w:rFonts w:ascii="Arial" w:eastAsia="Arial" w:hAnsi="Arial" w:cs="Arial"/>
          <w:sz w:val="20"/>
          <w:szCs w:val="20"/>
        </w:rPr>
        <w:t>Serbia and North Macedonia</w:t>
      </w:r>
      <w:r w:rsidRPr="00306F4D">
        <w:rPr>
          <w:rFonts w:ascii="Arial" w:eastAsia="Arial" w:hAnsi="Arial" w:cs="Arial"/>
          <w:sz w:val="20"/>
          <w:szCs w:val="20"/>
        </w:rPr>
        <w:t xml:space="preserve">. </w:t>
      </w:r>
    </w:p>
    <w:p w14:paraId="690492BC" w14:textId="34DCB550" w:rsidR="00D7067C" w:rsidRPr="00306F4D" w:rsidRDefault="41034EA1" w:rsidP="00D7067C">
      <w:pPr>
        <w:tabs>
          <w:tab w:val="left" w:pos="360"/>
        </w:tabs>
        <w:autoSpaceDE w:val="0"/>
        <w:autoSpaceDN w:val="0"/>
        <w:adjustRightInd w:val="0"/>
        <w:spacing w:before="120" w:after="240" w:line="276" w:lineRule="auto"/>
        <w:jc w:val="both"/>
        <w:rPr>
          <w:rFonts w:ascii="Arial" w:eastAsia="Arial" w:hAnsi="Arial" w:cs="Arial"/>
          <w:sz w:val="20"/>
          <w:szCs w:val="20"/>
        </w:rPr>
      </w:pPr>
      <w:r w:rsidRPr="00306F4D">
        <w:rPr>
          <w:rFonts w:ascii="Arial" w:eastAsia="Arial" w:hAnsi="Arial" w:cs="Arial"/>
          <w:sz w:val="20"/>
          <w:szCs w:val="20"/>
        </w:rPr>
        <w:t>S</w:t>
      </w:r>
      <w:r w:rsidR="52DA0754" w:rsidRPr="00306F4D">
        <w:rPr>
          <w:rFonts w:ascii="Arial" w:eastAsia="Arial" w:hAnsi="Arial" w:cs="Arial"/>
          <w:sz w:val="20"/>
          <w:szCs w:val="20"/>
        </w:rPr>
        <w:t>hifts in the seasonal distribution of precipitation has been observed, with some areas receiving more precipitation in the winter months, creating an increased risk of flooding during spring. The observed changes in precipitation also pose significant challenges for water resource management throughout the region. Atmospheric circulation patterns, such as the Arctic Oscillation (AO) and Mediterranean Oscillation (MO), significantly influence precipitation patterns in the Western Balkans.</w:t>
      </w:r>
      <w:r w:rsidR="00D7067C" w:rsidRPr="00306F4D">
        <w:rPr>
          <w:rFonts w:ascii="Arial" w:eastAsia="Arial" w:hAnsi="Arial" w:cs="Arial"/>
          <w:sz w:val="20"/>
          <w:szCs w:val="20"/>
          <w:vertAlign w:val="superscript"/>
        </w:rPr>
        <w:footnoteReference w:id="60"/>
      </w:r>
    </w:p>
    <w:p w14:paraId="6F7E3752" w14:textId="188BDB79" w:rsidR="00D7067C" w:rsidRPr="00306F4D" w:rsidRDefault="4FD4681F" w:rsidP="007C26CE">
      <w:pPr>
        <w:pStyle w:val="Heading3"/>
        <w:rPr>
          <w:rFonts w:ascii="Arial" w:eastAsia="Arial" w:hAnsi="Arial" w:cs="Arial"/>
          <w:b/>
          <w:color w:val="000000" w:themeColor="text1"/>
          <w:sz w:val="20"/>
          <w:szCs w:val="20"/>
          <w:lang w:val="en-GB"/>
        </w:rPr>
      </w:pPr>
      <w:bookmarkStart w:id="25" w:name="_Toc201659499"/>
      <w:bookmarkStart w:id="26" w:name="_Toc993004069"/>
      <w:bookmarkStart w:id="27" w:name="_Toc1100685662"/>
      <w:r w:rsidRPr="00306F4D">
        <w:rPr>
          <w:rFonts w:ascii="Arial" w:eastAsia="Arial" w:hAnsi="Arial" w:cs="Arial"/>
          <w:b/>
          <w:sz w:val="20"/>
          <w:szCs w:val="20"/>
          <w:lang w:val="en-GB"/>
        </w:rPr>
        <w:lastRenderedPageBreak/>
        <w:t>Projected Climate Change</w:t>
      </w:r>
      <w:bookmarkEnd w:id="25"/>
      <w:bookmarkEnd w:id="26"/>
      <w:bookmarkEnd w:id="27"/>
      <w:r w:rsidR="00BC626B" w:rsidRPr="00306F4D">
        <w:rPr>
          <w:rFonts w:ascii="Arial" w:hAnsi="Arial" w:cs="Arial"/>
          <w:b/>
          <w:bCs/>
          <w:sz w:val="20"/>
          <w:szCs w:val="20"/>
          <w:vertAlign w:val="superscript"/>
          <w:lang w:val="en-GB"/>
        </w:rPr>
        <w:fldChar w:fldCharType="begin"/>
      </w:r>
      <w:r w:rsidR="00BC626B" w:rsidRPr="00306F4D">
        <w:rPr>
          <w:rFonts w:ascii="Arial" w:hAnsi="Arial" w:cs="Arial"/>
          <w:b/>
          <w:bCs/>
          <w:sz w:val="20"/>
          <w:szCs w:val="20"/>
          <w:vertAlign w:val="superscript"/>
          <w:lang w:val="en-GB"/>
        </w:rPr>
        <w:instrText xml:space="preserve"> NOTEREF _Ref202125532 \h  \* MERGEFORMAT </w:instrText>
      </w:r>
      <w:r w:rsidR="00BC626B" w:rsidRPr="00306F4D">
        <w:rPr>
          <w:rFonts w:ascii="Arial" w:hAnsi="Arial" w:cs="Arial"/>
          <w:b/>
          <w:bCs/>
          <w:sz w:val="20"/>
          <w:szCs w:val="20"/>
          <w:vertAlign w:val="superscript"/>
          <w:lang w:val="en-GB"/>
        </w:rPr>
      </w:r>
      <w:r w:rsidR="00BC626B" w:rsidRPr="00306F4D">
        <w:rPr>
          <w:rFonts w:ascii="Arial" w:hAnsi="Arial" w:cs="Arial"/>
          <w:b/>
          <w:bCs/>
          <w:sz w:val="20"/>
          <w:szCs w:val="20"/>
          <w:vertAlign w:val="superscript"/>
          <w:lang w:val="en-GB"/>
        </w:rPr>
        <w:fldChar w:fldCharType="separate"/>
      </w:r>
      <w:r w:rsidR="00BC626B" w:rsidRPr="00306F4D">
        <w:rPr>
          <w:rFonts w:ascii="Arial" w:hAnsi="Arial" w:cs="Arial"/>
          <w:b/>
          <w:bCs/>
          <w:sz w:val="20"/>
          <w:szCs w:val="20"/>
          <w:vertAlign w:val="superscript"/>
          <w:lang w:val="en-GB"/>
        </w:rPr>
        <w:t>32</w:t>
      </w:r>
      <w:r w:rsidR="00BC626B" w:rsidRPr="00306F4D">
        <w:rPr>
          <w:rFonts w:ascii="Arial" w:hAnsi="Arial" w:cs="Arial"/>
          <w:b/>
          <w:bCs/>
          <w:sz w:val="20"/>
          <w:szCs w:val="20"/>
          <w:vertAlign w:val="superscript"/>
          <w:lang w:val="en-GB"/>
        </w:rPr>
        <w:fldChar w:fldCharType="end"/>
      </w:r>
    </w:p>
    <w:p w14:paraId="74B0643E" w14:textId="407CA15A" w:rsidR="00D7067C" w:rsidRPr="00306F4D" w:rsidRDefault="52DA0754" w:rsidP="00D7067C">
      <w:pPr>
        <w:tabs>
          <w:tab w:val="left" w:pos="360"/>
        </w:tabs>
        <w:autoSpaceDE w:val="0"/>
        <w:autoSpaceDN w:val="0"/>
        <w:adjustRightInd w:val="0"/>
        <w:spacing w:before="120" w:after="240" w:line="276" w:lineRule="auto"/>
        <w:jc w:val="both"/>
        <w:rPr>
          <w:rFonts w:ascii="Arial" w:eastAsia="Arial" w:hAnsi="Arial" w:cs="Arial"/>
          <w:sz w:val="20"/>
          <w:szCs w:val="20"/>
        </w:rPr>
      </w:pPr>
      <w:r w:rsidRPr="00306F4D">
        <w:rPr>
          <w:rFonts w:ascii="Arial" w:eastAsia="Arial" w:hAnsi="Arial" w:cs="Arial"/>
          <w:sz w:val="20"/>
          <w:szCs w:val="20"/>
        </w:rPr>
        <w:t>This Section presents RCC (2018)’s projected future climate change for the region for three climatological periods, in compliance with IPCC AR5 approach: 1986-2005 as the baseline period, 2016-2035 as the near future period, 2046-2065 as mid-century period, and 2081-2100 as end of the century period. Projecting the future climate in a mountainous region is notably inexact, because of the complex topography, diverse microclimates, need for high density of measurement, and need for high-resolution climate models, which are scarce.</w:t>
      </w:r>
      <w:r w:rsidR="00D7067C" w:rsidRPr="00306F4D">
        <w:rPr>
          <w:rFonts w:ascii="Arial" w:eastAsia="Arial" w:hAnsi="Arial" w:cs="Arial"/>
          <w:sz w:val="20"/>
          <w:szCs w:val="20"/>
          <w:vertAlign w:val="superscript"/>
        </w:rPr>
        <w:footnoteReference w:id="61"/>
      </w:r>
      <w:r w:rsidRPr="00306F4D">
        <w:rPr>
          <w:rFonts w:ascii="Arial" w:eastAsia="Arial" w:hAnsi="Arial" w:cs="Arial"/>
          <w:sz w:val="20"/>
          <w:szCs w:val="20"/>
        </w:rPr>
        <w:t xml:space="preserve"> RCC (2018) analyzed two Representative Concentration Pathways (RCP) scenarios: RCP4.5 (</w:t>
      </w:r>
      <w:r w:rsidR="108BD783" w:rsidRPr="00306F4D">
        <w:rPr>
          <w:rFonts w:ascii="Arial" w:eastAsia="Arial" w:hAnsi="Arial" w:cs="Arial"/>
          <w:sz w:val="20"/>
          <w:szCs w:val="20"/>
        </w:rPr>
        <w:t>stabilization</w:t>
      </w:r>
      <w:r w:rsidRPr="00306F4D">
        <w:rPr>
          <w:rFonts w:ascii="Arial" w:eastAsia="Arial" w:hAnsi="Arial" w:cs="Arial"/>
          <w:sz w:val="20"/>
          <w:szCs w:val="20"/>
        </w:rPr>
        <w:t xml:space="preserve"> scenario, with GHG emission peak around 2040 and afterwards declining) and RCP8.5 (continuous rise scenario, where GHG concentration continues to increase by the end of the century, otherwise known as the business-as-usual scenario).</w:t>
      </w:r>
      <w:r w:rsidR="00D7067C" w:rsidRPr="00306F4D">
        <w:rPr>
          <w:rFonts w:ascii="Arial" w:eastAsia="Arial" w:hAnsi="Arial" w:cs="Arial"/>
          <w:sz w:val="20"/>
          <w:szCs w:val="20"/>
          <w:vertAlign w:val="superscript"/>
        </w:rPr>
        <w:footnoteReference w:id="62"/>
      </w:r>
      <w:r w:rsidRPr="00306F4D">
        <w:rPr>
          <w:rFonts w:ascii="Arial" w:eastAsia="Arial" w:hAnsi="Arial" w:cs="Arial"/>
          <w:sz w:val="20"/>
          <w:szCs w:val="20"/>
        </w:rPr>
        <w:t xml:space="preserve"> The RCP4.5 scenario is considered as best possible scenario (lower end) and RCP8.5 as extreme scenario (higher end), but current trends suggest RCP8.5 projections may be more likely</w:t>
      </w:r>
      <w:r w:rsidR="2A81F132" w:rsidRPr="00306F4D">
        <w:rPr>
          <w:rFonts w:ascii="Arial" w:eastAsia="Arial" w:hAnsi="Arial" w:cs="Arial"/>
          <w:sz w:val="20"/>
          <w:szCs w:val="20"/>
        </w:rPr>
        <w:t xml:space="preserve"> (“business as usual“)</w:t>
      </w:r>
      <w:r w:rsidR="61495EBE" w:rsidRPr="00306F4D">
        <w:rPr>
          <w:rFonts w:ascii="Arial" w:eastAsia="Arial" w:hAnsi="Arial" w:cs="Arial"/>
          <w:sz w:val="20"/>
          <w:szCs w:val="20"/>
        </w:rPr>
        <w:t>,</w:t>
      </w:r>
      <w:r w:rsidR="00D7067C" w:rsidRPr="00306F4D">
        <w:rPr>
          <w:rFonts w:ascii="Arial" w:eastAsia="Arial" w:hAnsi="Arial" w:cs="Arial"/>
          <w:sz w:val="20"/>
          <w:szCs w:val="20"/>
          <w:vertAlign w:val="superscript"/>
        </w:rPr>
        <w:footnoteReference w:id="63"/>
      </w:r>
      <w:r w:rsidRPr="00306F4D">
        <w:rPr>
          <w:rFonts w:ascii="Arial" w:eastAsia="Arial" w:hAnsi="Arial" w:cs="Arial"/>
          <w:sz w:val="20"/>
          <w:szCs w:val="20"/>
        </w:rPr>
        <w:t xml:space="preserve"> for which the region should prepare and adapt.</w:t>
      </w:r>
    </w:p>
    <w:p w14:paraId="43D69F30" w14:textId="14968370" w:rsidR="00D7067C" w:rsidRPr="00306F4D" w:rsidRDefault="19A75A43" w:rsidP="02E2BB75">
      <w:pPr>
        <w:pStyle w:val="Heading5"/>
        <w:tabs>
          <w:tab w:val="left" w:pos="360"/>
        </w:tabs>
        <w:spacing w:before="120" w:after="240" w:line="276" w:lineRule="auto"/>
        <w:jc w:val="both"/>
        <w:rPr>
          <w:rFonts w:ascii="Arial" w:eastAsia="Arial" w:hAnsi="Arial" w:cs="Arial"/>
          <w:b/>
          <w:bCs/>
          <w:color w:val="000000" w:themeColor="text1"/>
          <w:sz w:val="20"/>
          <w:szCs w:val="20"/>
          <w:lang w:val="en-GB"/>
        </w:rPr>
      </w:pPr>
      <w:bookmarkStart w:id="28" w:name="_Toc201580351"/>
      <w:bookmarkStart w:id="29" w:name="_Toc201659500"/>
      <w:r w:rsidRPr="00306F4D">
        <w:rPr>
          <w:rFonts w:ascii="Arial" w:eastAsia="Arial" w:hAnsi="Arial" w:cs="Arial"/>
          <w:sz w:val="20"/>
          <w:szCs w:val="20"/>
          <w:lang w:val="en-GB"/>
        </w:rPr>
        <w:t>Temperature (+7.5°C).</w:t>
      </w:r>
      <w:bookmarkEnd w:id="28"/>
      <w:bookmarkEnd w:id="29"/>
    </w:p>
    <w:p w14:paraId="1BA5C1B1" w14:textId="0E00C1A6" w:rsidR="00D7067C" w:rsidRPr="00306F4D" w:rsidRDefault="52DA0754" w:rsidP="02E2BB75">
      <w:pPr>
        <w:tabs>
          <w:tab w:val="left" w:pos="360"/>
        </w:tabs>
        <w:autoSpaceDE w:val="0"/>
        <w:autoSpaceDN w:val="0"/>
        <w:adjustRightInd w:val="0"/>
        <w:spacing w:before="120" w:after="240" w:line="276" w:lineRule="auto"/>
        <w:jc w:val="both"/>
        <w:rPr>
          <w:rFonts w:ascii="Arial" w:eastAsia="Arial" w:hAnsi="Arial" w:cs="Arial"/>
          <w:b/>
          <w:bCs/>
          <w:sz w:val="20"/>
          <w:szCs w:val="20"/>
        </w:rPr>
      </w:pPr>
      <w:r w:rsidRPr="00306F4D">
        <w:rPr>
          <w:rFonts w:ascii="Arial" w:eastAsia="Arial" w:hAnsi="Arial" w:cs="Arial"/>
          <w:sz w:val="20"/>
          <w:szCs w:val="20"/>
        </w:rPr>
        <w:t xml:space="preserve">The Western Balkans region is considered a "Warming Hotspot" with projections of </w:t>
      </w:r>
      <w:r w:rsidR="5E417037" w:rsidRPr="00306F4D">
        <w:rPr>
          <w:rFonts w:ascii="Arial" w:eastAsia="Arial" w:hAnsi="Arial" w:cs="Arial"/>
          <w:sz w:val="20"/>
          <w:szCs w:val="20"/>
        </w:rPr>
        <w:t>significant</w:t>
      </w:r>
      <w:r w:rsidRPr="00306F4D">
        <w:rPr>
          <w:rFonts w:ascii="Arial" w:eastAsia="Arial" w:hAnsi="Arial" w:cs="Arial"/>
          <w:sz w:val="20"/>
          <w:szCs w:val="20"/>
        </w:rPr>
        <w:t xml:space="preserve"> and disruptive increased heat waves and temperature increases.</w:t>
      </w:r>
      <w:r w:rsidR="00D7067C" w:rsidRPr="00306F4D">
        <w:rPr>
          <w:rFonts w:ascii="Arial" w:eastAsia="Arial" w:hAnsi="Arial" w:cs="Arial"/>
          <w:sz w:val="20"/>
          <w:szCs w:val="20"/>
          <w:vertAlign w:val="superscript"/>
        </w:rPr>
        <w:footnoteReference w:id="64"/>
      </w:r>
      <w:r w:rsidRPr="00306F4D">
        <w:rPr>
          <w:rFonts w:ascii="Arial" w:eastAsia="Arial" w:hAnsi="Arial" w:cs="Arial"/>
          <w:sz w:val="20"/>
          <w:szCs w:val="20"/>
        </w:rPr>
        <w:t xml:space="preserve"> Mean summer temperatures could rise by as much as 7.5°C above pre-industrial times,</w:t>
      </w:r>
      <w:r w:rsidR="00D7067C" w:rsidRPr="00306F4D">
        <w:rPr>
          <w:rFonts w:ascii="Arial" w:eastAsia="Arial" w:hAnsi="Arial" w:cs="Arial"/>
          <w:sz w:val="20"/>
          <w:szCs w:val="20"/>
          <w:vertAlign w:val="superscript"/>
        </w:rPr>
        <w:footnoteReference w:id="65"/>
      </w:r>
      <w:r w:rsidRPr="00306F4D">
        <w:rPr>
          <w:rFonts w:ascii="Arial" w:eastAsia="Arial" w:hAnsi="Arial" w:cs="Arial"/>
          <w:sz w:val="20"/>
          <w:szCs w:val="20"/>
        </w:rPr>
        <w:t xml:space="preserve"> though predicting the climate in mountainous areas is difficult because of the complex topography and hydrology. Extreme heat events are expected to become more frequent and intense, particularly in spring and autumn. Climate models predict significant future warming, with temperature increases expected to be higher than the global average. Projections indicate further warming, potentially ranging from 1.7 to 4.0°C by the end of the century, depending on global efforts to reduce greenhouse gas emissions.</w:t>
      </w:r>
      <w:r w:rsidR="00D7067C" w:rsidRPr="00306F4D">
        <w:rPr>
          <w:rFonts w:ascii="Arial" w:eastAsia="Arial" w:hAnsi="Arial" w:cs="Arial"/>
          <w:sz w:val="20"/>
          <w:szCs w:val="20"/>
          <w:vertAlign w:val="superscript"/>
        </w:rPr>
        <w:footnoteReference w:id="66"/>
      </w:r>
      <w:r w:rsidRPr="00306F4D">
        <w:rPr>
          <w:rFonts w:ascii="Arial" w:eastAsia="Arial" w:hAnsi="Arial" w:cs="Arial"/>
          <w:sz w:val="20"/>
          <w:szCs w:val="20"/>
        </w:rPr>
        <w:t xml:space="preserve"> </w:t>
      </w:r>
      <w:r w:rsidR="4C97456A" w:rsidRPr="00306F4D">
        <w:rPr>
          <w:rFonts w:ascii="Arial" w:eastAsia="Arial" w:hAnsi="Arial" w:cs="Arial"/>
          <w:sz w:val="20"/>
          <w:szCs w:val="20"/>
        </w:rPr>
        <w:t xml:space="preserve">According to a regional model based on the medium emission scenario, the </w:t>
      </w:r>
      <w:r w:rsidRPr="00306F4D">
        <w:rPr>
          <w:rFonts w:ascii="Arial" w:eastAsia="Arial" w:hAnsi="Arial" w:cs="Arial"/>
          <w:sz w:val="20"/>
          <w:szCs w:val="20"/>
        </w:rPr>
        <w:t>Eastern Mediterranean is expected to be 3.5–7°C warmer by the end of the 21</w:t>
      </w:r>
      <w:r w:rsidRPr="00306F4D">
        <w:rPr>
          <w:rFonts w:ascii="Arial" w:eastAsia="Arial" w:hAnsi="Arial" w:cs="Arial"/>
          <w:sz w:val="20"/>
          <w:szCs w:val="20"/>
          <w:vertAlign w:val="superscript"/>
        </w:rPr>
        <w:t>st</w:t>
      </w:r>
      <w:r w:rsidRPr="00306F4D">
        <w:rPr>
          <w:rFonts w:ascii="Arial" w:eastAsia="Arial" w:hAnsi="Arial" w:cs="Arial"/>
          <w:sz w:val="20"/>
          <w:szCs w:val="20"/>
        </w:rPr>
        <w:t xml:space="preserve"> century, with the highest daytime increases in the Western Balkans and in the mountainous areas, in particular</w:t>
      </w:r>
      <w:r w:rsidR="005151B3" w:rsidRPr="00306F4D">
        <w:rPr>
          <w:rStyle w:val="FootnoteReference"/>
          <w:rFonts w:ascii="Arial" w:eastAsia="Arial" w:hAnsi="Arial" w:cs="Arial"/>
          <w:sz w:val="20"/>
          <w:szCs w:val="20"/>
        </w:rPr>
        <w:footnoteReference w:id="67"/>
      </w:r>
      <w:r w:rsidRPr="00306F4D">
        <w:rPr>
          <w:rFonts w:ascii="Arial" w:eastAsia="Arial" w:hAnsi="Arial" w:cs="Arial"/>
          <w:sz w:val="20"/>
          <w:szCs w:val="20"/>
        </w:rPr>
        <w:t xml:space="preserve">. A global high-emissions scenario predicts 5–8°C of warming in the Eastern Mediterranean in summer, with the Western Balkans </w:t>
      </w:r>
      <w:r w:rsidR="6A5BFDD9" w:rsidRPr="00306F4D">
        <w:rPr>
          <w:rFonts w:ascii="Arial" w:eastAsia="Arial" w:hAnsi="Arial" w:cs="Arial"/>
          <w:sz w:val="20"/>
          <w:szCs w:val="20"/>
        </w:rPr>
        <w:t>similarly</w:t>
      </w:r>
      <w:r w:rsidRPr="00306F4D">
        <w:rPr>
          <w:rFonts w:ascii="Arial" w:eastAsia="Arial" w:hAnsi="Arial" w:cs="Arial"/>
          <w:sz w:val="20"/>
          <w:szCs w:val="20"/>
        </w:rPr>
        <w:t xml:space="preserve"> to receive the highest warming.</w:t>
      </w:r>
      <w:r w:rsidR="00D7067C" w:rsidRPr="00306F4D">
        <w:rPr>
          <w:rFonts w:ascii="Arial" w:eastAsia="Arial" w:hAnsi="Arial" w:cs="Arial"/>
          <w:sz w:val="20"/>
          <w:szCs w:val="20"/>
          <w:vertAlign w:val="superscript"/>
        </w:rPr>
        <w:footnoteReference w:id="68"/>
      </w:r>
      <w:r w:rsidRPr="00306F4D">
        <w:rPr>
          <w:rFonts w:ascii="Arial" w:eastAsia="Arial" w:hAnsi="Arial" w:cs="Arial"/>
          <w:sz w:val="20"/>
          <w:szCs w:val="20"/>
        </w:rPr>
        <w:t xml:space="preserve"> This warming trend is expected to disproportionately affect certain sectors, including agriculture, forestry, water resources, and human health, due to increased heat waves and the potential spread of vector-borne diseases </w:t>
      </w:r>
      <w:r w:rsidR="6A5BFDD9" w:rsidRPr="00306F4D">
        <w:rPr>
          <w:rFonts w:ascii="Arial" w:eastAsia="Arial" w:hAnsi="Arial" w:cs="Arial"/>
          <w:sz w:val="20"/>
          <w:szCs w:val="20"/>
        </w:rPr>
        <w:t>(</w:t>
      </w:r>
      <w:r w:rsidR="6A5BFDD9" w:rsidRPr="00306F4D">
        <w:rPr>
          <w:rFonts w:ascii="Arial" w:eastAsia="Arial" w:hAnsi="Arial" w:cs="Arial"/>
          <w:b/>
          <w:bCs/>
          <w:sz w:val="20"/>
          <w:szCs w:val="20"/>
        </w:rPr>
        <w:t>Figure 7).</w:t>
      </w:r>
    </w:p>
    <w:p w14:paraId="27D99C9A" w14:textId="77777777" w:rsidR="000F4D3F" w:rsidRPr="00306F4D" w:rsidRDefault="70B696DB" w:rsidP="000F4D3F">
      <w:pPr>
        <w:tabs>
          <w:tab w:val="left" w:pos="360"/>
        </w:tabs>
        <w:autoSpaceDE w:val="0"/>
        <w:autoSpaceDN w:val="0"/>
        <w:adjustRightInd w:val="0"/>
        <w:spacing w:after="0" w:line="240" w:lineRule="auto"/>
        <w:jc w:val="center"/>
        <w:rPr>
          <w:rFonts w:ascii="Arial" w:eastAsia="Arial" w:hAnsi="Arial" w:cs="Arial"/>
          <w:b/>
          <w:color w:val="auto"/>
          <w:sz w:val="20"/>
          <w:szCs w:val="20"/>
        </w:rPr>
      </w:pPr>
      <w:r w:rsidRPr="00306F4D">
        <w:rPr>
          <w:rFonts w:ascii="Arial" w:hAnsi="Arial" w:cs="Arial"/>
          <w:noProof/>
          <w:sz w:val="20"/>
          <w:szCs w:val="20"/>
        </w:rPr>
        <w:lastRenderedPageBreak/>
        <w:drawing>
          <wp:inline distT="0" distB="0" distL="0" distR="0" wp14:anchorId="1E099843" wp14:editId="4FC228DD">
            <wp:extent cx="4533900" cy="3336408"/>
            <wp:effectExtent l="0" t="0" r="0" b="0"/>
            <wp:docPr id="14126837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683716" name=""/>
                    <pic:cNvPicPr/>
                  </pic:nvPicPr>
                  <pic:blipFill rotWithShape="1">
                    <a:blip r:embed="rId18"/>
                    <a:srcRect t="22932"/>
                    <a:stretch/>
                  </pic:blipFill>
                  <pic:spPr bwMode="auto">
                    <a:xfrm>
                      <a:off x="0" y="0"/>
                      <a:ext cx="4718619" cy="3472339"/>
                    </a:xfrm>
                    <a:prstGeom prst="rect">
                      <a:avLst/>
                    </a:prstGeom>
                    <a:ln>
                      <a:noFill/>
                    </a:ln>
                  </pic:spPr>
                </pic:pic>
              </a:graphicData>
            </a:graphic>
          </wp:inline>
        </w:drawing>
      </w:r>
    </w:p>
    <w:p w14:paraId="62597C7C" w14:textId="5D2F1B77" w:rsidR="000F4D3F" w:rsidRPr="00306F4D" w:rsidRDefault="000F4D3F" w:rsidP="000F4D3F">
      <w:pPr>
        <w:pStyle w:val="Caption"/>
        <w:rPr>
          <w:rFonts w:eastAsia="Arial" w:cs="Arial"/>
          <w:sz w:val="16"/>
          <w:szCs w:val="16"/>
        </w:rPr>
      </w:pPr>
      <w:bookmarkStart w:id="30" w:name="_Ref201656527"/>
      <w:r w:rsidRPr="00306F4D">
        <w:rPr>
          <w:rFonts w:eastAsia="Arial" w:cs="Arial"/>
          <w:sz w:val="16"/>
          <w:szCs w:val="16"/>
        </w:rPr>
        <w:t xml:space="preserve">Figure </w:t>
      </w:r>
      <w:r w:rsidR="00F9233F" w:rsidRPr="00306F4D">
        <w:rPr>
          <w:rFonts w:eastAsia="Arial" w:cs="Arial"/>
          <w:sz w:val="16"/>
          <w:szCs w:val="16"/>
        </w:rPr>
        <w:fldChar w:fldCharType="begin"/>
      </w:r>
      <w:r w:rsidR="00F9233F" w:rsidRPr="00306F4D">
        <w:rPr>
          <w:rFonts w:eastAsia="Arial" w:cs="Arial"/>
          <w:sz w:val="16"/>
          <w:szCs w:val="16"/>
        </w:rPr>
        <w:instrText xml:space="preserve"> SEQ Figure \* ARABIC </w:instrText>
      </w:r>
      <w:r w:rsidR="00F9233F" w:rsidRPr="00306F4D">
        <w:rPr>
          <w:rFonts w:eastAsia="Arial" w:cs="Arial"/>
          <w:sz w:val="16"/>
          <w:szCs w:val="16"/>
        </w:rPr>
        <w:fldChar w:fldCharType="separate"/>
      </w:r>
      <w:r w:rsidR="00F9233F" w:rsidRPr="00306F4D">
        <w:rPr>
          <w:rFonts w:eastAsia="Arial" w:cs="Arial"/>
          <w:sz w:val="16"/>
          <w:szCs w:val="16"/>
        </w:rPr>
        <w:t>7</w:t>
      </w:r>
      <w:r w:rsidR="00F9233F" w:rsidRPr="00306F4D">
        <w:rPr>
          <w:rFonts w:eastAsia="Arial" w:cs="Arial"/>
          <w:sz w:val="16"/>
          <w:szCs w:val="16"/>
        </w:rPr>
        <w:fldChar w:fldCharType="end"/>
      </w:r>
      <w:bookmarkEnd w:id="30"/>
      <w:r w:rsidRPr="00306F4D">
        <w:rPr>
          <w:rFonts w:eastAsia="Arial" w:cs="Arial"/>
          <w:sz w:val="16"/>
          <w:szCs w:val="16"/>
        </w:rPr>
        <w:t>. Projected Future Temperature and Precipitation Change in Western Balkans Region (1996-2100).</w:t>
      </w:r>
    </w:p>
    <w:p w14:paraId="41046131" w14:textId="2F150816" w:rsidR="00D7067C" w:rsidRPr="00306F4D" w:rsidRDefault="52DA0754" w:rsidP="00D7067C">
      <w:pPr>
        <w:tabs>
          <w:tab w:val="left" w:pos="360"/>
        </w:tabs>
        <w:autoSpaceDE w:val="0"/>
        <w:autoSpaceDN w:val="0"/>
        <w:adjustRightInd w:val="0"/>
        <w:spacing w:before="120" w:after="240" w:line="276" w:lineRule="auto"/>
        <w:jc w:val="both"/>
        <w:rPr>
          <w:rFonts w:ascii="Arial" w:eastAsia="Arial" w:hAnsi="Arial" w:cs="Arial"/>
          <w:sz w:val="20"/>
          <w:szCs w:val="20"/>
        </w:rPr>
      </w:pPr>
      <w:r w:rsidRPr="00306F4D">
        <w:rPr>
          <w:rFonts w:ascii="Arial" w:eastAsia="Arial" w:hAnsi="Arial" w:cs="Arial"/>
          <w:sz w:val="20"/>
          <w:szCs w:val="20"/>
        </w:rPr>
        <w:t xml:space="preserve">The consensus among existing models </w:t>
      </w:r>
      <w:r w:rsidR="4CC5395E" w:rsidRPr="00306F4D">
        <w:rPr>
          <w:rFonts w:ascii="Arial" w:eastAsia="Arial" w:hAnsi="Arial" w:cs="Arial"/>
          <w:sz w:val="20"/>
          <w:szCs w:val="20"/>
        </w:rPr>
        <w:t>is</w:t>
      </w:r>
      <w:r w:rsidRPr="00306F4D">
        <w:rPr>
          <w:rFonts w:ascii="Arial" w:eastAsia="Arial" w:hAnsi="Arial" w:cs="Arial"/>
          <w:sz w:val="20"/>
          <w:szCs w:val="20"/>
        </w:rPr>
        <w:t xml:space="preserve"> that the Western Balkans will experience substantial warming throughout the twenty-first century, with regional warming higher than the worldwide average</w:t>
      </w:r>
      <w:r w:rsidR="61495EBE" w:rsidRPr="00306F4D">
        <w:rPr>
          <w:rFonts w:ascii="Arial" w:eastAsia="Arial" w:hAnsi="Arial" w:cs="Arial"/>
          <w:sz w:val="20"/>
          <w:szCs w:val="20"/>
        </w:rPr>
        <w:t>.</w:t>
      </w:r>
      <w:r w:rsidR="00D7067C" w:rsidRPr="00306F4D">
        <w:rPr>
          <w:rFonts w:ascii="Arial" w:eastAsia="Arial" w:hAnsi="Arial" w:cs="Arial"/>
          <w:sz w:val="20"/>
          <w:szCs w:val="20"/>
          <w:vertAlign w:val="superscript"/>
        </w:rPr>
        <w:footnoteReference w:id="69"/>
      </w:r>
      <w:r w:rsidRPr="00306F4D">
        <w:rPr>
          <w:rFonts w:ascii="Arial" w:eastAsia="Arial" w:hAnsi="Arial" w:cs="Arial"/>
          <w:sz w:val="20"/>
          <w:szCs w:val="20"/>
        </w:rPr>
        <w:t xml:space="preserve"> In Europe, generally, warming is expected to increase with altitude</w:t>
      </w:r>
      <w:bookmarkStart w:id="31" w:name="_Ref201748510"/>
      <w:r w:rsidR="006A71D6" w:rsidRPr="00306F4D">
        <w:rPr>
          <w:rStyle w:val="FootnoteReference"/>
          <w:rFonts w:ascii="Arial" w:eastAsia="Arial" w:hAnsi="Arial" w:cs="Arial"/>
          <w:sz w:val="20"/>
          <w:szCs w:val="20"/>
        </w:rPr>
        <w:footnoteReference w:id="70"/>
      </w:r>
      <w:bookmarkEnd w:id="31"/>
      <w:r w:rsidRPr="00306F4D">
        <w:rPr>
          <w:rFonts w:ascii="Arial" w:eastAsia="Arial" w:hAnsi="Arial" w:cs="Arial"/>
          <w:sz w:val="20"/>
          <w:szCs w:val="20"/>
        </w:rPr>
        <w:t xml:space="preserve"> and National Communications (including those of all four of the Regional Project’s partner countries) to the United Nations Framework Convention on Climate Change (UNFCCC) also indicate that the highest warming will occur within the mountainous regions of the Western Balkans countries.</w:t>
      </w:r>
    </w:p>
    <w:p w14:paraId="0FE2C33C" w14:textId="6EE9CA71" w:rsidR="00D7067C" w:rsidRPr="00306F4D" w:rsidDel="00501BE2" w:rsidRDefault="52DA0754" w:rsidP="02E2BB75">
      <w:pPr>
        <w:tabs>
          <w:tab w:val="left" w:pos="360"/>
        </w:tabs>
        <w:autoSpaceDE w:val="0"/>
        <w:autoSpaceDN w:val="0"/>
        <w:adjustRightInd w:val="0"/>
        <w:spacing w:before="120" w:after="240" w:line="276" w:lineRule="auto"/>
        <w:jc w:val="both"/>
        <w:rPr>
          <w:rFonts w:ascii="Arial" w:eastAsia="Arial" w:hAnsi="Arial" w:cs="Arial"/>
          <w:sz w:val="20"/>
          <w:szCs w:val="20"/>
        </w:rPr>
      </w:pPr>
      <w:bookmarkStart w:id="32" w:name="_Ref201748382"/>
      <w:bookmarkStart w:id="33" w:name="_Ref201748460"/>
      <w:bookmarkEnd w:id="32"/>
      <w:bookmarkEnd w:id="33"/>
      <w:r w:rsidRPr="00306F4D">
        <w:rPr>
          <w:rFonts w:ascii="Arial" w:eastAsia="Arial" w:hAnsi="Arial" w:cs="Arial"/>
          <w:sz w:val="20"/>
          <w:szCs w:val="20"/>
        </w:rPr>
        <w:t>Days over 35°C are expected to increase by two weeks in the Balkan Mountains and one month in the region. The same model projects winter temperatures to rise by 3°C.</w:t>
      </w:r>
      <w:r w:rsidR="00D7067C" w:rsidRPr="00306F4D">
        <w:rPr>
          <w:rFonts w:ascii="Arial" w:eastAsia="Arial" w:hAnsi="Arial" w:cs="Arial"/>
          <w:sz w:val="20"/>
          <w:szCs w:val="20"/>
          <w:vertAlign w:val="superscript"/>
        </w:rPr>
        <w:footnoteReference w:id="71"/>
      </w:r>
      <w:r w:rsidRPr="00306F4D">
        <w:rPr>
          <w:rFonts w:ascii="Arial" w:eastAsia="Arial" w:hAnsi="Arial" w:cs="Arial"/>
          <w:sz w:val="20"/>
          <w:szCs w:val="20"/>
        </w:rPr>
        <w:t xml:space="preserve"> </w:t>
      </w:r>
    </w:p>
    <w:p w14:paraId="0968873A" w14:textId="18CB2B32" w:rsidR="00D7067C" w:rsidRPr="00306F4D" w:rsidRDefault="48E7C6B4" w:rsidP="00D7067C">
      <w:pPr>
        <w:tabs>
          <w:tab w:val="left" w:pos="360"/>
        </w:tabs>
        <w:autoSpaceDE w:val="0"/>
        <w:autoSpaceDN w:val="0"/>
        <w:adjustRightInd w:val="0"/>
        <w:spacing w:before="120" w:after="240" w:line="276" w:lineRule="auto"/>
        <w:jc w:val="both"/>
        <w:rPr>
          <w:rFonts w:ascii="Arial" w:eastAsia="Arial" w:hAnsi="Arial" w:cs="Arial"/>
          <w:sz w:val="20"/>
          <w:szCs w:val="20"/>
        </w:rPr>
      </w:pPr>
      <w:r w:rsidRPr="00306F4D">
        <w:rPr>
          <w:rFonts w:ascii="Arial" w:eastAsia="Arial" w:hAnsi="Arial" w:cs="Arial"/>
          <w:b/>
          <w:bCs/>
          <w:sz w:val="20"/>
          <w:szCs w:val="20"/>
        </w:rPr>
        <w:t>Figure 7</w:t>
      </w:r>
      <w:r w:rsidRPr="00306F4D">
        <w:rPr>
          <w:rFonts w:ascii="Arial" w:eastAsia="Arial" w:hAnsi="Arial" w:cs="Arial"/>
          <w:sz w:val="20"/>
          <w:szCs w:val="20"/>
        </w:rPr>
        <w:t xml:space="preserve"> shows a map of projected temperature change</w:t>
      </w:r>
      <w:r w:rsidR="3A90CB6A" w:rsidRPr="00306F4D">
        <w:rPr>
          <w:rFonts w:ascii="Arial" w:eastAsia="Arial" w:hAnsi="Arial" w:cs="Arial"/>
          <w:sz w:val="20"/>
          <w:szCs w:val="20"/>
        </w:rPr>
        <w:t>:</w:t>
      </w:r>
    </w:p>
    <w:p w14:paraId="0A1878EA" w14:textId="13C866F2" w:rsidR="00D7067C" w:rsidRPr="00306F4D" w:rsidRDefault="52DA0754" w:rsidP="00D7067C">
      <w:pPr>
        <w:tabs>
          <w:tab w:val="left" w:pos="360"/>
        </w:tabs>
        <w:autoSpaceDE w:val="0"/>
        <w:autoSpaceDN w:val="0"/>
        <w:adjustRightInd w:val="0"/>
        <w:spacing w:before="120" w:after="240" w:line="276" w:lineRule="auto"/>
        <w:jc w:val="both"/>
        <w:rPr>
          <w:rFonts w:ascii="Arial" w:eastAsia="Arial" w:hAnsi="Arial" w:cs="Arial"/>
          <w:sz w:val="20"/>
          <w:szCs w:val="20"/>
        </w:rPr>
      </w:pPr>
      <w:r w:rsidRPr="00306F4D">
        <w:rPr>
          <w:rFonts w:ascii="Arial" w:eastAsia="Arial" w:hAnsi="Arial" w:cs="Arial"/>
          <w:b/>
          <w:bCs/>
          <w:sz w:val="20"/>
          <w:szCs w:val="20"/>
        </w:rPr>
        <w:t>In the near-future period (2016-2035)</w:t>
      </w:r>
      <w:r w:rsidRPr="00306F4D">
        <w:rPr>
          <w:rFonts w:ascii="Arial" w:eastAsia="Arial" w:hAnsi="Arial" w:cs="Arial"/>
          <w:sz w:val="20"/>
          <w:szCs w:val="20"/>
        </w:rPr>
        <w:t xml:space="preserve">, relative to the baseline period (1986-2005): </w:t>
      </w:r>
      <w:r w:rsidRPr="00306F4D">
        <w:rPr>
          <w:rFonts w:ascii="Arial" w:eastAsia="Arial" w:hAnsi="Arial" w:cs="Arial"/>
          <w:b/>
          <w:bCs/>
          <w:sz w:val="20"/>
          <w:szCs w:val="20"/>
        </w:rPr>
        <w:t xml:space="preserve">i) </w:t>
      </w:r>
      <w:r w:rsidRPr="00306F4D">
        <w:rPr>
          <w:rFonts w:ascii="Arial" w:eastAsia="Arial" w:hAnsi="Arial" w:cs="Arial"/>
          <w:sz w:val="20"/>
          <w:szCs w:val="20"/>
        </w:rPr>
        <w:t>in the RCP4.5 scenario, temperature change is significant over the whole region, with average increase of 0.8°C, and seasonally significant change during JJA and SON, with more significant change in Tn</w:t>
      </w:r>
      <w:r w:rsidR="0878A1D0" w:rsidRPr="00306F4D">
        <w:rPr>
          <w:rFonts w:ascii="Arial" w:eastAsia="Arial" w:hAnsi="Arial" w:cs="Arial"/>
          <w:sz w:val="20"/>
          <w:szCs w:val="20"/>
          <w:vertAlign w:val="superscript"/>
        </w:rPr>
        <w:footnoteReference w:id="72"/>
      </w:r>
      <w:r w:rsidRPr="00306F4D">
        <w:rPr>
          <w:rFonts w:ascii="Arial" w:eastAsia="Arial" w:hAnsi="Arial" w:cs="Arial"/>
          <w:sz w:val="20"/>
          <w:szCs w:val="20"/>
        </w:rPr>
        <w:t xml:space="preserve"> than Tx.</w:t>
      </w:r>
      <w:r w:rsidR="00D7067C" w:rsidRPr="00306F4D">
        <w:rPr>
          <w:rFonts w:ascii="Arial" w:eastAsia="Arial" w:hAnsi="Arial" w:cs="Arial"/>
          <w:sz w:val="20"/>
          <w:szCs w:val="20"/>
          <w:vertAlign w:val="superscript"/>
        </w:rPr>
        <w:footnoteReference w:id="73"/>
      </w:r>
      <w:r w:rsidR="2B481FBD" w:rsidRPr="00306F4D">
        <w:rPr>
          <w:rFonts w:ascii="Arial" w:eastAsia="Arial" w:hAnsi="Arial" w:cs="Arial"/>
          <w:sz w:val="20"/>
          <w:szCs w:val="20"/>
        </w:rPr>
        <w:t>;</w:t>
      </w:r>
      <w:r w:rsidRPr="00306F4D">
        <w:rPr>
          <w:rFonts w:ascii="Arial" w:eastAsia="Arial" w:hAnsi="Arial" w:cs="Arial"/>
          <w:sz w:val="20"/>
          <w:szCs w:val="20"/>
        </w:rPr>
        <w:t xml:space="preserve"> </w:t>
      </w:r>
      <w:r w:rsidRPr="00306F4D">
        <w:rPr>
          <w:rFonts w:ascii="Arial" w:eastAsia="Arial" w:hAnsi="Arial" w:cs="Arial"/>
          <w:b/>
          <w:bCs/>
          <w:sz w:val="20"/>
          <w:szCs w:val="20"/>
        </w:rPr>
        <w:t xml:space="preserve">ii) </w:t>
      </w:r>
      <w:r w:rsidRPr="00306F4D">
        <w:rPr>
          <w:rFonts w:ascii="Arial" w:eastAsia="Arial" w:hAnsi="Arial" w:cs="Arial"/>
          <w:sz w:val="20"/>
          <w:szCs w:val="20"/>
        </w:rPr>
        <w:t>in the RCP8.5 scenario, temperature change is also significant over the whole region, with an average regional increase of 1.0°C, reaching the highest increase in JJA.</w:t>
      </w:r>
      <w:r w:rsidR="00D7067C" w:rsidRPr="00306F4D">
        <w:rPr>
          <w:rFonts w:ascii="Arial" w:eastAsia="Arial" w:hAnsi="Arial" w:cs="Arial"/>
          <w:sz w:val="20"/>
          <w:szCs w:val="20"/>
          <w:vertAlign w:val="superscript"/>
        </w:rPr>
        <w:footnoteReference w:id="74"/>
      </w:r>
    </w:p>
    <w:p w14:paraId="67E36F5D" w14:textId="25360AFA" w:rsidR="00D7067C" w:rsidRPr="00306F4D" w:rsidRDefault="0BFB55E3" w:rsidP="00D7067C">
      <w:pPr>
        <w:tabs>
          <w:tab w:val="left" w:pos="360"/>
        </w:tabs>
        <w:autoSpaceDE w:val="0"/>
        <w:autoSpaceDN w:val="0"/>
        <w:adjustRightInd w:val="0"/>
        <w:spacing w:before="120" w:after="240" w:line="276" w:lineRule="auto"/>
        <w:jc w:val="both"/>
        <w:rPr>
          <w:rFonts w:ascii="Arial" w:eastAsia="Arial" w:hAnsi="Arial" w:cs="Arial"/>
          <w:sz w:val="20"/>
          <w:szCs w:val="20"/>
        </w:rPr>
      </w:pPr>
      <w:r w:rsidRPr="00306F4D">
        <w:rPr>
          <w:rFonts w:ascii="Arial" w:eastAsia="Arial" w:hAnsi="Arial" w:cs="Arial"/>
          <w:sz w:val="20"/>
          <w:szCs w:val="20"/>
        </w:rPr>
        <w:lastRenderedPageBreak/>
        <w:t xml:space="preserve">For </w:t>
      </w:r>
      <w:r w:rsidR="52DA0754" w:rsidRPr="00306F4D">
        <w:rPr>
          <w:rFonts w:ascii="Arial" w:eastAsia="Arial" w:hAnsi="Arial" w:cs="Arial"/>
          <w:b/>
          <w:bCs/>
          <w:sz w:val="20"/>
          <w:szCs w:val="20"/>
        </w:rPr>
        <w:t>the mid-century period (2046-2065)</w:t>
      </w:r>
      <w:r w:rsidR="52DA0754" w:rsidRPr="00306F4D">
        <w:rPr>
          <w:rFonts w:ascii="Arial" w:eastAsia="Arial" w:hAnsi="Arial" w:cs="Arial"/>
          <w:sz w:val="20"/>
          <w:szCs w:val="20"/>
        </w:rPr>
        <w:t xml:space="preserve">: </w:t>
      </w:r>
      <w:r w:rsidR="52DA0754" w:rsidRPr="00306F4D">
        <w:rPr>
          <w:rFonts w:ascii="Arial" w:eastAsia="Arial" w:hAnsi="Arial" w:cs="Arial"/>
          <w:b/>
          <w:bCs/>
          <w:sz w:val="20"/>
          <w:szCs w:val="20"/>
        </w:rPr>
        <w:t xml:space="preserve">i) </w:t>
      </w:r>
      <w:r w:rsidR="52DA0754" w:rsidRPr="00306F4D">
        <w:rPr>
          <w:rFonts w:ascii="Arial" w:eastAsia="Arial" w:hAnsi="Arial" w:cs="Arial"/>
          <w:sz w:val="20"/>
          <w:szCs w:val="20"/>
        </w:rPr>
        <w:t>in the RCP4.5 scenario, temperature change is significant over the whole region, with average increase of 1.6°C, and seasonally significant change in JJA and in Tx, between 2.0°C and 3.0°</w:t>
      </w:r>
      <w:proofErr w:type="spellStart"/>
      <w:r w:rsidR="52DA0754" w:rsidRPr="00306F4D">
        <w:rPr>
          <w:rFonts w:ascii="Arial" w:eastAsia="Arial" w:hAnsi="Arial" w:cs="Arial"/>
          <w:sz w:val="20"/>
          <w:szCs w:val="20"/>
        </w:rPr>
        <w:t>C over</w:t>
      </w:r>
      <w:proofErr w:type="spellEnd"/>
      <w:r w:rsidR="52DA0754" w:rsidRPr="00306F4D">
        <w:rPr>
          <w:rFonts w:ascii="Arial" w:eastAsia="Arial" w:hAnsi="Arial" w:cs="Arial"/>
          <w:sz w:val="20"/>
          <w:szCs w:val="20"/>
        </w:rPr>
        <w:t xml:space="preserve"> most of the region.</w:t>
      </w:r>
      <w:r w:rsidR="00D7067C" w:rsidRPr="00306F4D">
        <w:rPr>
          <w:rFonts w:ascii="Arial" w:eastAsia="Arial" w:hAnsi="Arial" w:cs="Arial"/>
          <w:sz w:val="20"/>
          <w:szCs w:val="20"/>
          <w:vertAlign w:val="superscript"/>
        </w:rPr>
        <w:footnoteReference w:id="75"/>
      </w:r>
      <w:r w:rsidR="52DA0754" w:rsidRPr="00306F4D">
        <w:rPr>
          <w:rFonts w:ascii="Arial" w:eastAsia="Arial" w:hAnsi="Arial" w:cs="Arial"/>
          <w:sz w:val="20"/>
          <w:szCs w:val="20"/>
        </w:rPr>
        <w:t xml:space="preserve"> </w:t>
      </w:r>
      <w:r w:rsidR="52DA0754" w:rsidRPr="00306F4D">
        <w:rPr>
          <w:rFonts w:ascii="Arial" w:eastAsia="Arial" w:hAnsi="Arial" w:cs="Arial"/>
          <w:b/>
          <w:bCs/>
          <w:sz w:val="20"/>
          <w:szCs w:val="20"/>
        </w:rPr>
        <w:t xml:space="preserve">ii) </w:t>
      </w:r>
      <w:r w:rsidR="52DA0754" w:rsidRPr="00306F4D">
        <w:rPr>
          <w:rFonts w:ascii="Arial" w:eastAsia="Arial" w:hAnsi="Arial" w:cs="Arial"/>
          <w:sz w:val="20"/>
          <w:szCs w:val="20"/>
        </w:rPr>
        <w:t xml:space="preserve">in the RCP8.5 scenario, temperature change is extreme over the whole region, with an average regional increase of 2.1°C and above 2.0°C </w:t>
      </w:r>
      <w:r w:rsidR="79F7F475" w:rsidRPr="00306F4D">
        <w:rPr>
          <w:rFonts w:ascii="Arial" w:eastAsia="Arial" w:hAnsi="Arial" w:cs="Arial"/>
          <w:sz w:val="20"/>
          <w:szCs w:val="20"/>
        </w:rPr>
        <w:t>increase</w:t>
      </w:r>
      <w:r w:rsidR="52DA0754" w:rsidRPr="00306F4D">
        <w:rPr>
          <w:rFonts w:ascii="Arial" w:eastAsia="Arial" w:hAnsi="Arial" w:cs="Arial"/>
          <w:sz w:val="20"/>
          <w:szCs w:val="20"/>
        </w:rPr>
        <w:t xml:space="preserve"> over most of the region most of the year.</w:t>
      </w:r>
      <w:r w:rsidR="00D7067C" w:rsidRPr="00306F4D">
        <w:rPr>
          <w:rFonts w:ascii="Arial" w:eastAsia="Arial" w:hAnsi="Arial" w:cs="Arial"/>
          <w:sz w:val="20"/>
          <w:szCs w:val="20"/>
          <w:vertAlign w:val="superscript"/>
        </w:rPr>
        <w:footnoteReference w:id="76"/>
      </w:r>
    </w:p>
    <w:p w14:paraId="45CA5008" w14:textId="183AEAD2" w:rsidR="00D7067C" w:rsidRPr="00306F4D" w:rsidRDefault="15FC3615" w:rsidP="00D7067C">
      <w:pPr>
        <w:tabs>
          <w:tab w:val="left" w:pos="360"/>
        </w:tabs>
        <w:autoSpaceDE w:val="0"/>
        <w:autoSpaceDN w:val="0"/>
        <w:adjustRightInd w:val="0"/>
        <w:spacing w:before="120" w:after="240" w:line="276" w:lineRule="auto"/>
        <w:jc w:val="both"/>
        <w:rPr>
          <w:rFonts w:ascii="Arial" w:eastAsia="Arial" w:hAnsi="Arial" w:cs="Arial"/>
          <w:sz w:val="20"/>
          <w:szCs w:val="20"/>
        </w:rPr>
      </w:pPr>
      <w:r w:rsidRPr="00306F4D">
        <w:rPr>
          <w:rFonts w:ascii="Arial" w:eastAsia="Arial" w:hAnsi="Arial" w:cs="Arial"/>
          <w:sz w:val="20"/>
          <w:szCs w:val="20"/>
        </w:rPr>
        <w:t>For</w:t>
      </w:r>
      <w:r w:rsidR="52DA0754" w:rsidRPr="00306F4D">
        <w:rPr>
          <w:rFonts w:ascii="Arial" w:eastAsia="Arial" w:hAnsi="Arial" w:cs="Arial"/>
          <w:sz w:val="20"/>
          <w:szCs w:val="20"/>
        </w:rPr>
        <w:t xml:space="preserve"> the </w:t>
      </w:r>
      <w:r w:rsidR="52DA0754" w:rsidRPr="00306F4D">
        <w:rPr>
          <w:rFonts w:ascii="Arial" w:eastAsia="Arial" w:hAnsi="Arial" w:cs="Arial"/>
          <w:b/>
          <w:bCs/>
          <w:sz w:val="20"/>
          <w:szCs w:val="20"/>
        </w:rPr>
        <w:t>end-of-the-century (2081-2100)</w:t>
      </w:r>
      <w:r w:rsidR="52DA0754" w:rsidRPr="00306F4D">
        <w:rPr>
          <w:rFonts w:ascii="Arial" w:eastAsia="Arial" w:hAnsi="Arial" w:cs="Arial"/>
          <w:sz w:val="20"/>
          <w:szCs w:val="20"/>
        </w:rPr>
        <w:t xml:space="preserve"> RCC (2018) calculates that the projected temperature changes are: </w:t>
      </w:r>
      <w:r w:rsidR="52DA0754" w:rsidRPr="00306F4D">
        <w:rPr>
          <w:rFonts w:ascii="Arial" w:eastAsia="Arial" w:hAnsi="Arial" w:cs="Arial"/>
          <w:b/>
          <w:bCs/>
          <w:sz w:val="20"/>
          <w:szCs w:val="20"/>
        </w:rPr>
        <w:t xml:space="preserve">i) </w:t>
      </w:r>
      <w:r w:rsidR="52DA0754" w:rsidRPr="00306F4D">
        <w:rPr>
          <w:rFonts w:ascii="Arial" w:eastAsia="Arial" w:hAnsi="Arial" w:cs="Arial"/>
          <w:sz w:val="20"/>
          <w:szCs w:val="20"/>
        </w:rPr>
        <w:t>in the RCP4.5 scenario, temperature change is significant over the whole region, with average increase of 2.0°C, but stabilizes, and seasonally pronounced change in Tx in JJA and SON.</w:t>
      </w:r>
      <w:r w:rsidR="00D7067C" w:rsidRPr="00306F4D">
        <w:rPr>
          <w:rFonts w:ascii="Arial" w:eastAsia="Arial" w:hAnsi="Arial" w:cs="Arial"/>
          <w:sz w:val="20"/>
          <w:szCs w:val="20"/>
          <w:vertAlign w:val="superscript"/>
        </w:rPr>
        <w:footnoteReference w:id="77"/>
      </w:r>
      <w:r w:rsidR="52DA0754" w:rsidRPr="00306F4D">
        <w:rPr>
          <w:rFonts w:ascii="Arial" w:eastAsia="Arial" w:hAnsi="Arial" w:cs="Arial"/>
          <w:sz w:val="20"/>
          <w:szCs w:val="20"/>
        </w:rPr>
        <w:t xml:space="preserve"> </w:t>
      </w:r>
      <w:r w:rsidR="52DA0754" w:rsidRPr="00306F4D">
        <w:rPr>
          <w:rFonts w:ascii="Arial" w:eastAsia="Arial" w:hAnsi="Arial" w:cs="Arial"/>
          <w:b/>
          <w:bCs/>
          <w:sz w:val="20"/>
          <w:szCs w:val="20"/>
        </w:rPr>
        <w:t xml:space="preserve">ii) </w:t>
      </w:r>
      <w:r w:rsidR="52DA0754" w:rsidRPr="00306F4D">
        <w:rPr>
          <w:rFonts w:ascii="Arial" w:eastAsia="Arial" w:hAnsi="Arial" w:cs="Arial"/>
          <w:sz w:val="20"/>
          <w:szCs w:val="20"/>
        </w:rPr>
        <w:t xml:space="preserve">in the RCP8.5 scenario, temperature change will not </w:t>
      </w:r>
      <w:r w:rsidR="79F7F475" w:rsidRPr="00306F4D">
        <w:rPr>
          <w:rFonts w:ascii="Arial" w:eastAsia="Arial" w:hAnsi="Arial" w:cs="Arial"/>
          <w:sz w:val="20"/>
          <w:szCs w:val="20"/>
        </w:rPr>
        <w:t>stabilize</w:t>
      </w:r>
      <w:r w:rsidR="52DA0754" w:rsidRPr="00306F4D">
        <w:rPr>
          <w:rFonts w:ascii="Arial" w:eastAsia="Arial" w:hAnsi="Arial" w:cs="Arial"/>
          <w:sz w:val="20"/>
          <w:szCs w:val="20"/>
        </w:rPr>
        <w:t xml:space="preserve"> and will continue to significantly increase to extremes, reaching a regional average increase of 4.4°C, with </w:t>
      </w:r>
      <w:r w:rsidR="79F7F475" w:rsidRPr="00306F4D">
        <w:rPr>
          <w:rFonts w:ascii="Arial" w:eastAsia="Arial" w:hAnsi="Arial" w:cs="Arial"/>
          <w:sz w:val="20"/>
          <w:szCs w:val="20"/>
        </w:rPr>
        <w:t>the</w:t>
      </w:r>
      <w:r w:rsidR="52DA0754" w:rsidRPr="00306F4D">
        <w:rPr>
          <w:rFonts w:ascii="Arial" w:eastAsia="Arial" w:hAnsi="Arial" w:cs="Arial"/>
          <w:sz w:val="20"/>
          <w:szCs w:val="20"/>
        </w:rPr>
        <w:t xml:space="preserve"> most pronounced increase in JJA of over 5.0°C increase over most of the region.</w:t>
      </w:r>
      <w:r w:rsidR="00D7067C" w:rsidRPr="00306F4D">
        <w:rPr>
          <w:rFonts w:ascii="Arial" w:eastAsia="Arial" w:hAnsi="Arial" w:cs="Arial"/>
          <w:sz w:val="20"/>
          <w:szCs w:val="20"/>
          <w:vertAlign w:val="superscript"/>
        </w:rPr>
        <w:footnoteReference w:id="78"/>
      </w:r>
    </w:p>
    <w:p w14:paraId="4731DD1E" w14:textId="6795A081" w:rsidR="00D7067C" w:rsidRPr="00306F4D" w:rsidRDefault="19A75A43" w:rsidP="02E2BB75">
      <w:pPr>
        <w:tabs>
          <w:tab w:val="left" w:pos="360"/>
        </w:tabs>
        <w:autoSpaceDE w:val="0"/>
        <w:autoSpaceDN w:val="0"/>
        <w:adjustRightInd w:val="0"/>
        <w:spacing w:before="120" w:after="240" w:line="276" w:lineRule="auto"/>
        <w:jc w:val="both"/>
        <w:rPr>
          <w:rFonts w:ascii="Arial" w:eastAsia="Arial" w:hAnsi="Arial" w:cs="Arial"/>
          <w:sz w:val="20"/>
          <w:szCs w:val="20"/>
        </w:rPr>
      </w:pPr>
      <w:r w:rsidRPr="00306F4D">
        <w:rPr>
          <w:rFonts w:ascii="Arial" w:eastAsia="Arial" w:hAnsi="Arial" w:cs="Arial"/>
          <w:sz w:val="20"/>
          <w:szCs w:val="20"/>
        </w:rPr>
        <w:t xml:space="preserve">Projected changes in the main climate indicators and indices for temperature in the Western Balkans, as calculated by RCC (2018), include frost days, icing days, very hot days, and heat waves. RCC (2018) also calculates valuable special climate indicators, which proxy the impacts of climate change in the region on livelihoods, ecosystems, food security, and health, including growing season, very hot dry spells (HDS), </w:t>
      </w:r>
      <w:r w:rsidR="27A60165" w:rsidRPr="00306F4D">
        <w:rPr>
          <w:rFonts w:ascii="Arial" w:eastAsia="Arial" w:hAnsi="Arial" w:cs="Arial"/>
          <w:sz w:val="20"/>
          <w:szCs w:val="20"/>
        </w:rPr>
        <w:t xml:space="preserve">and </w:t>
      </w:r>
      <w:r w:rsidRPr="00306F4D">
        <w:rPr>
          <w:rFonts w:ascii="Arial" w:eastAsia="Arial" w:hAnsi="Arial" w:cs="Arial"/>
          <w:sz w:val="20"/>
          <w:szCs w:val="20"/>
        </w:rPr>
        <w:t>maize yield (SHC):</w:t>
      </w:r>
    </w:p>
    <w:tbl>
      <w:tblPr>
        <w:tblStyle w:val="TableGrid"/>
        <w:tblW w:w="9355" w:type="dxa"/>
        <w:tblLook w:val="04A0" w:firstRow="1" w:lastRow="0" w:firstColumn="1" w:lastColumn="0" w:noHBand="0" w:noVBand="1"/>
      </w:tblPr>
      <w:tblGrid>
        <w:gridCol w:w="1026"/>
        <w:gridCol w:w="2797"/>
        <w:gridCol w:w="2896"/>
        <w:gridCol w:w="2636"/>
      </w:tblGrid>
      <w:tr w:rsidR="007B4403" w:rsidRPr="00306F4D" w14:paraId="610A09E3" w14:textId="5B69E223" w:rsidTr="0025418E">
        <w:trPr>
          <w:trHeight w:val="300"/>
        </w:trPr>
        <w:tc>
          <w:tcPr>
            <w:tcW w:w="1026" w:type="dxa"/>
          </w:tcPr>
          <w:p w14:paraId="78FFDAB9" w14:textId="77777777" w:rsidR="00203E4B" w:rsidRPr="00306F4D" w:rsidRDefault="00203E4B" w:rsidP="005F7AC4">
            <w:pPr>
              <w:tabs>
                <w:tab w:val="left" w:pos="360"/>
              </w:tabs>
              <w:autoSpaceDE w:val="0"/>
              <w:autoSpaceDN w:val="0"/>
              <w:adjustRightInd w:val="0"/>
              <w:spacing w:line="276" w:lineRule="auto"/>
              <w:rPr>
                <w:rFonts w:ascii="Arial" w:eastAsia="Arial" w:hAnsi="Arial" w:cs="Arial"/>
                <w:sz w:val="16"/>
                <w:szCs w:val="16"/>
              </w:rPr>
            </w:pPr>
          </w:p>
        </w:tc>
        <w:tc>
          <w:tcPr>
            <w:tcW w:w="2797" w:type="dxa"/>
          </w:tcPr>
          <w:p w14:paraId="0E23B90D" w14:textId="5D8E25DD" w:rsidR="00203E4B" w:rsidRPr="00306F4D" w:rsidRDefault="75C4BC90" w:rsidP="005F7AC4">
            <w:pPr>
              <w:tabs>
                <w:tab w:val="left" w:pos="360"/>
              </w:tabs>
              <w:autoSpaceDE w:val="0"/>
              <w:autoSpaceDN w:val="0"/>
              <w:adjustRightInd w:val="0"/>
              <w:spacing w:line="276" w:lineRule="auto"/>
              <w:jc w:val="center"/>
              <w:rPr>
                <w:rFonts w:ascii="Arial" w:eastAsia="Arial" w:hAnsi="Arial" w:cs="Arial"/>
                <w:sz w:val="16"/>
                <w:szCs w:val="16"/>
              </w:rPr>
            </w:pPr>
            <w:r w:rsidRPr="00306F4D">
              <w:rPr>
                <w:rFonts w:ascii="Arial" w:eastAsia="Arial" w:hAnsi="Arial" w:cs="Arial"/>
                <w:b/>
                <w:bCs/>
                <w:sz w:val="16"/>
                <w:szCs w:val="16"/>
              </w:rPr>
              <w:t>2016-2035</w:t>
            </w:r>
          </w:p>
        </w:tc>
        <w:tc>
          <w:tcPr>
            <w:tcW w:w="2896" w:type="dxa"/>
          </w:tcPr>
          <w:p w14:paraId="1E35D37C" w14:textId="2968D573" w:rsidR="00203E4B" w:rsidRPr="00306F4D" w:rsidRDefault="75C4BC90" w:rsidP="005F7AC4">
            <w:pPr>
              <w:tabs>
                <w:tab w:val="left" w:pos="360"/>
              </w:tabs>
              <w:autoSpaceDE w:val="0"/>
              <w:autoSpaceDN w:val="0"/>
              <w:adjustRightInd w:val="0"/>
              <w:spacing w:line="276" w:lineRule="auto"/>
              <w:jc w:val="center"/>
              <w:rPr>
                <w:rFonts w:ascii="Arial" w:eastAsia="Arial" w:hAnsi="Arial" w:cs="Arial"/>
                <w:sz w:val="16"/>
                <w:szCs w:val="16"/>
              </w:rPr>
            </w:pPr>
            <w:r w:rsidRPr="00306F4D">
              <w:rPr>
                <w:rFonts w:ascii="Arial" w:eastAsia="Arial" w:hAnsi="Arial" w:cs="Arial"/>
                <w:b/>
                <w:bCs/>
                <w:sz w:val="16"/>
                <w:szCs w:val="16"/>
              </w:rPr>
              <w:t>2046-2065</w:t>
            </w:r>
          </w:p>
        </w:tc>
        <w:tc>
          <w:tcPr>
            <w:tcW w:w="2636" w:type="dxa"/>
            <w:tcBorders>
              <w:top w:val="single" w:sz="4" w:space="0" w:color="auto"/>
              <w:bottom w:val="single" w:sz="4" w:space="0" w:color="auto"/>
              <w:right w:val="single" w:sz="4" w:space="0" w:color="auto"/>
            </w:tcBorders>
          </w:tcPr>
          <w:p w14:paraId="36FA2DDC" w14:textId="77777777" w:rsidR="007B4403" w:rsidRPr="00306F4D" w:rsidRDefault="582FF64E" w:rsidP="02E2BB75">
            <w:pPr>
              <w:jc w:val="center"/>
              <w:rPr>
                <w:rFonts w:ascii="Arial" w:eastAsia="Arial" w:hAnsi="Arial" w:cs="Arial"/>
                <w:b/>
                <w:bCs/>
                <w:sz w:val="16"/>
                <w:szCs w:val="16"/>
              </w:rPr>
            </w:pPr>
            <w:r w:rsidRPr="00306F4D">
              <w:rPr>
                <w:rFonts w:ascii="Arial" w:eastAsia="Arial" w:hAnsi="Arial" w:cs="Arial"/>
                <w:b/>
                <w:bCs/>
                <w:sz w:val="16"/>
                <w:szCs w:val="16"/>
              </w:rPr>
              <w:t>2081-2100</w:t>
            </w:r>
          </w:p>
          <w:p w14:paraId="08153FE5" w14:textId="6148D217" w:rsidR="005C00A3" w:rsidRPr="00306F4D" w:rsidRDefault="44DE8C85" w:rsidP="005F7AC4">
            <w:pPr>
              <w:jc w:val="center"/>
              <w:rPr>
                <w:rFonts w:ascii="Arial" w:eastAsia="Arial" w:hAnsi="Arial" w:cs="Arial"/>
                <w:sz w:val="16"/>
                <w:szCs w:val="16"/>
              </w:rPr>
            </w:pPr>
            <w:r w:rsidRPr="00306F4D">
              <w:rPr>
                <w:rFonts w:ascii="Arial" w:eastAsia="Arial" w:hAnsi="Arial" w:cs="Arial"/>
                <w:b/>
                <w:bCs/>
                <w:sz w:val="16"/>
                <w:szCs w:val="16"/>
              </w:rPr>
              <w:t>(</w:t>
            </w:r>
            <w:r w:rsidRPr="00306F4D">
              <w:rPr>
                <w:rFonts w:ascii="Arial" w:eastAsia="Arial" w:hAnsi="Arial" w:cs="Arial"/>
                <w:sz w:val="16"/>
                <w:szCs w:val="16"/>
              </w:rPr>
              <w:t>RCP8.5)</w:t>
            </w:r>
          </w:p>
        </w:tc>
      </w:tr>
      <w:tr w:rsidR="00203E4B" w:rsidRPr="00306F4D" w14:paraId="70905D6B" w14:textId="77777777" w:rsidTr="0025418E">
        <w:trPr>
          <w:trHeight w:val="300"/>
        </w:trPr>
        <w:tc>
          <w:tcPr>
            <w:tcW w:w="1026" w:type="dxa"/>
          </w:tcPr>
          <w:p w14:paraId="4E28BE99" w14:textId="43520250" w:rsidR="00203E4B" w:rsidRPr="00306F4D" w:rsidRDefault="75C4BC90" w:rsidP="005F7AC4">
            <w:pPr>
              <w:tabs>
                <w:tab w:val="left" w:pos="360"/>
              </w:tabs>
              <w:autoSpaceDE w:val="0"/>
              <w:autoSpaceDN w:val="0"/>
              <w:adjustRightInd w:val="0"/>
              <w:spacing w:line="276" w:lineRule="auto"/>
              <w:rPr>
                <w:rFonts w:ascii="Arial" w:eastAsia="Arial" w:hAnsi="Arial" w:cs="Arial"/>
                <w:sz w:val="16"/>
                <w:szCs w:val="16"/>
              </w:rPr>
            </w:pPr>
            <w:r w:rsidRPr="00306F4D">
              <w:rPr>
                <w:rFonts w:ascii="Arial" w:eastAsia="Arial" w:hAnsi="Arial" w:cs="Arial"/>
                <w:b/>
                <w:bCs/>
                <w:sz w:val="16"/>
                <w:szCs w:val="16"/>
              </w:rPr>
              <w:t>Frost</w:t>
            </w:r>
          </w:p>
        </w:tc>
        <w:tc>
          <w:tcPr>
            <w:tcW w:w="2797" w:type="dxa"/>
          </w:tcPr>
          <w:p w14:paraId="7D9E3ABC" w14:textId="39996C50" w:rsidR="00203E4B" w:rsidRPr="00306F4D" w:rsidRDefault="4E6EA7BF" w:rsidP="005F7AC4">
            <w:pPr>
              <w:tabs>
                <w:tab w:val="left" w:pos="360"/>
              </w:tabs>
              <w:autoSpaceDE w:val="0"/>
              <w:autoSpaceDN w:val="0"/>
              <w:adjustRightInd w:val="0"/>
              <w:spacing w:line="276" w:lineRule="auto"/>
              <w:jc w:val="both"/>
              <w:rPr>
                <w:rFonts w:ascii="Arial" w:eastAsia="Arial" w:hAnsi="Arial" w:cs="Arial"/>
                <w:sz w:val="16"/>
                <w:szCs w:val="16"/>
              </w:rPr>
            </w:pPr>
            <w:r w:rsidRPr="00306F4D">
              <w:rPr>
                <w:rFonts w:ascii="Arial" w:eastAsia="Arial" w:hAnsi="Arial" w:cs="Arial"/>
                <w:sz w:val="16"/>
                <w:szCs w:val="16"/>
              </w:rPr>
              <w:t>D</w:t>
            </w:r>
            <w:r w:rsidR="75C4BC90" w:rsidRPr="00306F4D">
              <w:rPr>
                <w:rFonts w:ascii="Arial" w:eastAsia="Arial" w:hAnsi="Arial" w:cs="Arial"/>
                <w:sz w:val="16"/>
                <w:szCs w:val="16"/>
              </w:rPr>
              <w:t xml:space="preserve">ecrease by 5-10 days </w:t>
            </w:r>
            <w:r w:rsidRPr="00306F4D">
              <w:rPr>
                <w:rFonts w:ascii="Arial" w:eastAsia="Arial" w:hAnsi="Arial" w:cs="Arial"/>
                <w:sz w:val="16"/>
                <w:szCs w:val="16"/>
              </w:rPr>
              <w:t>(</w:t>
            </w:r>
            <w:r w:rsidR="75C4BC90" w:rsidRPr="00306F4D">
              <w:rPr>
                <w:rFonts w:ascii="Arial" w:eastAsia="Arial" w:hAnsi="Arial" w:cs="Arial"/>
                <w:sz w:val="16"/>
                <w:szCs w:val="16"/>
              </w:rPr>
              <w:t>RCP4.5</w:t>
            </w:r>
            <w:r w:rsidRPr="00306F4D">
              <w:rPr>
                <w:rFonts w:ascii="Arial" w:eastAsia="Arial" w:hAnsi="Arial" w:cs="Arial"/>
                <w:sz w:val="16"/>
                <w:szCs w:val="16"/>
              </w:rPr>
              <w:t>)</w:t>
            </w:r>
            <w:r w:rsidR="75C4BC90" w:rsidRPr="00306F4D">
              <w:rPr>
                <w:rFonts w:ascii="Arial" w:eastAsia="Arial" w:hAnsi="Arial" w:cs="Arial"/>
                <w:sz w:val="16"/>
                <w:szCs w:val="16"/>
              </w:rPr>
              <w:t>, but with a significant decrease (10-20 days) over the southern and higher altitude parts of the region.</w:t>
            </w:r>
          </w:p>
        </w:tc>
        <w:tc>
          <w:tcPr>
            <w:tcW w:w="2896" w:type="dxa"/>
          </w:tcPr>
          <w:p w14:paraId="4E3D1FBA" w14:textId="2132600D" w:rsidR="00203E4B" w:rsidRPr="00306F4D" w:rsidRDefault="759C8F01" w:rsidP="005F7AC4">
            <w:pPr>
              <w:tabs>
                <w:tab w:val="left" w:pos="360"/>
              </w:tabs>
              <w:autoSpaceDE w:val="0"/>
              <w:autoSpaceDN w:val="0"/>
              <w:adjustRightInd w:val="0"/>
              <w:spacing w:line="276" w:lineRule="auto"/>
              <w:jc w:val="both"/>
              <w:rPr>
                <w:rFonts w:ascii="Arial" w:eastAsia="Arial" w:hAnsi="Arial" w:cs="Arial"/>
                <w:sz w:val="16"/>
                <w:szCs w:val="16"/>
              </w:rPr>
            </w:pPr>
            <w:r w:rsidRPr="00306F4D">
              <w:rPr>
                <w:rFonts w:ascii="Arial" w:eastAsia="Arial" w:hAnsi="Arial" w:cs="Arial"/>
                <w:sz w:val="16"/>
                <w:szCs w:val="16"/>
              </w:rPr>
              <w:t>D</w:t>
            </w:r>
            <w:r w:rsidR="75C4BC90" w:rsidRPr="00306F4D">
              <w:rPr>
                <w:rFonts w:ascii="Arial" w:eastAsia="Arial" w:hAnsi="Arial" w:cs="Arial"/>
                <w:sz w:val="16"/>
                <w:szCs w:val="16"/>
              </w:rPr>
              <w:t>ecrease by 10-20 days under RCP4.5 and by 20-30 days under RCP8.5</w:t>
            </w:r>
            <w:r w:rsidR="37336DA1" w:rsidRPr="00306F4D">
              <w:rPr>
                <w:rFonts w:ascii="Arial" w:eastAsia="Arial" w:hAnsi="Arial" w:cs="Arial"/>
                <w:sz w:val="16"/>
                <w:szCs w:val="16"/>
              </w:rPr>
              <w:t>.</w:t>
            </w:r>
          </w:p>
        </w:tc>
        <w:tc>
          <w:tcPr>
            <w:tcW w:w="2636" w:type="dxa"/>
          </w:tcPr>
          <w:p w14:paraId="28DBE5C7" w14:textId="3E8B1D37" w:rsidR="005673E6" w:rsidRPr="00306F4D" w:rsidRDefault="130700BF" w:rsidP="005F7AC4">
            <w:pPr>
              <w:tabs>
                <w:tab w:val="left" w:pos="360"/>
              </w:tabs>
              <w:autoSpaceDE w:val="0"/>
              <w:autoSpaceDN w:val="0"/>
              <w:adjustRightInd w:val="0"/>
              <w:spacing w:line="276" w:lineRule="auto"/>
              <w:jc w:val="both"/>
              <w:rPr>
                <w:rFonts w:ascii="Arial" w:eastAsia="Arial" w:hAnsi="Arial" w:cs="Arial"/>
                <w:sz w:val="16"/>
                <w:szCs w:val="16"/>
              </w:rPr>
            </w:pPr>
            <w:r w:rsidRPr="00306F4D">
              <w:rPr>
                <w:rFonts w:ascii="Arial" w:eastAsia="Arial" w:hAnsi="Arial" w:cs="Arial"/>
                <w:sz w:val="16"/>
                <w:szCs w:val="16"/>
              </w:rPr>
              <w:t>D</w:t>
            </w:r>
            <w:r w:rsidR="44DE8C85" w:rsidRPr="00306F4D">
              <w:rPr>
                <w:rFonts w:ascii="Arial" w:eastAsia="Arial" w:hAnsi="Arial" w:cs="Arial"/>
                <w:sz w:val="16"/>
                <w:szCs w:val="16"/>
              </w:rPr>
              <w:t>ecrease by over 50 days over the region</w:t>
            </w:r>
            <w:r w:rsidRPr="00306F4D">
              <w:rPr>
                <w:rFonts w:ascii="Arial" w:eastAsia="Arial" w:hAnsi="Arial" w:cs="Arial"/>
                <w:sz w:val="16"/>
                <w:szCs w:val="16"/>
              </w:rPr>
              <w:t>.</w:t>
            </w:r>
          </w:p>
          <w:p w14:paraId="19F6F78B" w14:textId="77777777" w:rsidR="00203E4B" w:rsidRPr="00306F4D" w:rsidRDefault="00203E4B" w:rsidP="005F7AC4">
            <w:pPr>
              <w:tabs>
                <w:tab w:val="left" w:pos="360"/>
              </w:tabs>
              <w:autoSpaceDE w:val="0"/>
              <w:autoSpaceDN w:val="0"/>
              <w:adjustRightInd w:val="0"/>
              <w:spacing w:line="276" w:lineRule="auto"/>
              <w:jc w:val="both"/>
              <w:rPr>
                <w:rFonts w:ascii="Arial" w:eastAsia="Arial" w:hAnsi="Arial" w:cs="Arial"/>
                <w:sz w:val="16"/>
                <w:szCs w:val="16"/>
              </w:rPr>
            </w:pPr>
          </w:p>
        </w:tc>
      </w:tr>
      <w:tr w:rsidR="00203E4B" w:rsidRPr="00306F4D" w14:paraId="3151E6A4" w14:textId="77777777" w:rsidTr="0025418E">
        <w:trPr>
          <w:trHeight w:val="300"/>
        </w:trPr>
        <w:tc>
          <w:tcPr>
            <w:tcW w:w="1026" w:type="dxa"/>
          </w:tcPr>
          <w:p w14:paraId="6D5CD478" w14:textId="283BA881" w:rsidR="00203E4B" w:rsidRPr="00306F4D" w:rsidRDefault="75C4BC90" w:rsidP="005F7AC4">
            <w:pPr>
              <w:tabs>
                <w:tab w:val="left" w:pos="360"/>
              </w:tabs>
              <w:autoSpaceDE w:val="0"/>
              <w:autoSpaceDN w:val="0"/>
              <w:adjustRightInd w:val="0"/>
              <w:spacing w:line="276" w:lineRule="auto"/>
              <w:rPr>
                <w:rFonts w:ascii="Arial" w:eastAsia="Arial" w:hAnsi="Arial" w:cs="Arial"/>
                <w:sz w:val="16"/>
                <w:szCs w:val="16"/>
              </w:rPr>
            </w:pPr>
            <w:r w:rsidRPr="00306F4D">
              <w:rPr>
                <w:rFonts w:ascii="Arial" w:eastAsia="Arial" w:hAnsi="Arial" w:cs="Arial"/>
                <w:b/>
                <w:bCs/>
                <w:sz w:val="16"/>
                <w:szCs w:val="16"/>
              </w:rPr>
              <w:t>Icing</w:t>
            </w:r>
          </w:p>
        </w:tc>
        <w:tc>
          <w:tcPr>
            <w:tcW w:w="2797" w:type="dxa"/>
          </w:tcPr>
          <w:p w14:paraId="1ECAA13E" w14:textId="726116F7" w:rsidR="00203E4B" w:rsidRPr="00306F4D" w:rsidRDefault="4E6EA7BF" w:rsidP="005F7AC4">
            <w:pPr>
              <w:tabs>
                <w:tab w:val="left" w:pos="360"/>
              </w:tabs>
              <w:autoSpaceDE w:val="0"/>
              <w:autoSpaceDN w:val="0"/>
              <w:adjustRightInd w:val="0"/>
              <w:spacing w:line="276" w:lineRule="auto"/>
              <w:jc w:val="both"/>
              <w:rPr>
                <w:rFonts w:ascii="Arial" w:eastAsia="Arial" w:hAnsi="Arial" w:cs="Arial"/>
                <w:sz w:val="16"/>
                <w:szCs w:val="16"/>
              </w:rPr>
            </w:pPr>
            <w:r w:rsidRPr="00306F4D">
              <w:rPr>
                <w:rFonts w:ascii="Arial" w:eastAsia="Arial" w:hAnsi="Arial" w:cs="Arial"/>
                <w:sz w:val="16"/>
                <w:szCs w:val="16"/>
              </w:rPr>
              <w:t>D</w:t>
            </w:r>
            <w:r w:rsidR="75C4BC90" w:rsidRPr="00306F4D">
              <w:rPr>
                <w:rFonts w:ascii="Arial" w:eastAsia="Arial" w:hAnsi="Arial" w:cs="Arial"/>
                <w:sz w:val="16"/>
                <w:szCs w:val="16"/>
              </w:rPr>
              <w:t>ecrease by 0-5 days, with a possibly higher decrease over some mountain areas in central parts of the region</w:t>
            </w:r>
            <w:r w:rsidR="6D1A6A2F" w:rsidRPr="00306F4D">
              <w:rPr>
                <w:rFonts w:ascii="Arial" w:eastAsia="Arial" w:hAnsi="Arial" w:cs="Arial"/>
                <w:sz w:val="16"/>
                <w:szCs w:val="16"/>
              </w:rPr>
              <w:t>.</w:t>
            </w:r>
          </w:p>
        </w:tc>
        <w:tc>
          <w:tcPr>
            <w:tcW w:w="2896" w:type="dxa"/>
          </w:tcPr>
          <w:p w14:paraId="1B2F1B1D" w14:textId="5F3B2083" w:rsidR="00203E4B" w:rsidRPr="00306F4D" w:rsidRDefault="37336DA1" w:rsidP="005F7AC4">
            <w:pPr>
              <w:tabs>
                <w:tab w:val="left" w:pos="360"/>
              </w:tabs>
              <w:autoSpaceDE w:val="0"/>
              <w:autoSpaceDN w:val="0"/>
              <w:adjustRightInd w:val="0"/>
              <w:spacing w:line="276" w:lineRule="auto"/>
              <w:jc w:val="both"/>
              <w:rPr>
                <w:rFonts w:ascii="Arial" w:eastAsia="Arial" w:hAnsi="Arial" w:cs="Arial"/>
                <w:sz w:val="16"/>
                <w:szCs w:val="16"/>
              </w:rPr>
            </w:pPr>
            <w:r w:rsidRPr="00306F4D">
              <w:rPr>
                <w:rFonts w:ascii="Arial" w:eastAsia="Arial" w:hAnsi="Arial" w:cs="Arial"/>
                <w:sz w:val="16"/>
                <w:szCs w:val="16"/>
              </w:rPr>
              <w:t>D</w:t>
            </w:r>
            <w:r w:rsidR="75C4BC90" w:rsidRPr="00306F4D">
              <w:rPr>
                <w:rFonts w:ascii="Arial" w:eastAsia="Arial" w:hAnsi="Arial" w:cs="Arial"/>
                <w:sz w:val="16"/>
                <w:szCs w:val="16"/>
              </w:rPr>
              <w:t>ecrease by 5-10 days under RCP4.5, and by 10-20 days under RCP8.5</w:t>
            </w:r>
            <w:r w:rsidRPr="00306F4D">
              <w:rPr>
                <w:rFonts w:ascii="Arial" w:eastAsia="Arial" w:hAnsi="Arial" w:cs="Arial"/>
                <w:sz w:val="16"/>
                <w:szCs w:val="16"/>
              </w:rPr>
              <w:t>.</w:t>
            </w:r>
          </w:p>
        </w:tc>
        <w:tc>
          <w:tcPr>
            <w:tcW w:w="2636" w:type="dxa"/>
          </w:tcPr>
          <w:p w14:paraId="792FE92B" w14:textId="51BCA64A" w:rsidR="00203E4B" w:rsidRPr="00306F4D" w:rsidRDefault="130700BF" w:rsidP="005F7AC4">
            <w:pPr>
              <w:tabs>
                <w:tab w:val="left" w:pos="360"/>
              </w:tabs>
              <w:autoSpaceDE w:val="0"/>
              <w:autoSpaceDN w:val="0"/>
              <w:adjustRightInd w:val="0"/>
              <w:spacing w:line="276" w:lineRule="auto"/>
              <w:jc w:val="both"/>
              <w:rPr>
                <w:rFonts w:ascii="Arial" w:eastAsia="Arial" w:hAnsi="Arial" w:cs="Arial"/>
                <w:sz w:val="16"/>
                <w:szCs w:val="16"/>
              </w:rPr>
            </w:pPr>
            <w:r w:rsidRPr="00306F4D">
              <w:rPr>
                <w:rFonts w:ascii="Arial" w:eastAsia="Arial" w:hAnsi="Arial" w:cs="Arial"/>
                <w:sz w:val="16"/>
                <w:szCs w:val="16"/>
              </w:rPr>
              <w:t>I</w:t>
            </w:r>
            <w:r w:rsidR="14F941E4" w:rsidRPr="00306F4D">
              <w:rPr>
                <w:rFonts w:ascii="Arial" w:eastAsia="Arial" w:hAnsi="Arial" w:cs="Arial"/>
                <w:sz w:val="16"/>
                <w:szCs w:val="16"/>
              </w:rPr>
              <w:t>cing days will appear only in mountain regions, but with a decrease of over 25 days</w:t>
            </w:r>
          </w:p>
        </w:tc>
      </w:tr>
      <w:tr w:rsidR="00203E4B" w:rsidRPr="00306F4D" w14:paraId="12C267F6" w14:textId="77777777" w:rsidTr="0025418E">
        <w:trPr>
          <w:trHeight w:val="300"/>
        </w:trPr>
        <w:tc>
          <w:tcPr>
            <w:tcW w:w="1026" w:type="dxa"/>
          </w:tcPr>
          <w:p w14:paraId="2E09F0DB" w14:textId="2FF7E000" w:rsidR="00203E4B" w:rsidRPr="00306F4D" w:rsidRDefault="75C4BC90" w:rsidP="005F7AC4">
            <w:pPr>
              <w:tabs>
                <w:tab w:val="left" w:pos="360"/>
              </w:tabs>
              <w:autoSpaceDE w:val="0"/>
              <w:autoSpaceDN w:val="0"/>
              <w:adjustRightInd w:val="0"/>
              <w:spacing w:line="276" w:lineRule="auto"/>
              <w:rPr>
                <w:rFonts w:ascii="Arial" w:eastAsia="Arial" w:hAnsi="Arial" w:cs="Arial"/>
                <w:sz w:val="16"/>
                <w:szCs w:val="16"/>
              </w:rPr>
            </w:pPr>
            <w:r w:rsidRPr="00306F4D">
              <w:rPr>
                <w:rFonts w:ascii="Arial" w:eastAsia="Arial" w:hAnsi="Arial" w:cs="Arial"/>
                <w:b/>
                <w:bCs/>
                <w:sz w:val="16"/>
                <w:szCs w:val="16"/>
              </w:rPr>
              <w:t>Very Hot Days</w:t>
            </w:r>
          </w:p>
        </w:tc>
        <w:tc>
          <w:tcPr>
            <w:tcW w:w="2797" w:type="dxa"/>
          </w:tcPr>
          <w:p w14:paraId="4955A04D" w14:textId="416B33F0" w:rsidR="00203E4B" w:rsidRPr="00306F4D" w:rsidRDefault="6D1A6A2F" w:rsidP="005F7AC4">
            <w:pPr>
              <w:tabs>
                <w:tab w:val="left" w:pos="360"/>
              </w:tabs>
              <w:autoSpaceDE w:val="0"/>
              <w:autoSpaceDN w:val="0"/>
              <w:adjustRightInd w:val="0"/>
              <w:spacing w:line="276" w:lineRule="auto"/>
              <w:jc w:val="both"/>
              <w:rPr>
                <w:rFonts w:ascii="Arial" w:eastAsia="Arial" w:hAnsi="Arial" w:cs="Arial"/>
                <w:sz w:val="16"/>
                <w:szCs w:val="16"/>
              </w:rPr>
            </w:pPr>
            <w:r w:rsidRPr="00306F4D">
              <w:rPr>
                <w:rFonts w:ascii="Arial" w:eastAsia="Arial" w:hAnsi="Arial" w:cs="Arial"/>
                <w:sz w:val="16"/>
                <w:szCs w:val="16"/>
              </w:rPr>
              <w:t>I</w:t>
            </w:r>
            <w:r w:rsidR="75C4BC90" w:rsidRPr="00306F4D">
              <w:rPr>
                <w:rFonts w:ascii="Arial" w:eastAsia="Arial" w:hAnsi="Arial" w:cs="Arial"/>
                <w:sz w:val="16"/>
                <w:szCs w:val="16"/>
              </w:rPr>
              <w:t>ncrease by 5-10 days, with significantly higher increases over some parts of the region, including coastal areas of Albania, Podgorica region in Montenegro, North Macedonia, northern and central Serbia, and some parts of Bosnia and Herzegovina.</w:t>
            </w:r>
          </w:p>
        </w:tc>
        <w:tc>
          <w:tcPr>
            <w:tcW w:w="2896" w:type="dxa"/>
          </w:tcPr>
          <w:p w14:paraId="3EEBFF06" w14:textId="160D8A1C" w:rsidR="00203E4B" w:rsidRPr="00306F4D" w:rsidRDefault="37336DA1" w:rsidP="005F7AC4">
            <w:pPr>
              <w:tabs>
                <w:tab w:val="left" w:pos="360"/>
              </w:tabs>
              <w:autoSpaceDE w:val="0"/>
              <w:autoSpaceDN w:val="0"/>
              <w:adjustRightInd w:val="0"/>
              <w:spacing w:line="276" w:lineRule="auto"/>
              <w:jc w:val="both"/>
              <w:rPr>
                <w:rFonts w:ascii="Arial" w:eastAsia="Arial" w:hAnsi="Arial" w:cs="Arial"/>
                <w:sz w:val="16"/>
                <w:szCs w:val="16"/>
              </w:rPr>
            </w:pPr>
            <w:r w:rsidRPr="00306F4D">
              <w:rPr>
                <w:rFonts w:ascii="Arial" w:eastAsia="Arial" w:hAnsi="Arial" w:cs="Arial"/>
                <w:sz w:val="16"/>
                <w:szCs w:val="16"/>
              </w:rPr>
              <w:t>S</w:t>
            </w:r>
            <w:r w:rsidR="75C4BC90" w:rsidRPr="00306F4D">
              <w:rPr>
                <w:rFonts w:ascii="Arial" w:eastAsia="Arial" w:hAnsi="Arial" w:cs="Arial"/>
                <w:sz w:val="16"/>
                <w:szCs w:val="16"/>
              </w:rPr>
              <w:t>ignificant increase in parts of lower altitudes (10-20 days), but most pronounced in coastal and near coastal areas and central to south-eastern part of North Macedonia (20-30 days)</w:t>
            </w:r>
            <w:r w:rsidRPr="00306F4D">
              <w:rPr>
                <w:rFonts w:ascii="Arial" w:eastAsia="Arial" w:hAnsi="Arial" w:cs="Arial"/>
                <w:sz w:val="16"/>
                <w:szCs w:val="16"/>
              </w:rPr>
              <w:t>.</w:t>
            </w:r>
          </w:p>
        </w:tc>
        <w:tc>
          <w:tcPr>
            <w:tcW w:w="2636" w:type="dxa"/>
          </w:tcPr>
          <w:p w14:paraId="7EA37167" w14:textId="252D249E" w:rsidR="00203E4B" w:rsidRPr="00306F4D" w:rsidRDefault="19145482" w:rsidP="005F7AC4">
            <w:pPr>
              <w:tabs>
                <w:tab w:val="left" w:pos="360"/>
              </w:tabs>
              <w:autoSpaceDE w:val="0"/>
              <w:autoSpaceDN w:val="0"/>
              <w:adjustRightInd w:val="0"/>
              <w:spacing w:line="276" w:lineRule="auto"/>
              <w:jc w:val="both"/>
              <w:rPr>
                <w:rFonts w:ascii="Arial" w:eastAsia="Arial" w:hAnsi="Arial" w:cs="Arial"/>
                <w:sz w:val="16"/>
                <w:szCs w:val="16"/>
              </w:rPr>
            </w:pPr>
            <w:r w:rsidRPr="00306F4D">
              <w:rPr>
                <w:rFonts w:ascii="Arial" w:eastAsia="Arial" w:hAnsi="Arial" w:cs="Arial"/>
                <w:sz w:val="16"/>
                <w:szCs w:val="16"/>
              </w:rPr>
              <w:t>A</w:t>
            </w:r>
            <w:r w:rsidR="6B431691" w:rsidRPr="00306F4D">
              <w:rPr>
                <w:rFonts w:ascii="Arial" w:eastAsia="Arial" w:hAnsi="Arial" w:cs="Arial"/>
                <w:sz w:val="16"/>
                <w:szCs w:val="16"/>
              </w:rPr>
              <w:t>ppearance of hot days in higher altitudes</w:t>
            </w:r>
            <w:r w:rsidRPr="00306F4D">
              <w:rPr>
                <w:rFonts w:ascii="Arial" w:eastAsia="Arial" w:hAnsi="Arial" w:cs="Arial"/>
                <w:sz w:val="16"/>
                <w:szCs w:val="16"/>
              </w:rPr>
              <w:t>;</w:t>
            </w:r>
            <w:r w:rsidR="6B431691" w:rsidRPr="00306F4D">
              <w:rPr>
                <w:rFonts w:ascii="Arial" w:eastAsia="Arial" w:hAnsi="Arial" w:cs="Arial"/>
                <w:sz w:val="16"/>
                <w:szCs w:val="16"/>
              </w:rPr>
              <w:t xml:space="preserve"> an increase of 20-30 days in lower altitudes, and the most pronounced increase in coastal and near-coastal areas, and large parts of North Macedonia of over 35 days</w:t>
            </w:r>
            <w:r w:rsidRPr="00306F4D">
              <w:rPr>
                <w:rFonts w:ascii="Arial" w:eastAsia="Arial" w:hAnsi="Arial" w:cs="Arial"/>
                <w:sz w:val="16"/>
                <w:szCs w:val="16"/>
              </w:rPr>
              <w:t>.</w:t>
            </w:r>
          </w:p>
        </w:tc>
      </w:tr>
      <w:tr w:rsidR="00203E4B" w:rsidRPr="00306F4D" w14:paraId="5D2583DD" w14:textId="77777777" w:rsidTr="0025418E">
        <w:trPr>
          <w:trHeight w:val="300"/>
        </w:trPr>
        <w:tc>
          <w:tcPr>
            <w:tcW w:w="1026" w:type="dxa"/>
          </w:tcPr>
          <w:p w14:paraId="471AF95F" w14:textId="2F2B9C98" w:rsidR="00203E4B" w:rsidRPr="00306F4D" w:rsidRDefault="75C4BC90" w:rsidP="005F7AC4">
            <w:pPr>
              <w:tabs>
                <w:tab w:val="left" w:pos="360"/>
              </w:tabs>
              <w:autoSpaceDE w:val="0"/>
              <w:autoSpaceDN w:val="0"/>
              <w:adjustRightInd w:val="0"/>
              <w:spacing w:line="276" w:lineRule="auto"/>
              <w:rPr>
                <w:rFonts w:ascii="Arial" w:eastAsia="Arial" w:hAnsi="Arial" w:cs="Arial"/>
                <w:sz w:val="16"/>
                <w:szCs w:val="16"/>
              </w:rPr>
            </w:pPr>
            <w:r w:rsidRPr="00306F4D">
              <w:rPr>
                <w:rFonts w:ascii="Arial" w:eastAsia="Arial" w:hAnsi="Arial" w:cs="Arial"/>
                <w:b/>
                <w:bCs/>
                <w:sz w:val="16"/>
                <w:szCs w:val="16"/>
              </w:rPr>
              <w:t>Heat Waves</w:t>
            </w:r>
            <w:r w:rsidR="190AADD7" w:rsidRPr="00306F4D">
              <w:rPr>
                <w:rFonts w:ascii="Arial" w:eastAsia="Arial" w:hAnsi="Arial" w:cs="Arial"/>
                <w:b/>
                <w:bCs/>
                <w:sz w:val="16"/>
                <w:szCs w:val="16"/>
              </w:rPr>
              <w:t xml:space="preserve"> Frequency</w:t>
            </w:r>
          </w:p>
        </w:tc>
        <w:tc>
          <w:tcPr>
            <w:tcW w:w="2797" w:type="dxa"/>
          </w:tcPr>
          <w:p w14:paraId="35C057DF" w14:textId="0C4F572A" w:rsidR="00203E4B" w:rsidRPr="00306F4D" w:rsidRDefault="6D1A6A2F" w:rsidP="005F7AC4">
            <w:pPr>
              <w:tabs>
                <w:tab w:val="left" w:pos="360"/>
              </w:tabs>
              <w:autoSpaceDE w:val="0"/>
              <w:autoSpaceDN w:val="0"/>
              <w:adjustRightInd w:val="0"/>
              <w:spacing w:line="276" w:lineRule="auto"/>
              <w:jc w:val="both"/>
              <w:rPr>
                <w:rFonts w:ascii="Arial" w:eastAsia="Arial" w:hAnsi="Arial" w:cs="Arial"/>
                <w:sz w:val="16"/>
                <w:szCs w:val="16"/>
              </w:rPr>
            </w:pPr>
            <w:r w:rsidRPr="00306F4D">
              <w:rPr>
                <w:rFonts w:ascii="Arial" w:eastAsia="Arial" w:hAnsi="Arial" w:cs="Arial"/>
                <w:sz w:val="16"/>
                <w:szCs w:val="16"/>
              </w:rPr>
              <w:t>S</w:t>
            </w:r>
            <w:r w:rsidR="75C4BC90" w:rsidRPr="00306F4D">
              <w:rPr>
                <w:rFonts w:ascii="Arial" w:eastAsia="Arial" w:hAnsi="Arial" w:cs="Arial"/>
                <w:sz w:val="16"/>
                <w:szCs w:val="16"/>
              </w:rPr>
              <w:t>lightly increase with a highly probable significant change in southern parts of the region, especially in coastal areas of Albania, southern Bosnia and Herzegovina, Podgorica region in Montenegro and the southeast of North Macedonia.</w:t>
            </w:r>
          </w:p>
          <w:p w14:paraId="7D071B13" w14:textId="77777777" w:rsidR="00203E4B" w:rsidRPr="00306F4D" w:rsidRDefault="00203E4B" w:rsidP="005F7AC4">
            <w:pPr>
              <w:tabs>
                <w:tab w:val="left" w:pos="360"/>
              </w:tabs>
              <w:autoSpaceDE w:val="0"/>
              <w:autoSpaceDN w:val="0"/>
              <w:adjustRightInd w:val="0"/>
              <w:spacing w:line="276" w:lineRule="auto"/>
              <w:jc w:val="both"/>
              <w:rPr>
                <w:rFonts w:ascii="Arial" w:eastAsia="Arial" w:hAnsi="Arial" w:cs="Arial"/>
                <w:sz w:val="16"/>
                <w:szCs w:val="16"/>
              </w:rPr>
            </w:pPr>
          </w:p>
        </w:tc>
        <w:tc>
          <w:tcPr>
            <w:tcW w:w="2896" w:type="dxa"/>
          </w:tcPr>
          <w:p w14:paraId="54F40EF0" w14:textId="005952FD" w:rsidR="00203E4B" w:rsidRPr="00306F4D" w:rsidRDefault="37336DA1" w:rsidP="005F7AC4">
            <w:pPr>
              <w:tabs>
                <w:tab w:val="left" w:pos="360"/>
              </w:tabs>
              <w:autoSpaceDE w:val="0"/>
              <w:autoSpaceDN w:val="0"/>
              <w:adjustRightInd w:val="0"/>
              <w:spacing w:line="276" w:lineRule="auto"/>
              <w:jc w:val="both"/>
              <w:rPr>
                <w:rFonts w:ascii="Arial" w:eastAsia="Arial" w:hAnsi="Arial" w:cs="Arial"/>
                <w:sz w:val="16"/>
                <w:szCs w:val="16"/>
              </w:rPr>
            </w:pPr>
            <w:r w:rsidRPr="00306F4D">
              <w:rPr>
                <w:rFonts w:ascii="Arial" w:eastAsia="Arial" w:hAnsi="Arial" w:cs="Arial"/>
                <w:sz w:val="16"/>
                <w:szCs w:val="16"/>
              </w:rPr>
              <w:t>S</w:t>
            </w:r>
            <w:r w:rsidR="75C4BC90" w:rsidRPr="00306F4D">
              <w:rPr>
                <w:rFonts w:ascii="Arial" w:eastAsia="Arial" w:hAnsi="Arial" w:cs="Arial"/>
                <w:sz w:val="16"/>
                <w:szCs w:val="16"/>
              </w:rPr>
              <w:t>ignificantly increase over low altitudes, coastal and near-coastal areas and parts of North Macedonia, reaching values of +1 heat wave each year and with increased duration of 5 days or more.</w:t>
            </w:r>
          </w:p>
        </w:tc>
        <w:tc>
          <w:tcPr>
            <w:tcW w:w="2636" w:type="dxa"/>
          </w:tcPr>
          <w:p w14:paraId="31EDFBEF" w14:textId="46B4F52B" w:rsidR="00203E4B" w:rsidRPr="00306F4D" w:rsidRDefault="19145482" w:rsidP="005F7AC4">
            <w:pPr>
              <w:tabs>
                <w:tab w:val="left" w:pos="360"/>
              </w:tabs>
              <w:autoSpaceDE w:val="0"/>
              <w:autoSpaceDN w:val="0"/>
              <w:adjustRightInd w:val="0"/>
              <w:spacing w:line="276" w:lineRule="auto"/>
              <w:jc w:val="both"/>
              <w:rPr>
                <w:rFonts w:ascii="Arial" w:eastAsia="Arial" w:hAnsi="Arial" w:cs="Arial"/>
                <w:sz w:val="16"/>
                <w:szCs w:val="16"/>
              </w:rPr>
            </w:pPr>
            <w:r w:rsidRPr="00306F4D">
              <w:rPr>
                <w:rFonts w:ascii="Arial" w:eastAsia="Arial" w:hAnsi="Arial" w:cs="Arial"/>
                <w:sz w:val="16"/>
                <w:szCs w:val="16"/>
              </w:rPr>
              <w:t>I</w:t>
            </w:r>
            <w:r w:rsidR="356A6D84" w:rsidRPr="00306F4D">
              <w:rPr>
                <w:rFonts w:ascii="Arial" w:eastAsia="Arial" w:hAnsi="Arial" w:cs="Arial"/>
                <w:sz w:val="16"/>
                <w:szCs w:val="16"/>
              </w:rPr>
              <w:t>ncreases up to 2 days over the region with prolonged duration of 5-10 days</w:t>
            </w:r>
            <w:r w:rsidR="6D07C6E3" w:rsidRPr="00306F4D">
              <w:rPr>
                <w:rFonts w:ascii="Arial" w:eastAsia="Arial" w:hAnsi="Arial" w:cs="Arial"/>
                <w:sz w:val="16"/>
                <w:szCs w:val="16"/>
              </w:rPr>
              <w:t>.</w:t>
            </w:r>
            <w:r w:rsidR="356A6D84" w:rsidRPr="00306F4D">
              <w:rPr>
                <w:rFonts w:ascii="Arial" w:eastAsia="Arial" w:hAnsi="Arial" w:cs="Arial"/>
                <w:sz w:val="16"/>
                <w:szCs w:val="16"/>
              </w:rPr>
              <w:t xml:space="preserve"> </w:t>
            </w:r>
            <w:r w:rsidR="16E4C93C" w:rsidRPr="00306F4D">
              <w:rPr>
                <w:rFonts w:ascii="Arial" w:eastAsia="Arial" w:hAnsi="Arial" w:cs="Arial"/>
                <w:sz w:val="16"/>
                <w:szCs w:val="16"/>
              </w:rPr>
              <w:t>H</w:t>
            </w:r>
            <w:r w:rsidR="356A6D84" w:rsidRPr="00306F4D">
              <w:rPr>
                <w:rFonts w:ascii="Arial" w:eastAsia="Arial" w:hAnsi="Arial" w:cs="Arial"/>
                <w:sz w:val="16"/>
                <w:szCs w:val="16"/>
              </w:rPr>
              <w:t>eat waves possibly will appear in high altitudes only once in 10 years, but coastal, near-coastal areas, and large parts of North Macedonia are expected to have 2-5 more heat waves in a year, with increased duration of over 15 days and in coastal areas even over 20 days</w:t>
            </w:r>
            <w:r w:rsidR="6D07C6E3" w:rsidRPr="00306F4D">
              <w:rPr>
                <w:rFonts w:ascii="Arial" w:eastAsia="Arial" w:hAnsi="Arial" w:cs="Arial"/>
                <w:sz w:val="16"/>
                <w:szCs w:val="16"/>
              </w:rPr>
              <w:t>.</w:t>
            </w:r>
          </w:p>
        </w:tc>
      </w:tr>
      <w:tr w:rsidR="00203E4B" w:rsidRPr="00306F4D" w14:paraId="21BCE6DB" w14:textId="77777777" w:rsidTr="0025418E">
        <w:trPr>
          <w:trHeight w:val="300"/>
        </w:trPr>
        <w:tc>
          <w:tcPr>
            <w:tcW w:w="1026" w:type="dxa"/>
          </w:tcPr>
          <w:p w14:paraId="03409F50" w14:textId="5AA5CDB2" w:rsidR="00203E4B" w:rsidRPr="00306F4D" w:rsidRDefault="75C4BC90" w:rsidP="005F7AC4">
            <w:pPr>
              <w:tabs>
                <w:tab w:val="left" w:pos="360"/>
              </w:tabs>
              <w:autoSpaceDE w:val="0"/>
              <w:autoSpaceDN w:val="0"/>
              <w:adjustRightInd w:val="0"/>
              <w:spacing w:line="276" w:lineRule="auto"/>
              <w:rPr>
                <w:rFonts w:ascii="Arial" w:eastAsia="Arial" w:hAnsi="Arial" w:cs="Arial"/>
                <w:sz w:val="16"/>
                <w:szCs w:val="16"/>
              </w:rPr>
            </w:pPr>
            <w:r w:rsidRPr="00306F4D">
              <w:rPr>
                <w:rFonts w:ascii="Arial" w:eastAsia="Arial" w:hAnsi="Arial" w:cs="Arial"/>
                <w:b/>
                <w:bCs/>
                <w:sz w:val="16"/>
                <w:szCs w:val="16"/>
              </w:rPr>
              <w:t>Growing Season</w:t>
            </w:r>
          </w:p>
        </w:tc>
        <w:tc>
          <w:tcPr>
            <w:tcW w:w="2797" w:type="dxa"/>
          </w:tcPr>
          <w:p w14:paraId="0178E563" w14:textId="7C41F981" w:rsidR="00203E4B" w:rsidRPr="00306F4D" w:rsidRDefault="5645012F" w:rsidP="005F7AC4">
            <w:pPr>
              <w:tabs>
                <w:tab w:val="left" w:pos="360"/>
              </w:tabs>
              <w:autoSpaceDE w:val="0"/>
              <w:autoSpaceDN w:val="0"/>
              <w:adjustRightInd w:val="0"/>
              <w:spacing w:line="276" w:lineRule="auto"/>
              <w:jc w:val="both"/>
              <w:rPr>
                <w:rFonts w:ascii="Arial" w:eastAsia="Arial" w:hAnsi="Arial" w:cs="Arial"/>
                <w:sz w:val="16"/>
                <w:szCs w:val="16"/>
              </w:rPr>
            </w:pPr>
            <w:r w:rsidRPr="00306F4D">
              <w:rPr>
                <w:rFonts w:ascii="Arial" w:eastAsia="Arial" w:hAnsi="Arial" w:cs="Arial"/>
                <w:sz w:val="16"/>
                <w:szCs w:val="16"/>
              </w:rPr>
              <w:t>I</w:t>
            </w:r>
            <w:r w:rsidR="75C4BC90" w:rsidRPr="00306F4D">
              <w:rPr>
                <w:rFonts w:ascii="Arial" w:eastAsia="Arial" w:hAnsi="Arial" w:cs="Arial"/>
                <w:sz w:val="16"/>
                <w:szCs w:val="16"/>
              </w:rPr>
              <w:t>ncrease by 10-20 days, with a more pronounced shift towards earlier dates (5-10 days) throughout the region.</w:t>
            </w:r>
          </w:p>
        </w:tc>
        <w:tc>
          <w:tcPr>
            <w:tcW w:w="2896" w:type="dxa"/>
          </w:tcPr>
          <w:p w14:paraId="50C737D3" w14:textId="600F3FA4" w:rsidR="00203E4B" w:rsidRPr="00306F4D" w:rsidRDefault="37336DA1" w:rsidP="00972653">
            <w:pPr>
              <w:tabs>
                <w:tab w:val="left" w:pos="360"/>
              </w:tabs>
              <w:autoSpaceDE w:val="0"/>
              <w:autoSpaceDN w:val="0"/>
              <w:adjustRightInd w:val="0"/>
              <w:spacing w:line="276" w:lineRule="auto"/>
              <w:jc w:val="both"/>
              <w:rPr>
                <w:rFonts w:ascii="Arial" w:eastAsia="Arial" w:hAnsi="Arial" w:cs="Arial"/>
                <w:sz w:val="16"/>
                <w:szCs w:val="16"/>
              </w:rPr>
            </w:pPr>
            <w:r w:rsidRPr="00306F4D">
              <w:rPr>
                <w:rFonts w:ascii="Arial" w:eastAsia="Arial" w:hAnsi="Arial" w:cs="Arial"/>
                <w:sz w:val="16"/>
                <w:szCs w:val="16"/>
              </w:rPr>
              <w:t>S</w:t>
            </w:r>
            <w:r w:rsidR="75C4BC90" w:rsidRPr="00306F4D">
              <w:rPr>
                <w:rFonts w:ascii="Arial" w:eastAsia="Arial" w:hAnsi="Arial" w:cs="Arial"/>
                <w:sz w:val="16"/>
                <w:szCs w:val="16"/>
              </w:rPr>
              <w:t>ignificantly increase up to 20-40 days, depending on scenario, with an earlier start date in most parts of the region of up to 20-30 days</w:t>
            </w:r>
            <w:r w:rsidR="19C68D81" w:rsidRPr="00306F4D">
              <w:rPr>
                <w:rFonts w:ascii="Arial" w:eastAsia="Arial" w:hAnsi="Arial" w:cs="Arial"/>
                <w:sz w:val="16"/>
                <w:szCs w:val="16"/>
              </w:rPr>
              <w:t>.</w:t>
            </w:r>
            <w:r w:rsidR="75C4BC90" w:rsidRPr="00306F4D">
              <w:rPr>
                <w:rFonts w:ascii="Arial" w:eastAsia="Arial" w:hAnsi="Arial" w:cs="Arial"/>
                <w:sz w:val="16"/>
                <w:szCs w:val="16"/>
              </w:rPr>
              <w:t xml:space="preserve"> </w:t>
            </w:r>
            <w:r w:rsidR="19C68D81" w:rsidRPr="00306F4D">
              <w:rPr>
                <w:rFonts w:ascii="Arial" w:eastAsia="Arial" w:hAnsi="Arial" w:cs="Arial"/>
                <w:sz w:val="16"/>
                <w:szCs w:val="16"/>
              </w:rPr>
              <w:t>H</w:t>
            </w:r>
            <w:r w:rsidR="75C4BC90" w:rsidRPr="00306F4D">
              <w:rPr>
                <w:rFonts w:ascii="Arial" w:eastAsia="Arial" w:hAnsi="Arial" w:cs="Arial"/>
                <w:sz w:val="16"/>
                <w:szCs w:val="16"/>
              </w:rPr>
              <w:t xml:space="preserve">owever, in coastal areas, heating may cause the disappearance of a dormant </w:t>
            </w:r>
            <w:r w:rsidR="75C4BC90" w:rsidRPr="00306F4D">
              <w:rPr>
                <w:rFonts w:ascii="Arial" w:eastAsia="Arial" w:hAnsi="Arial" w:cs="Arial"/>
                <w:sz w:val="16"/>
                <w:szCs w:val="16"/>
              </w:rPr>
              <w:lastRenderedPageBreak/>
              <w:t>season for plants with a biological minimum of 10°C</w:t>
            </w:r>
            <w:r w:rsidR="19C68D81" w:rsidRPr="00306F4D">
              <w:rPr>
                <w:rFonts w:ascii="Arial" w:eastAsia="Arial" w:hAnsi="Arial" w:cs="Arial"/>
                <w:sz w:val="16"/>
                <w:szCs w:val="16"/>
              </w:rPr>
              <w:t>.</w:t>
            </w:r>
          </w:p>
        </w:tc>
        <w:tc>
          <w:tcPr>
            <w:tcW w:w="2636" w:type="dxa"/>
          </w:tcPr>
          <w:p w14:paraId="795AF6EB" w14:textId="593C02FD" w:rsidR="00200B5E" w:rsidRPr="00306F4D" w:rsidRDefault="01DE51CA" w:rsidP="005F7AC4">
            <w:pPr>
              <w:tabs>
                <w:tab w:val="left" w:pos="360"/>
              </w:tabs>
              <w:autoSpaceDE w:val="0"/>
              <w:autoSpaceDN w:val="0"/>
              <w:adjustRightInd w:val="0"/>
              <w:spacing w:line="276" w:lineRule="auto"/>
              <w:jc w:val="both"/>
              <w:rPr>
                <w:rFonts w:ascii="Arial" w:eastAsia="Arial" w:hAnsi="Arial" w:cs="Arial"/>
                <w:sz w:val="16"/>
                <w:szCs w:val="16"/>
              </w:rPr>
            </w:pPr>
            <w:r w:rsidRPr="00306F4D">
              <w:rPr>
                <w:rFonts w:ascii="Arial" w:eastAsia="Arial" w:hAnsi="Arial" w:cs="Arial"/>
                <w:sz w:val="16"/>
                <w:szCs w:val="16"/>
              </w:rPr>
              <w:lastRenderedPageBreak/>
              <w:t>P</w:t>
            </w:r>
            <w:r w:rsidR="190AADD7" w:rsidRPr="00306F4D">
              <w:rPr>
                <w:rFonts w:ascii="Arial" w:eastAsia="Arial" w:hAnsi="Arial" w:cs="Arial"/>
                <w:sz w:val="16"/>
                <w:szCs w:val="16"/>
              </w:rPr>
              <w:t xml:space="preserve">rolonged by 50-70 days, with more pronounced change in higher altitudes, and with a larger shift of the start date, reaching over 30 days throughout the region, over 40 days in southern </w:t>
            </w:r>
            <w:r w:rsidR="190AADD7" w:rsidRPr="00306F4D">
              <w:rPr>
                <w:rFonts w:ascii="Arial" w:eastAsia="Arial" w:hAnsi="Arial" w:cs="Arial"/>
                <w:sz w:val="16"/>
                <w:szCs w:val="16"/>
              </w:rPr>
              <w:lastRenderedPageBreak/>
              <w:t>parts, and over 50 days in south Albania.</w:t>
            </w:r>
          </w:p>
          <w:p w14:paraId="05B5715C" w14:textId="77777777" w:rsidR="00203E4B" w:rsidRPr="00306F4D" w:rsidRDefault="00203E4B" w:rsidP="005F7AC4">
            <w:pPr>
              <w:tabs>
                <w:tab w:val="left" w:pos="360"/>
              </w:tabs>
              <w:autoSpaceDE w:val="0"/>
              <w:autoSpaceDN w:val="0"/>
              <w:adjustRightInd w:val="0"/>
              <w:spacing w:line="276" w:lineRule="auto"/>
              <w:jc w:val="both"/>
              <w:rPr>
                <w:rFonts w:ascii="Arial" w:eastAsia="Arial" w:hAnsi="Arial" w:cs="Arial"/>
                <w:sz w:val="16"/>
                <w:szCs w:val="16"/>
              </w:rPr>
            </w:pPr>
          </w:p>
        </w:tc>
      </w:tr>
      <w:tr w:rsidR="00203E4B" w:rsidRPr="00306F4D" w14:paraId="0BEE8D4C" w14:textId="77777777" w:rsidTr="0025418E">
        <w:trPr>
          <w:trHeight w:val="300"/>
        </w:trPr>
        <w:tc>
          <w:tcPr>
            <w:tcW w:w="1026" w:type="dxa"/>
          </w:tcPr>
          <w:p w14:paraId="66F1343A" w14:textId="4FFD2C9D" w:rsidR="00203E4B" w:rsidRPr="00306F4D" w:rsidRDefault="75C4BC90" w:rsidP="005F7AC4">
            <w:pPr>
              <w:tabs>
                <w:tab w:val="left" w:pos="360"/>
              </w:tabs>
              <w:autoSpaceDE w:val="0"/>
              <w:autoSpaceDN w:val="0"/>
              <w:adjustRightInd w:val="0"/>
              <w:spacing w:line="276" w:lineRule="auto"/>
              <w:rPr>
                <w:rFonts w:ascii="Arial" w:eastAsia="Arial" w:hAnsi="Arial" w:cs="Arial"/>
                <w:sz w:val="16"/>
                <w:szCs w:val="16"/>
              </w:rPr>
            </w:pPr>
            <w:r w:rsidRPr="00306F4D">
              <w:rPr>
                <w:rFonts w:ascii="Arial" w:eastAsia="Arial" w:hAnsi="Arial" w:cs="Arial"/>
                <w:b/>
                <w:bCs/>
                <w:sz w:val="16"/>
                <w:szCs w:val="16"/>
              </w:rPr>
              <w:lastRenderedPageBreak/>
              <w:t>Very Hot Dry Spells</w:t>
            </w:r>
          </w:p>
        </w:tc>
        <w:tc>
          <w:tcPr>
            <w:tcW w:w="2797" w:type="dxa"/>
          </w:tcPr>
          <w:p w14:paraId="58BA6181" w14:textId="0EE119CD" w:rsidR="00203E4B" w:rsidRPr="00306F4D" w:rsidRDefault="3F34D0CF" w:rsidP="005F7AC4">
            <w:pPr>
              <w:tabs>
                <w:tab w:val="left" w:pos="360"/>
              </w:tabs>
              <w:autoSpaceDE w:val="0"/>
              <w:autoSpaceDN w:val="0"/>
              <w:adjustRightInd w:val="0"/>
              <w:spacing w:line="276" w:lineRule="auto"/>
              <w:jc w:val="both"/>
              <w:rPr>
                <w:rFonts w:ascii="Arial" w:eastAsia="Arial" w:hAnsi="Arial" w:cs="Arial"/>
                <w:sz w:val="16"/>
                <w:szCs w:val="16"/>
              </w:rPr>
            </w:pPr>
            <w:r w:rsidRPr="00306F4D">
              <w:rPr>
                <w:rFonts w:ascii="Arial" w:eastAsia="Arial" w:hAnsi="Arial" w:cs="Arial"/>
                <w:sz w:val="16"/>
                <w:szCs w:val="16"/>
              </w:rPr>
              <w:t>S</w:t>
            </w:r>
            <w:r w:rsidR="75C4BC90" w:rsidRPr="00306F4D">
              <w:rPr>
                <w:rFonts w:ascii="Arial" w:eastAsia="Arial" w:hAnsi="Arial" w:cs="Arial"/>
                <w:sz w:val="16"/>
                <w:szCs w:val="16"/>
              </w:rPr>
              <w:t>lightly increases, mainly over southern parts</w:t>
            </w:r>
            <w:r w:rsidRPr="00306F4D">
              <w:rPr>
                <w:rFonts w:ascii="Arial" w:eastAsia="Arial" w:hAnsi="Arial" w:cs="Arial"/>
                <w:sz w:val="16"/>
                <w:szCs w:val="16"/>
              </w:rPr>
              <w:t>.</w:t>
            </w:r>
          </w:p>
        </w:tc>
        <w:tc>
          <w:tcPr>
            <w:tcW w:w="2896" w:type="dxa"/>
          </w:tcPr>
          <w:p w14:paraId="5FC22882" w14:textId="467684D4" w:rsidR="00203E4B" w:rsidRPr="00306F4D" w:rsidRDefault="494A8A43" w:rsidP="005F7AC4">
            <w:pPr>
              <w:tabs>
                <w:tab w:val="left" w:pos="360"/>
              </w:tabs>
              <w:autoSpaceDE w:val="0"/>
              <w:autoSpaceDN w:val="0"/>
              <w:adjustRightInd w:val="0"/>
              <w:spacing w:line="276" w:lineRule="auto"/>
              <w:jc w:val="both"/>
              <w:rPr>
                <w:rFonts w:ascii="Arial" w:eastAsia="Arial" w:hAnsi="Arial" w:cs="Arial"/>
                <w:sz w:val="16"/>
                <w:szCs w:val="16"/>
              </w:rPr>
            </w:pPr>
            <w:r w:rsidRPr="00306F4D">
              <w:rPr>
                <w:rFonts w:ascii="Arial" w:eastAsia="Arial" w:hAnsi="Arial" w:cs="Arial"/>
                <w:sz w:val="16"/>
                <w:szCs w:val="16"/>
              </w:rPr>
              <w:t>C</w:t>
            </w:r>
            <w:r w:rsidR="75C4BC90" w:rsidRPr="00306F4D">
              <w:rPr>
                <w:rFonts w:ascii="Arial" w:eastAsia="Arial" w:hAnsi="Arial" w:cs="Arial"/>
                <w:sz w:val="16"/>
                <w:szCs w:val="16"/>
              </w:rPr>
              <w:t>oincide with heat waves, periods with hot temperatures will be combined with very dry periods</w:t>
            </w:r>
            <w:r w:rsidRPr="00306F4D">
              <w:rPr>
                <w:rFonts w:ascii="Arial" w:eastAsia="Arial" w:hAnsi="Arial" w:cs="Arial"/>
                <w:sz w:val="16"/>
                <w:szCs w:val="16"/>
              </w:rPr>
              <w:t>.</w:t>
            </w:r>
          </w:p>
        </w:tc>
        <w:tc>
          <w:tcPr>
            <w:tcW w:w="2636" w:type="dxa"/>
          </w:tcPr>
          <w:p w14:paraId="3698F7E4" w14:textId="717A5E93" w:rsidR="00203E4B" w:rsidRPr="00306F4D" w:rsidRDefault="01DE51CA" w:rsidP="005F7AC4">
            <w:pPr>
              <w:tabs>
                <w:tab w:val="left" w:pos="360"/>
              </w:tabs>
              <w:autoSpaceDE w:val="0"/>
              <w:autoSpaceDN w:val="0"/>
              <w:adjustRightInd w:val="0"/>
              <w:spacing w:line="276" w:lineRule="auto"/>
              <w:jc w:val="both"/>
              <w:rPr>
                <w:rFonts w:ascii="Arial" w:eastAsia="Arial" w:hAnsi="Arial" w:cs="Arial"/>
                <w:sz w:val="16"/>
                <w:szCs w:val="16"/>
              </w:rPr>
            </w:pPr>
            <w:r w:rsidRPr="00306F4D">
              <w:rPr>
                <w:rFonts w:ascii="Arial" w:eastAsia="Arial" w:hAnsi="Arial" w:cs="Arial"/>
                <w:sz w:val="16"/>
                <w:szCs w:val="16"/>
              </w:rPr>
              <w:t>H</w:t>
            </w:r>
            <w:r w:rsidR="1480B243" w:rsidRPr="00306F4D">
              <w:rPr>
                <w:rFonts w:ascii="Arial" w:eastAsia="Arial" w:hAnsi="Arial" w:cs="Arial"/>
                <w:sz w:val="16"/>
                <w:szCs w:val="16"/>
              </w:rPr>
              <w:t>ighly significant change with prolonged duration throughout the region, except the highest altitudes</w:t>
            </w:r>
            <w:r w:rsidR="1AE896BB" w:rsidRPr="00306F4D">
              <w:rPr>
                <w:rFonts w:ascii="Arial" w:eastAsia="Arial" w:hAnsi="Arial" w:cs="Arial"/>
                <w:sz w:val="16"/>
                <w:szCs w:val="16"/>
              </w:rPr>
              <w:t>,</w:t>
            </w:r>
            <w:r w:rsidR="1480B243" w:rsidRPr="00306F4D">
              <w:rPr>
                <w:rFonts w:ascii="Arial" w:eastAsia="Arial" w:hAnsi="Arial" w:cs="Arial"/>
                <w:sz w:val="16"/>
                <w:szCs w:val="16"/>
              </w:rPr>
              <w:t xml:space="preserve"> of over 8 days in Serbia and over 20 days in coastal areas</w:t>
            </w:r>
            <w:r w:rsidR="7FEF566A" w:rsidRPr="00306F4D">
              <w:rPr>
                <w:rFonts w:ascii="Arial" w:eastAsia="Arial" w:hAnsi="Arial" w:cs="Arial"/>
                <w:sz w:val="16"/>
                <w:szCs w:val="16"/>
              </w:rPr>
              <w:t>.</w:t>
            </w:r>
          </w:p>
        </w:tc>
      </w:tr>
      <w:tr w:rsidR="00203E4B" w:rsidRPr="00306F4D" w14:paraId="4065BB84" w14:textId="77777777" w:rsidTr="0025418E">
        <w:trPr>
          <w:trHeight w:val="300"/>
        </w:trPr>
        <w:tc>
          <w:tcPr>
            <w:tcW w:w="1026" w:type="dxa"/>
          </w:tcPr>
          <w:p w14:paraId="49E2A706" w14:textId="1EED1A0E" w:rsidR="00203E4B" w:rsidRPr="00306F4D" w:rsidRDefault="75C4BC90" w:rsidP="02E2BB75">
            <w:pPr>
              <w:tabs>
                <w:tab w:val="left" w:pos="360"/>
              </w:tabs>
              <w:autoSpaceDE w:val="0"/>
              <w:autoSpaceDN w:val="0"/>
              <w:adjustRightInd w:val="0"/>
              <w:spacing w:line="276" w:lineRule="auto"/>
              <w:rPr>
                <w:rFonts w:ascii="Arial" w:eastAsia="Arial" w:hAnsi="Arial" w:cs="Arial"/>
                <w:b/>
                <w:bCs/>
                <w:sz w:val="16"/>
                <w:szCs w:val="16"/>
              </w:rPr>
            </w:pPr>
            <w:r w:rsidRPr="00306F4D">
              <w:rPr>
                <w:rFonts w:ascii="Arial" w:eastAsia="Arial" w:hAnsi="Arial" w:cs="Arial"/>
                <w:b/>
                <w:bCs/>
                <w:sz w:val="16"/>
                <w:szCs w:val="16"/>
              </w:rPr>
              <w:t>Maize Yield</w:t>
            </w:r>
          </w:p>
        </w:tc>
        <w:tc>
          <w:tcPr>
            <w:tcW w:w="2797" w:type="dxa"/>
          </w:tcPr>
          <w:p w14:paraId="699E9E11" w14:textId="1F7905CA" w:rsidR="00203E4B" w:rsidRPr="00306F4D" w:rsidRDefault="3F34D0CF" w:rsidP="005F7AC4">
            <w:pPr>
              <w:tabs>
                <w:tab w:val="left" w:pos="360"/>
              </w:tabs>
              <w:autoSpaceDE w:val="0"/>
              <w:autoSpaceDN w:val="0"/>
              <w:adjustRightInd w:val="0"/>
              <w:spacing w:line="276" w:lineRule="auto"/>
              <w:jc w:val="both"/>
              <w:rPr>
                <w:rFonts w:ascii="Arial" w:eastAsia="Arial" w:hAnsi="Arial" w:cs="Arial"/>
                <w:sz w:val="16"/>
                <w:szCs w:val="16"/>
              </w:rPr>
            </w:pPr>
            <w:r w:rsidRPr="00306F4D">
              <w:rPr>
                <w:rFonts w:ascii="Arial" w:eastAsia="Arial" w:hAnsi="Arial" w:cs="Arial"/>
                <w:sz w:val="16"/>
                <w:szCs w:val="16"/>
              </w:rPr>
              <w:t>A</w:t>
            </w:r>
            <w:r w:rsidR="75C4BC90" w:rsidRPr="00306F4D">
              <w:rPr>
                <w:rFonts w:ascii="Arial" w:eastAsia="Arial" w:hAnsi="Arial" w:cs="Arial"/>
                <w:sz w:val="16"/>
                <w:szCs w:val="16"/>
              </w:rPr>
              <w:t xml:space="preserve"> shift towards dry conditions mainly over agriculturally fertile Serbia and towards insufficiently humid in other parts. Over 10 years in this 20-year period (up</w:t>
            </w:r>
            <w:r w:rsidR="04FD82FE" w:rsidRPr="00306F4D">
              <w:rPr>
                <w:rFonts w:ascii="Arial" w:eastAsia="Arial" w:hAnsi="Arial" w:cs="Arial"/>
                <w:sz w:val="16"/>
                <w:szCs w:val="16"/>
              </w:rPr>
              <w:t>-</w:t>
            </w:r>
            <w:r w:rsidR="75C4BC90" w:rsidRPr="00306F4D">
              <w:rPr>
                <w:rFonts w:ascii="Arial" w:eastAsia="Arial" w:hAnsi="Arial" w:cs="Arial"/>
                <w:sz w:val="16"/>
                <w:szCs w:val="16"/>
              </w:rPr>
              <w:t>to 14 years in the lowest altitudes), the region will become unsuitable for maize growing without irrigation</w:t>
            </w:r>
            <w:r w:rsidR="759C8F01" w:rsidRPr="00306F4D">
              <w:rPr>
                <w:rFonts w:ascii="Arial" w:eastAsia="Arial" w:hAnsi="Arial" w:cs="Arial"/>
                <w:sz w:val="16"/>
                <w:szCs w:val="16"/>
              </w:rPr>
              <w:t>.</w:t>
            </w:r>
          </w:p>
        </w:tc>
        <w:tc>
          <w:tcPr>
            <w:tcW w:w="2896" w:type="dxa"/>
          </w:tcPr>
          <w:p w14:paraId="24835569" w14:textId="2644BD09" w:rsidR="00203E4B" w:rsidRPr="00306F4D" w:rsidRDefault="494A8A43" w:rsidP="005F7AC4">
            <w:pPr>
              <w:tabs>
                <w:tab w:val="left" w:pos="360"/>
              </w:tabs>
              <w:autoSpaceDE w:val="0"/>
              <w:autoSpaceDN w:val="0"/>
              <w:adjustRightInd w:val="0"/>
              <w:spacing w:line="276" w:lineRule="auto"/>
              <w:jc w:val="both"/>
              <w:rPr>
                <w:rFonts w:ascii="Arial" w:eastAsia="Arial" w:hAnsi="Arial" w:cs="Arial"/>
                <w:sz w:val="16"/>
                <w:szCs w:val="16"/>
              </w:rPr>
            </w:pPr>
            <w:r w:rsidRPr="00306F4D">
              <w:rPr>
                <w:rFonts w:ascii="Arial" w:eastAsia="Arial" w:hAnsi="Arial" w:cs="Arial"/>
                <w:sz w:val="16"/>
                <w:szCs w:val="16"/>
              </w:rPr>
              <w:t>W</w:t>
            </w:r>
            <w:r w:rsidR="07FF05C5" w:rsidRPr="00306F4D">
              <w:rPr>
                <w:rFonts w:ascii="Arial" w:eastAsia="Arial" w:hAnsi="Arial" w:cs="Arial"/>
                <w:sz w:val="16"/>
                <w:szCs w:val="16"/>
              </w:rPr>
              <w:t>ider spread of dry conditions mainly over Serbia, while in other parts of the region an insufficiently humid climate for maize is spreading, the number of years unsuitable for maize-growing without irrigation in the 20-year period is likely to be more than 14 years over the north and central Serbia</w:t>
            </w:r>
            <w:r w:rsidR="673F0049" w:rsidRPr="00306F4D">
              <w:rPr>
                <w:rFonts w:ascii="Arial" w:eastAsia="Arial" w:hAnsi="Arial" w:cs="Arial"/>
                <w:sz w:val="16"/>
                <w:szCs w:val="16"/>
              </w:rPr>
              <w:t>.</w:t>
            </w:r>
          </w:p>
        </w:tc>
        <w:tc>
          <w:tcPr>
            <w:tcW w:w="2636" w:type="dxa"/>
          </w:tcPr>
          <w:p w14:paraId="5D705B09" w14:textId="0EDB75B0" w:rsidR="00203E4B" w:rsidRPr="00306F4D" w:rsidRDefault="673F0049" w:rsidP="005F7AC4">
            <w:pPr>
              <w:tabs>
                <w:tab w:val="left" w:pos="360"/>
              </w:tabs>
              <w:autoSpaceDE w:val="0"/>
              <w:autoSpaceDN w:val="0"/>
              <w:adjustRightInd w:val="0"/>
              <w:spacing w:line="276" w:lineRule="auto"/>
              <w:jc w:val="both"/>
              <w:rPr>
                <w:rFonts w:ascii="Arial" w:eastAsia="Arial" w:hAnsi="Arial" w:cs="Arial"/>
                <w:sz w:val="16"/>
                <w:szCs w:val="16"/>
              </w:rPr>
            </w:pPr>
            <w:r w:rsidRPr="00306F4D">
              <w:rPr>
                <w:rFonts w:ascii="Arial" w:eastAsia="Arial" w:hAnsi="Arial" w:cs="Arial"/>
                <w:sz w:val="16"/>
                <w:szCs w:val="16"/>
              </w:rPr>
              <w:t>U</w:t>
            </w:r>
            <w:r w:rsidR="04C7B643" w:rsidRPr="00306F4D">
              <w:rPr>
                <w:rFonts w:ascii="Arial" w:eastAsia="Arial" w:hAnsi="Arial" w:cs="Arial"/>
                <w:sz w:val="16"/>
                <w:szCs w:val="16"/>
              </w:rPr>
              <w:t>nsuitable conditions for maize growing, and in most productive areas almost all years during this period will not be productive</w:t>
            </w:r>
            <w:r w:rsidRPr="00306F4D">
              <w:rPr>
                <w:rFonts w:ascii="Arial" w:eastAsia="Arial" w:hAnsi="Arial" w:cs="Arial"/>
                <w:sz w:val="16"/>
                <w:szCs w:val="16"/>
              </w:rPr>
              <w:t>.</w:t>
            </w:r>
          </w:p>
        </w:tc>
      </w:tr>
    </w:tbl>
    <w:p w14:paraId="570A6A70" w14:textId="57FCD64C" w:rsidR="00D11347" w:rsidRPr="00306F4D" w:rsidRDefault="00D11347" w:rsidP="02E2BB75">
      <w:pPr>
        <w:tabs>
          <w:tab w:val="left" w:pos="360"/>
          <w:tab w:val="num" w:pos="720"/>
        </w:tabs>
        <w:spacing w:before="120" w:after="240" w:line="276" w:lineRule="auto"/>
        <w:jc w:val="both"/>
        <w:rPr>
          <w:rFonts w:ascii="Arial" w:eastAsia="Arial" w:hAnsi="Arial" w:cs="Arial"/>
          <w:b/>
          <w:bCs/>
          <w:sz w:val="20"/>
          <w:szCs w:val="20"/>
          <w:lang w:val="en-GB"/>
        </w:rPr>
      </w:pPr>
      <w:bookmarkStart w:id="34" w:name="_Toc201659501"/>
    </w:p>
    <w:p w14:paraId="363D8331" w14:textId="11CCD6F5" w:rsidR="00D7067C" w:rsidRPr="00306F4D" w:rsidRDefault="19A75A43" w:rsidP="02E2BB75">
      <w:pPr>
        <w:tabs>
          <w:tab w:val="left" w:pos="360"/>
          <w:tab w:val="num" w:pos="720"/>
        </w:tabs>
        <w:spacing w:before="120" w:after="240" w:line="276" w:lineRule="auto"/>
        <w:jc w:val="both"/>
        <w:rPr>
          <w:rFonts w:ascii="Arial" w:eastAsia="Arial" w:hAnsi="Arial" w:cs="Arial"/>
          <w:b/>
          <w:bCs/>
          <w:color w:val="000000" w:themeColor="text1"/>
          <w:sz w:val="20"/>
          <w:szCs w:val="20"/>
          <w:lang w:val="en-GB"/>
        </w:rPr>
      </w:pPr>
      <w:r w:rsidRPr="00306F4D">
        <w:rPr>
          <w:rFonts w:ascii="Arial" w:eastAsia="Arial" w:hAnsi="Arial" w:cs="Arial"/>
          <w:b/>
          <w:bCs/>
          <w:sz w:val="20"/>
          <w:szCs w:val="20"/>
          <w:lang w:val="en-GB"/>
        </w:rPr>
        <w:t>Precipitation (0% to -30% Decrease)</w:t>
      </w:r>
      <w:bookmarkEnd w:id="34"/>
    </w:p>
    <w:p w14:paraId="70DEB083" w14:textId="6679E46C" w:rsidR="00D7067C" w:rsidRPr="00306F4D" w:rsidRDefault="52DA0754" w:rsidP="00D7067C">
      <w:pPr>
        <w:tabs>
          <w:tab w:val="left" w:pos="360"/>
        </w:tabs>
        <w:autoSpaceDE w:val="0"/>
        <w:autoSpaceDN w:val="0"/>
        <w:adjustRightInd w:val="0"/>
        <w:spacing w:before="120" w:after="240" w:line="276" w:lineRule="auto"/>
        <w:jc w:val="both"/>
        <w:rPr>
          <w:rFonts w:ascii="Arial" w:eastAsia="Arial" w:hAnsi="Arial" w:cs="Arial"/>
          <w:sz w:val="20"/>
          <w:szCs w:val="20"/>
        </w:rPr>
      </w:pPr>
      <w:r w:rsidRPr="00306F4D">
        <w:rPr>
          <w:rFonts w:ascii="Arial" w:eastAsia="Arial" w:hAnsi="Arial" w:cs="Arial"/>
          <w:sz w:val="20"/>
          <w:szCs w:val="20"/>
        </w:rPr>
        <w:t>The Western Balkans will witness a decrease in annual precipitation.</w:t>
      </w:r>
      <w:r w:rsidR="0878A1D0" w:rsidRPr="00306F4D">
        <w:rPr>
          <w:rFonts w:ascii="Arial" w:eastAsia="Arial" w:hAnsi="Arial" w:cs="Arial"/>
          <w:sz w:val="20"/>
          <w:szCs w:val="20"/>
          <w:vertAlign w:val="superscript"/>
        </w:rPr>
        <w:footnoteReference w:id="79"/>
      </w:r>
      <w:r w:rsidRPr="00306F4D">
        <w:rPr>
          <w:rFonts w:ascii="Arial" w:eastAsia="Arial" w:hAnsi="Arial" w:cs="Arial"/>
          <w:sz w:val="20"/>
          <w:szCs w:val="20"/>
        </w:rPr>
        <w:t xml:space="preserve"> However, projections for precipitation are not as clear or regular as predictions of temperature.</w:t>
      </w:r>
      <w:r w:rsidR="0878A1D0" w:rsidRPr="00306F4D">
        <w:rPr>
          <w:rFonts w:ascii="Arial" w:eastAsia="Arial" w:hAnsi="Arial" w:cs="Arial"/>
          <w:sz w:val="20"/>
          <w:szCs w:val="20"/>
          <w:vertAlign w:val="superscript"/>
        </w:rPr>
        <w:footnoteReference w:id="80"/>
      </w:r>
      <w:r w:rsidRPr="00306F4D">
        <w:rPr>
          <w:rFonts w:ascii="Arial" w:eastAsia="Arial" w:hAnsi="Arial" w:cs="Arial"/>
          <w:sz w:val="20"/>
          <w:szCs w:val="20"/>
        </w:rPr>
        <w:t xml:space="preserve"> The expected precipitation decrease is more pronounced in high emission scenarios than low-emission scenarios and is particularly strong in the summer</w:t>
      </w:r>
      <w:r w:rsidR="0BF16A85" w:rsidRPr="00306F4D">
        <w:rPr>
          <w:rFonts w:ascii="Arial" w:eastAsia="Arial" w:hAnsi="Arial" w:cs="Arial"/>
          <w:sz w:val="20"/>
          <w:szCs w:val="20"/>
        </w:rPr>
        <w:t>.</w:t>
      </w:r>
      <w:r w:rsidR="0878A1D0" w:rsidRPr="00306F4D">
        <w:rPr>
          <w:rFonts w:ascii="Arial" w:eastAsia="Arial" w:hAnsi="Arial" w:cs="Arial"/>
          <w:sz w:val="20"/>
          <w:szCs w:val="20"/>
          <w:vertAlign w:val="superscript"/>
        </w:rPr>
        <w:footnoteReference w:id="81"/>
      </w:r>
      <w:r w:rsidRPr="00306F4D">
        <w:rPr>
          <w:rFonts w:ascii="Arial" w:eastAsia="Arial" w:hAnsi="Arial" w:cs="Arial"/>
          <w:sz w:val="20"/>
          <w:szCs w:val="20"/>
        </w:rPr>
        <w:t xml:space="preserve"> In winter, on the contrary, precipitation will increase in the mountains and the region in general</w:t>
      </w:r>
      <w:r w:rsidR="1020E2E0" w:rsidRPr="00306F4D">
        <w:rPr>
          <w:rFonts w:ascii="Arial" w:eastAsia="Arial" w:hAnsi="Arial" w:cs="Arial"/>
          <w:sz w:val="20"/>
          <w:szCs w:val="20"/>
        </w:rPr>
        <w:t>.</w:t>
      </w:r>
      <w:r w:rsidR="0878A1D0" w:rsidRPr="00306F4D">
        <w:rPr>
          <w:rFonts w:ascii="Arial" w:eastAsia="Arial" w:hAnsi="Arial" w:cs="Arial"/>
          <w:sz w:val="20"/>
          <w:szCs w:val="20"/>
          <w:vertAlign w:val="superscript"/>
        </w:rPr>
        <w:footnoteReference w:id="82"/>
      </w:r>
      <w:r w:rsidRPr="00306F4D">
        <w:rPr>
          <w:rFonts w:ascii="Arial" w:eastAsia="Arial" w:hAnsi="Arial" w:cs="Arial"/>
          <w:sz w:val="20"/>
          <w:szCs w:val="20"/>
        </w:rPr>
        <w:t xml:space="preserve"> The annual number of rainy days could decrease by 10–20 days in a medium emission scenario by the end of the twenty-first century. No increase in extreme precipitation events </w:t>
      </w:r>
      <w:proofErr w:type="gramStart"/>
      <w:r w:rsidRPr="00306F4D">
        <w:rPr>
          <w:rFonts w:ascii="Arial" w:eastAsia="Arial" w:hAnsi="Arial" w:cs="Arial"/>
          <w:sz w:val="20"/>
          <w:szCs w:val="20"/>
        </w:rPr>
        <w:t>are</w:t>
      </w:r>
      <w:proofErr w:type="gramEnd"/>
      <w:r w:rsidRPr="00306F4D">
        <w:rPr>
          <w:rFonts w:ascii="Arial" w:eastAsia="Arial" w:hAnsi="Arial" w:cs="Arial"/>
          <w:sz w:val="20"/>
          <w:szCs w:val="20"/>
        </w:rPr>
        <w:t xml:space="preserve"> expected in the region</w:t>
      </w:r>
      <w:r w:rsidR="00B116A4" w:rsidRPr="00306F4D">
        <w:rPr>
          <w:rStyle w:val="FootnoteReference"/>
          <w:rFonts w:ascii="Arial" w:eastAsia="Arial" w:hAnsi="Arial" w:cs="Arial"/>
          <w:sz w:val="20"/>
          <w:szCs w:val="20"/>
        </w:rPr>
        <w:footnoteReference w:id="83"/>
      </w:r>
      <w:r w:rsidR="0383A4E8" w:rsidRPr="00306F4D">
        <w:rPr>
          <w:rFonts w:ascii="Arial" w:eastAsia="Arial" w:hAnsi="Arial" w:cs="Arial"/>
          <w:sz w:val="20"/>
          <w:szCs w:val="20"/>
        </w:rPr>
        <w:t>,</w:t>
      </w:r>
      <w:r w:rsidRPr="00306F4D">
        <w:rPr>
          <w:rFonts w:ascii="Arial" w:eastAsia="Arial" w:hAnsi="Arial" w:cs="Arial"/>
          <w:sz w:val="20"/>
          <w:szCs w:val="20"/>
        </w:rPr>
        <w:t xml:space="preserve"> however, flooding is predicted to become more frequent due to more precipitation in winter causing spring floods</w:t>
      </w:r>
      <w:r w:rsidR="0878A1D0" w:rsidRPr="00306F4D">
        <w:rPr>
          <w:rFonts w:ascii="Arial" w:eastAsia="Arial" w:hAnsi="Arial" w:cs="Arial"/>
          <w:sz w:val="20"/>
          <w:szCs w:val="20"/>
          <w:vertAlign w:val="superscript"/>
        </w:rPr>
        <w:footnoteReference w:id="84"/>
      </w:r>
      <w:r w:rsidRPr="00306F4D">
        <w:rPr>
          <w:rFonts w:ascii="Arial" w:eastAsia="Arial" w:hAnsi="Arial" w:cs="Arial"/>
          <w:sz w:val="20"/>
          <w:szCs w:val="20"/>
        </w:rPr>
        <w:t xml:space="preserve"> (</w:t>
      </w:r>
      <w:r w:rsidR="00D7067C" w:rsidRPr="00306F4D">
        <w:rPr>
          <w:rFonts w:ascii="Arial" w:hAnsi="Arial" w:cs="Arial"/>
          <w:b/>
          <w:bCs/>
          <w:sz w:val="20"/>
          <w:szCs w:val="20"/>
        </w:rPr>
        <w:fldChar w:fldCharType="begin"/>
      </w:r>
      <w:r w:rsidR="00D7067C" w:rsidRPr="00306F4D">
        <w:rPr>
          <w:rFonts w:ascii="Arial" w:hAnsi="Arial" w:cs="Arial"/>
          <w:b/>
          <w:bCs/>
          <w:sz w:val="20"/>
          <w:szCs w:val="20"/>
        </w:rPr>
        <w:instrText xml:space="preserve"> REF _Ref201656527 \h  \* MERGEFORMAT </w:instrText>
      </w:r>
      <w:r w:rsidR="00D7067C" w:rsidRPr="00306F4D">
        <w:rPr>
          <w:rFonts w:ascii="Arial" w:hAnsi="Arial" w:cs="Arial"/>
          <w:b/>
          <w:bCs/>
          <w:sz w:val="20"/>
          <w:szCs w:val="20"/>
        </w:rPr>
      </w:r>
      <w:r w:rsidR="00D7067C" w:rsidRPr="00306F4D">
        <w:rPr>
          <w:rFonts w:ascii="Arial" w:hAnsi="Arial" w:cs="Arial"/>
          <w:b/>
          <w:bCs/>
          <w:sz w:val="20"/>
          <w:szCs w:val="20"/>
        </w:rPr>
        <w:fldChar w:fldCharType="separate"/>
      </w:r>
      <w:r w:rsidRPr="00306F4D">
        <w:rPr>
          <w:rFonts w:ascii="Arial" w:hAnsi="Arial" w:cs="Arial"/>
          <w:b/>
          <w:bCs/>
          <w:sz w:val="20"/>
          <w:szCs w:val="20"/>
        </w:rPr>
        <w:t>Figure 7</w:t>
      </w:r>
      <w:r w:rsidR="00D7067C" w:rsidRPr="00306F4D">
        <w:rPr>
          <w:rFonts w:ascii="Arial" w:hAnsi="Arial" w:cs="Arial"/>
          <w:b/>
          <w:bCs/>
          <w:sz w:val="20"/>
          <w:szCs w:val="20"/>
        </w:rPr>
        <w:fldChar w:fldCharType="end"/>
      </w:r>
      <w:r w:rsidRPr="00306F4D">
        <w:rPr>
          <w:rFonts w:ascii="Arial" w:eastAsia="Arial" w:hAnsi="Arial" w:cs="Arial"/>
          <w:sz w:val="20"/>
          <w:szCs w:val="20"/>
        </w:rPr>
        <w:t>)</w:t>
      </w:r>
      <w:r w:rsidR="2D060E8B" w:rsidRPr="00306F4D">
        <w:rPr>
          <w:rFonts w:ascii="Arial" w:eastAsia="Arial" w:hAnsi="Arial" w:cs="Arial"/>
          <w:sz w:val="20"/>
          <w:szCs w:val="20"/>
        </w:rPr>
        <w:t>.</w:t>
      </w:r>
    </w:p>
    <w:p w14:paraId="5D5BBB0D" w14:textId="64A6C749" w:rsidR="00204FC2" w:rsidRPr="00306F4D" w:rsidRDefault="52DA0754" w:rsidP="02E2BB75">
      <w:pPr>
        <w:tabs>
          <w:tab w:val="left" w:pos="360"/>
        </w:tabs>
        <w:autoSpaceDE w:val="0"/>
        <w:autoSpaceDN w:val="0"/>
        <w:adjustRightInd w:val="0"/>
        <w:spacing w:before="120" w:after="240" w:line="276" w:lineRule="auto"/>
        <w:jc w:val="both"/>
        <w:rPr>
          <w:rFonts w:ascii="Arial" w:eastAsia="Arial" w:hAnsi="Arial" w:cs="Arial"/>
          <w:sz w:val="20"/>
          <w:szCs w:val="20"/>
        </w:rPr>
      </w:pPr>
      <w:r w:rsidRPr="00306F4D">
        <w:rPr>
          <w:rFonts w:ascii="Arial" w:eastAsia="Arial" w:hAnsi="Arial" w:cs="Arial"/>
          <w:b/>
          <w:bCs/>
          <w:sz w:val="20"/>
          <w:szCs w:val="20"/>
        </w:rPr>
        <w:t>In the near-future period (2016-2035)</w:t>
      </w:r>
      <w:r w:rsidRPr="00306F4D">
        <w:rPr>
          <w:rFonts w:ascii="Arial" w:eastAsia="Arial" w:hAnsi="Arial" w:cs="Arial"/>
          <w:sz w:val="20"/>
          <w:szCs w:val="20"/>
        </w:rPr>
        <w:t xml:space="preserve">, relative to the baseline period (1986-2005), RCC (2018) calculates that projected precipitation changes are negligible, though noting that significant observed changes had already occurred prior in the Western Balkans in the 1980s: </w:t>
      </w:r>
      <w:r w:rsidRPr="00306F4D">
        <w:rPr>
          <w:rFonts w:ascii="Arial" w:eastAsia="Arial" w:hAnsi="Arial" w:cs="Arial"/>
          <w:b/>
          <w:bCs/>
          <w:sz w:val="20"/>
          <w:szCs w:val="20"/>
        </w:rPr>
        <w:t>i</w:t>
      </w:r>
      <w:r w:rsidRPr="00306F4D" w:rsidDel="005463E9">
        <w:rPr>
          <w:rFonts w:ascii="Arial" w:eastAsia="Arial" w:hAnsi="Arial" w:cs="Arial"/>
          <w:b/>
          <w:bCs/>
          <w:sz w:val="20"/>
          <w:szCs w:val="20"/>
        </w:rPr>
        <w:t xml:space="preserve">) </w:t>
      </w:r>
      <w:r w:rsidRPr="00306F4D">
        <w:rPr>
          <w:rFonts w:ascii="Arial" w:eastAsia="Arial" w:hAnsi="Arial" w:cs="Arial"/>
          <w:sz w:val="20"/>
          <w:szCs w:val="20"/>
        </w:rPr>
        <w:t>in the RCP4.5 scenario, no significant precipitation change in annual or seasonal values over the region. Average annual accumulation change is within a -5% and +5% interval, with decrease over most of the region in JJA.</w:t>
      </w:r>
      <w:r w:rsidR="61495EBE" w:rsidRPr="00306F4D">
        <w:t>￼</w:t>
      </w:r>
      <w:r w:rsidRPr="00306F4D" w:rsidDel="005463E9">
        <w:rPr>
          <w:rFonts w:ascii="Arial" w:eastAsia="Arial" w:hAnsi="Arial" w:cs="Arial"/>
          <w:sz w:val="20"/>
          <w:szCs w:val="20"/>
        </w:rPr>
        <w:t xml:space="preserve"> </w:t>
      </w:r>
      <w:r w:rsidRPr="00306F4D">
        <w:rPr>
          <w:rFonts w:ascii="Arial" w:eastAsia="Arial" w:hAnsi="Arial" w:cs="Arial"/>
          <w:b/>
          <w:bCs/>
          <w:sz w:val="20"/>
          <w:szCs w:val="20"/>
        </w:rPr>
        <w:t xml:space="preserve">ii) </w:t>
      </w:r>
      <w:r w:rsidRPr="00306F4D">
        <w:rPr>
          <w:rFonts w:ascii="Arial" w:eastAsia="Arial" w:hAnsi="Arial" w:cs="Arial"/>
          <w:sz w:val="20"/>
          <w:szCs w:val="20"/>
        </w:rPr>
        <w:t>in the RCP8.5 scenario, also no significant precipitation change, but with somewhat different distribution.</w:t>
      </w:r>
      <w:r w:rsidR="00D7067C" w:rsidRPr="00306F4D">
        <w:rPr>
          <w:rFonts w:ascii="Arial" w:eastAsia="Arial" w:hAnsi="Arial" w:cs="Arial"/>
          <w:sz w:val="20"/>
          <w:szCs w:val="20"/>
          <w:vertAlign w:val="superscript"/>
        </w:rPr>
        <w:footnoteReference w:id="85"/>
      </w:r>
      <w:r w:rsidR="534403B0" w:rsidRPr="00306F4D">
        <w:rPr>
          <w:rFonts w:ascii="Arial" w:eastAsia="Arial" w:hAnsi="Arial" w:cs="Arial"/>
          <w:sz w:val="20"/>
          <w:szCs w:val="20"/>
        </w:rPr>
        <w:t xml:space="preserve"> Change in the number of dry days is not significant, but is more pronounced in summer, and annually increase by 5-15 days over the region, mainly in JJA, except in northern parts of the region. Very heavy precipitation increase (in number of days and percentage of total accumulation) is not statistically </w:t>
      </w:r>
      <w:proofErr w:type="gramStart"/>
      <w:r w:rsidR="534403B0" w:rsidRPr="00306F4D">
        <w:rPr>
          <w:rFonts w:ascii="Arial" w:eastAsia="Arial" w:hAnsi="Arial" w:cs="Arial"/>
          <w:sz w:val="20"/>
          <w:szCs w:val="20"/>
        </w:rPr>
        <w:t>significant, but</w:t>
      </w:r>
      <w:proofErr w:type="gramEnd"/>
      <w:r w:rsidR="534403B0" w:rsidRPr="00306F4D">
        <w:rPr>
          <w:rFonts w:ascii="Arial" w:eastAsia="Arial" w:hAnsi="Arial" w:cs="Arial"/>
          <w:sz w:val="20"/>
          <w:szCs w:val="20"/>
        </w:rPr>
        <w:t xml:space="preserve"> is most pronounced over the northern part of Serbia (Vojvodina) according to RCP8.5, as well as an increase of very heavy rain accumulation percentage;</w:t>
      </w:r>
    </w:p>
    <w:p w14:paraId="485A137D" w14:textId="67A92F63" w:rsidR="00BE5400" w:rsidRPr="00306F4D" w:rsidRDefault="19A75A43" w:rsidP="02E2BB75">
      <w:pPr>
        <w:tabs>
          <w:tab w:val="left" w:pos="360"/>
        </w:tabs>
        <w:autoSpaceDE w:val="0"/>
        <w:autoSpaceDN w:val="0"/>
        <w:adjustRightInd w:val="0"/>
        <w:spacing w:before="120" w:after="240" w:line="276" w:lineRule="auto"/>
        <w:jc w:val="both"/>
        <w:rPr>
          <w:rFonts w:ascii="Arial" w:eastAsia="Arial" w:hAnsi="Arial" w:cs="Arial"/>
          <w:sz w:val="20"/>
          <w:szCs w:val="20"/>
        </w:rPr>
      </w:pPr>
      <w:r w:rsidRPr="00306F4D">
        <w:rPr>
          <w:rFonts w:ascii="Arial" w:eastAsia="Arial" w:hAnsi="Arial" w:cs="Arial"/>
          <w:sz w:val="20"/>
          <w:szCs w:val="20"/>
        </w:rPr>
        <w:t xml:space="preserve">In the </w:t>
      </w:r>
      <w:r w:rsidRPr="00306F4D">
        <w:rPr>
          <w:rFonts w:ascii="Arial" w:eastAsia="Arial" w:hAnsi="Arial" w:cs="Arial"/>
          <w:b/>
          <w:bCs/>
          <w:sz w:val="20"/>
          <w:szCs w:val="20"/>
        </w:rPr>
        <w:t>mid-century period (2046-2065)</w:t>
      </w:r>
      <w:r w:rsidRPr="00306F4D" w:rsidDel="00455937">
        <w:rPr>
          <w:rFonts w:ascii="Arial" w:eastAsia="Arial" w:hAnsi="Arial" w:cs="Arial"/>
          <w:sz w:val="20"/>
          <w:szCs w:val="20"/>
        </w:rPr>
        <w:t>, relative to the baseline period (1986-2005)</w:t>
      </w:r>
      <w:r w:rsidRPr="00306F4D">
        <w:rPr>
          <w:rFonts w:ascii="Arial" w:eastAsia="Arial" w:hAnsi="Arial" w:cs="Arial"/>
          <w:sz w:val="20"/>
          <w:szCs w:val="20"/>
        </w:rPr>
        <w:t xml:space="preserve">: </w:t>
      </w:r>
      <w:r w:rsidRPr="00306F4D">
        <w:rPr>
          <w:rFonts w:ascii="Arial" w:eastAsia="Arial" w:hAnsi="Arial" w:cs="Arial"/>
          <w:b/>
          <w:bCs/>
          <w:sz w:val="20"/>
          <w:szCs w:val="20"/>
        </w:rPr>
        <w:t>i</w:t>
      </w:r>
      <w:r w:rsidRPr="00306F4D" w:rsidDel="00455937">
        <w:rPr>
          <w:rFonts w:ascii="Arial" w:eastAsia="Arial" w:hAnsi="Arial" w:cs="Arial"/>
          <w:b/>
          <w:bCs/>
          <w:sz w:val="20"/>
          <w:szCs w:val="20"/>
        </w:rPr>
        <w:t xml:space="preserve">) </w:t>
      </w:r>
      <w:r w:rsidRPr="00306F4D">
        <w:rPr>
          <w:rFonts w:ascii="Arial" w:eastAsia="Arial" w:hAnsi="Arial" w:cs="Arial"/>
          <w:sz w:val="20"/>
          <w:szCs w:val="20"/>
        </w:rPr>
        <w:t>in the RCP4.5 scenario, precipitation change still does not show statistically significant change in mean annual accumulation or in seasonal values, but the annual decrease spreads over the region, and in JJA the whole region suffers a notable decrease, which has significant implications for critical snow melt for agriculture, ecosystems, health and consumption.</w:t>
      </w:r>
      <w:r w:rsidR="4950AE2F" w:rsidRPr="00306F4D">
        <w:t>￼</w:t>
      </w:r>
      <w:r w:rsidRPr="00306F4D" w:rsidDel="00BE5400">
        <w:rPr>
          <w:rFonts w:ascii="Arial" w:eastAsia="Arial" w:hAnsi="Arial" w:cs="Arial"/>
          <w:sz w:val="20"/>
          <w:szCs w:val="20"/>
        </w:rPr>
        <w:t xml:space="preserve"> </w:t>
      </w:r>
      <w:r w:rsidRPr="00306F4D">
        <w:rPr>
          <w:rFonts w:ascii="Arial" w:eastAsia="Arial" w:hAnsi="Arial" w:cs="Arial"/>
          <w:b/>
          <w:bCs/>
          <w:sz w:val="20"/>
          <w:szCs w:val="20"/>
        </w:rPr>
        <w:t xml:space="preserve">ii) </w:t>
      </w:r>
      <w:r w:rsidRPr="00306F4D">
        <w:rPr>
          <w:rFonts w:ascii="Arial" w:eastAsia="Arial" w:hAnsi="Arial" w:cs="Arial"/>
          <w:sz w:val="20"/>
          <w:szCs w:val="20"/>
        </w:rPr>
        <w:lastRenderedPageBreak/>
        <w:t xml:space="preserve">in the RCP8.5 scenario, precipitation decrease becomes significant over Albania and parts of Montenegro in JJA and, including North Macedonia, the decrease may be over -20%. However, other seasons and annual averages show no significant </w:t>
      </w:r>
      <w:proofErr w:type="gramStart"/>
      <w:r w:rsidRPr="00306F4D">
        <w:rPr>
          <w:rFonts w:ascii="Arial" w:eastAsia="Arial" w:hAnsi="Arial" w:cs="Arial"/>
          <w:sz w:val="20"/>
          <w:szCs w:val="20"/>
        </w:rPr>
        <w:t>change.</w:t>
      </w:r>
      <w:r w:rsidR="4950AE2F" w:rsidRPr="00306F4D">
        <w:t>￼</w:t>
      </w:r>
      <w:proofErr w:type="gramEnd"/>
      <w:r w:rsidR="58450B98" w:rsidRPr="00306F4D">
        <w:rPr>
          <w:rFonts w:ascii="Arial" w:eastAsia="Arial" w:hAnsi="Arial" w:cs="Arial"/>
          <w:sz w:val="20"/>
          <w:szCs w:val="20"/>
        </w:rPr>
        <w:t xml:space="preserve"> Increase </w:t>
      </w:r>
      <w:r w:rsidR="25FF187A" w:rsidRPr="00306F4D">
        <w:rPr>
          <w:rFonts w:ascii="Arial" w:eastAsia="Arial" w:hAnsi="Arial" w:cs="Arial"/>
          <w:sz w:val="20"/>
          <w:szCs w:val="20"/>
        </w:rPr>
        <w:t>in the number of</w:t>
      </w:r>
      <w:r w:rsidR="58450B98" w:rsidRPr="00306F4D">
        <w:rPr>
          <w:rFonts w:ascii="Arial" w:eastAsia="Arial" w:hAnsi="Arial" w:cs="Arial"/>
          <w:sz w:val="20"/>
          <w:szCs w:val="20"/>
        </w:rPr>
        <w:t xml:space="preserve"> dry days is 5-10 days over most of the region, with significant change in southern parts (Albania and North Macedonia); change is most pronounced in JJA</w:t>
      </w:r>
      <w:r w:rsidR="25FF187A" w:rsidRPr="00306F4D">
        <w:rPr>
          <w:rFonts w:ascii="Arial" w:eastAsia="Arial" w:hAnsi="Arial" w:cs="Arial"/>
          <w:sz w:val="20"/>
          <w:szCs w:val="20"/>
        </w:rPr>
        <w:t>. The</w:t>
      </w:r>
      <w:r w:rsidR="58450B98" w:rsidRPr="00306F4D">
        <w:rPr>
          <w:rFonts w:ascii="Arial" w:eastAsia="Arial" w:hAnsi="Arial" w:cs="Arial"/>
          <w:sz w:val="20"/>
          <w:szCs w:val="20"/>
        </w:rPr>
        <w:t xml:space="preserve"> number of days with very heavy precipitation noticeably increases throughout the region, especially in the northern parts of Serbia (Vojvodina), while in regions which already have a large number of such days already, the increase is much less; very heavy rain percentage increases most over the region where such heavy-precipitation events are uncommon (north Bosnia and Herzegovina, Serbia, Kosovo</w:t>
      </w:r>
      <w:r w:rsidR="58450B98" w:rsidRPr="00306F4D">
        <w:rPr>
          <w:rStyle w:val="Heading1Char"/>
          <w:sz w:val="20"/>
          <w:szCs w:val="20"/>
        </w:rPr>
        <w:t xml:space="preserve"> </w:t>
      </w:r>
      <w:r w:rsidR="58450B98" w:rsidRPr="00306F4D">
        <w:rPr>
          <w:rStyle w:val="normaltextrun"/>
          <w:rFonts w:ascii="Arial" w:eastAsia="Arial" w:hAnsi="Arial" w:cs="Arial"/>
          <w:sz w:val="20"/>
          <w:szCs w:val="20"/>
        </w:rPr>
        <w:t>(UNSC 1244/1999)</w:t>
      </w:r>
      <w:r w:rsidR="58450B98" w:rsidRPr="00306F4D">
        <w:rPr>
          <w:rFonts w:ascii="Arial" w:eastAsia="Arial" w:hAnsi="Arial" w:cs="Arial"/>
          <w:sz w:val="20"/>
          <w:szCs w:val="20"/>
        </w:rPr>
        <w:t>, parts of North Macedonia), even of around 30% in DJF and MAM, while in JJA the decrease is seen over the southern part of the region, and according to RCP8.5 the increase in Vojvodina becomes significant;</w:t>
      </w:r>
    </w:p>
    <w:p w14:paraId="765440B0" w14:textId="174D5261" w:rsidR="00BE5400" w:rsidRPr="00306F4D" w:rsidRDefault="52DA0754" w:rsidP="02E2BB75">
      <w:pPr>
        <w:tabs>
          <w:tab w:val="left" w:pos="360"/>
        </w:tabs>
        <w:autoSpaceDE w:val="0"/>
        <w:autoSpaceDN w:val="0"/>
        <w:adjustRightInd w:val="0"/>
        <w:spacing w:before="120" w:after="240" w:line="276" w:lineRule="auto"/>
        <w:jc w:val="both"/>
        <w:rPr>
          <w:rFonts w:ascii="Arial" w:eastAsia="Arial" w:hAnsi="Arial" w:cs="Arial"/>
          <w:sz w:val="20"/>
          <w:szCs w:val="20"/>
        </w:rPr>
      </w:pPr>
      <w:r w:rsidRPr="00306F4D">
        <w:rPr>
          <w:rFonts w:ascii="Arial" w:eastAsia="Arial" w:hAnsi="Arial" w:cs="Arial"/>
          <w:sz w:val="20"/>
          <w:szCs w:val="20"/>
        </w:rPr>
        <w:t xml:space="preserve">In the </w:t>
      </w:r>
      <w:r w:rsidRPr="00306F4D">
        <w:rPr>
          <w:rFonts w:ascii="Arial" w:eastAsia="Arial" w:hAnsi="Arial" w:cs="Arial"/>
          <w:b/>
          <w:bCs/>
          <w:sz w:val="20"/>
          <w:szCs w:val="20"/>
        </w:rPr>
        <w:t>end-of-the-century period (2081-2100)</w:t>
      </w:r>
      <w:r w:rsidRPr="00306F4D">
        <w:rPr>
          <w:rFonts w:ascii="Arial" w:eastAsia="Arial" w:hAnsi="Arial" w:cs="Arial"/>
          <w:sz w:val="20"/>
          <w:szCs w:val="20"/>
        </w:rPr>
        <w:t>, relative</w:t>
      </w:r>
      <w:r w:rsidRPr="00306F4D" w:rsidDel="00AC7317">
        <w:rPr>
          <w:rFonts w:ascii="Arial" w:eastAsia="Arial" w:hAnsi="Arial" w:cs="Arial"/>
          <w:sz w:val="20"/>
          <w:szCs w:val="20"/>
        </w:rPr>
        <w:t xml:space="preserve"> to the baseline period (1986-2005)</w:t>
      </w:r>
      <w:r w:rsidRPr="00306F4D">
        <w:rPr>
          <w:rFonts w:ascii="Arial" w:eastAsia="Arial" w:hAnsi="Arial" w:cs="Arial"/>
          <w:sz w:val="20"/>
          <w:szCs w:val="20"/>
        </w:rPr>
        <w:t xml:space="preserve">: </w:t>
      </w:r>
      <w:r w:rsidRPr="00306F4D">
        <w:rPr>
          <w:rFonts w:ascii="Arial" w:eastAsia="Arial" w:hAnsi="Arial" w:cs="Arial"/>
          <w:b/>
          <w:bCs/>
          <w:sz w:val="20"/>
          <w:szCs w:val="20"/>
        </w:rPr>
        <w:t>i</w:t>
      </w:r>
      <w:r w:rsidRPr="00306F4D" w:rsidDel="00AC7317">
        <w:rPr>
          <w:rFonts w:ascii="Arial" w:eastAsia="Arial" w:hAnsi="Arial" w:cs="Arial"/>
          <w:b/>
          <w:bCs/>
          <w:sz w:val="20"/>
          <w:szCs w:val="20"/>
        </w:rPr>
        <w:t xml:space="preserve">) </w:t>
      </w:r>
      <w:r w:rsidRPr="00306F4D">
        <w:rPr>
          <w:rFonts w:ascii="Arial" w:eastAsia="Arial" w:hAnsi="Arial" w:cs="Arial"/>
          <w:sz w:val="20"/>
          <w:szCs w:val="20"/>
        </w:rPr>
        <w:t xml:space="preserve">in the RCP4.5 scenario, precipitation change has </w:t>
      </w:r>
      <w:r w:rsidR="628B97CC" w:rsidRPr="00306F4D">
        <w:rPr>
          <w:rFonts w:ascii="Arial" w:eastAsia="Arial" w:hAnsi="Arial" w:cs="Arial"/>
          <w:sz w:val="20"/>
          <w:szCs w:val="20"/>
        </w:rPr>
        <w:t>stabilized</w:t>
      </w:r>
      <w:r w:rsidR="0878A1D0" w:rsidRPr="00306F4D">
        <w:rPr>
          <w:rFonts w:ascii="Arial" w:eastAsia="Arial" w:hAnsi="Arial" w:cs="Arial"/>
          <w:sz w:val="20"/>
          <w:szCs w:val="20"/>
          <w:vertAlign w:val="superscript"/>
        </w:rPr>
        <w:footnoteReference w:id="86"/>
      </w:r>
      <w:r w:rsidR="61495EBE" w:rsidRPr="00306F4D">
        <w:t>￼</w:t>
      </w:r>
      <w:r w:rsidRPr="00306F4D">
        <w:rPr>
          <w:rFonts w:ascii="Arial" w:eastAsia="Arial" w:hAnsi="Arial" w:cs="Arial"/>
          <w:sz w:val="20"/>
          <w:szCs w:val="20"/>
        </w:rPr>
        <w:t xml:space="preserve"> </w:t>
      </w:r>
      <w:r w:rsidRPr="00306F4D" w:rsidDel="001D6E6E">
        <w:rPr>
          <w:rFonts w:ascii="Arial" w:eastAsia="Arial" w:hAnsi="Arial" w:cs="Arial"/>
          <w:b/>
          <w:bCs/>
          <w:sz w:val="20"/>
          <w:szCs w:val="20"/>
        </w:rPr>
        <w:t xml:space="preserve">ii) </w:t>
      </w:r>
      <w:r w:rsidR="0878A1D0" w:rsidRPr="00306F4D">
        <w:rPr>
          <w:rFonts w:ascii="Arial" w:eastAsia="Arial" w:hAnsi="Arial" w:cs="Arial"/>
          <w:sz w:val="20"/>
          <w:szCs w:val="20"/>
          <w:vertAlign w:val="superscript"/>
        </w:rPr>
        <w:footnoteReference w:id="87"/>
      </w:r>
      <w:r w:rsidR="61495EBE" w:rsidRPr="00306F4D">
        <w:t>￼</w:t>
      </w:r>
      <w:r w:rsidR="67D6D23F" w:rsidRPr="00306F4D">
        <w:rPr>
          <w:rFonts w:ascii="Arial" w:eastAsia="Arial" w:hAnsi="Arial" w:cs="Arial"/>
          <w:sz w:val="20"/>
          <w:szCs w:val="20"/>
        </w:rPr>
        <w:t xml:space="preserve"> In the RCP8.5 scenarios, increase in very heavy precipitation days is significant, reaching 5-10 days in some northern parts of the region and southern Serbia, especially in DJF; very heavy precipitation percentage shows the same pattern of change, however over the coastal, near-coastal and southern parts of the region (Albania), the decrease is significant in JJA, with values of over 30%</w:t>
      </w:r>
      <w:r w:rsidR="4157924B" w:rsidRPr="00306F4D">
        <w:rPr>
          <w:rFonts w:ascii="Arial" w:eastAsia="Arial" w:hAnsi="Arial" w:cs="Arial"/>
          <w:sz w:val="20"/>
          <w:szCs w:val="20"/>
        </w:rPr>
        <w:t>.</w:t>
      </w:r>
    </w:p>
    <w:p w14:paraId="4738784B" w14:textId="418D9B1A" w:rsidR="00FC2E4E" w:rsidRPr="00306F4D" w:rsidRDefault="7B16FA34" w:rsidP="02E2BB75">
      <w:pPr>
        <w:tabs>
          <w:tab w:val="left" w:pos="360"/>
        </w:tabs>
        <w:spacing w:before="12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Based on the regional analysis and baseline information presented above,</w:t>
      </w:r>
      <w:r w:rsidRPr="00306F4D">
        <w:rPr>
          <w:rFonts w:ascii="Arial" w:eastAsia="Arial" w:hAnsi="Arial" w:cs="Arial"/>
          <w:b/>
          <w:bCs/>
          <w:sz w:val="20"/>
          <w:szCs w:val="20"/>
          <w:lang w:val="en-GB"/>
        </w:rPr>
        <w:t xml:space="preserve"> Table 1</w:t>
      </w:r>
      <w:r w:rsidRPr="00306F4D">
        <w:rPr>
          <w:rFonts w:ascii="Arial" w:eastAsia="Arial" w:hAnsi="Arial" w:cs="Arial"/>
          <w:sz w:val="20"/>
          <w:szCs w:val="20"/>
          <w:lang w:val="en-GB"/>
        </w:rPr>
        <w:t xml:space="preserve"> shows a summary of climate risks in Western Balkans, their vulnerabilities and potential </w:t>
      </w:r>
      <w:r w:rsidR="1D90FBBF" w:rsidRPr="00306F4D">
        <w:rPr>
          <w:rFonts w:ascii="Arial" w:eastAsia="Arial" w:hAnsi="Arial" w:cs="Arial"/>
          <w:sz w:val="20"/>
          <w:szCs w:val="20"/>
          <w:lang w:val="en-GB"/>
        </w:rPr>
        <w:t>i</w:t>
      </w:r>
      <w:r w:rsidRPr="00306F4D">
        <w:rPr>
          <w:rFonts w:ascii="Arial" w:eastAsia="Arial" w:hAnsi="Arial" w:cs="Arial"/>
          <w:sz w:val="20"/>
          <w:szCs w:val="20"/>
          <w:lang w:val="en-GB"/>
        </w:rPr>
        <w:t>mpact</w:t>
      </w:r>
      <w:r w:rsidR="783DE0DD" w:rsidRPr="00306F4D">
        <w:rPr>
          <w:rFonts w:ascii="Arial" w:eastAsia="Arial" w:hAnsi="Arial" w:cs="Arial"/>
          <w:sz w:val="20"/>
          <w:szCs w:val="20"/>
          <w:lang w:val="en-GB"/>
        </w:rPr>
        <w:t>.</w:t>
      </w:r>
    </w:p>
    <w:tbl>
      <w:tblPr>
        <w:tblW w:w="1019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635"/>
        <w:gridCol w:w="5013"/>
        <w:gridCol w:w="3543"/>
      </w:tblGrid>
      <w:tr w:rsidR="00F00DC5" w:rsidRPr="00306F4D" w14:paraId="1749FB27" w14:textId="77777777" w:rsidTr="0025418E">
        <w:tc>
          <w:tcPr>
            <w:tcW w:w="10191" w:type="dxa"/>
            <w:gridSpan w:val="3"/>
            <w:tcBorders>
              <w:top w:val="double" w:sz="4" w:space="0" w:color="auto"/>
              <w:left w:val="double" w:sz="4" w:space="0" w:color="auto"/>
              <w:bottom w:val="single" w:sz="6" w:space="0" w:color="auto"/>
              <w:right w:val="double" w:sz="4" w:space="0" w:color="auto"/>
            </w:tcBorders>
            <w:shd w:val="clear" w:color="auto" w:fill="8EAADB" w:themeFill="accent1" w:themeFillTint="99"/>
            <w:hideMark/>
          </w:tcPr>
          <w:p w14:paraId="1EC8C568" w14:textId="34D25EEB" w:rsidR="00F00DC5" w:rsidRPr="00306F4D" w:rsidRDefault="46F23532" w:rsidP="49C6F20D">
            <w:pPr>
              <w:spacing w:before="240" w:after="240" w:line="240" w:lineRule="auto"/>
              <w:contextualSpacing/>
              <w:rPr>
                <w:rFonts w:ascii="Arial" w:eastAsia="Arial" w:hAnsi="Arial" w:cs="Arial"/>
                <w:b/>
                <w:sz w:val="18"/>
                <w:szCs w:val="18"/>
              </w:rPr>
            </w:pPr>
            <w:r w:rsidRPr="00306F4D">
              <w:rPr>
                <w:rFonts w:ascii="Arial" w:hAnsi="Arial" w:cs="Arial"/>
                <w:sz w:val="20"/>
                <w:szCs w:val="20"/>
              </w:rPr>
              <w:br w:type="page"/>
            </w:r>
            <w:r w:rsidR="1D489BBD" w:rsidRPr="00306F4D">
              <w:rPr>
                <w:rFonts w:ascii="Arial" w:eastAsia="Arial" w:hAnsi="Arial" w:cs="Arial"/>
                <w:b/>
                <w:sz w:val="18"/>
                <w:szCs w:val="18"/>
              </w:rPr>
              <w:t>Summary of Climate Risks in Western Balkans Region</w:t>
            </w:r>
            <w:r w:rsidR="66B69BBF" w:rsidRPr="00306F4D">
              <w:rPr>
                <w:rFonts w:ascii="Arial" w:eastAsia="Arial" w:hAnsi="Arial" w:cs="Arial"/>
                <w:b/>
                <w:sz w:val="18"/>
                <w:szCs w:val="18"/>
              </w:rPr>
              <w:t>-</w:t>
            </w:r>
            <w:r w:rsidR="1D489BBD" w:rsidRPr="00306F4D">
              <w:rPr>
                <w:rFonts w:ascii="Arial" w:eastAsia="Arial" w:hAnsi="Arial" w:cs="Arial"/>
                <w:b/>
                <w:sz w:val="18"/>
                <w:szCs w:val="18"/>
              </w:rPr>
              <w:t>Related Vulnerabilities and Potential Impact</w:t>
            </w:r>
          </w:p>
        </w:tc>
      </w:tr>
      <w:tr w:rsidR="00F00DC5" w:rsidRPr="00306F4D" w14:paraId="51815F92" w14:textId="77777777" w:rsidTr="0025418E">
        <w:tc>
          <w:tcPr>
            <w:tcW w:w="1635" w:type="dxa"/>
            <w:tcBorders>
              <w:top w:val="single" w:sz="6" w:space="0" w:color="auto"/>
              <w:left w:val="double" w:sz="4" w:space="0" w:color="auto"/>
              <w:bottom w:val="single" w:sz="6" w:space="0" w:color="auto"/>
              <w:right w:val="single" w:sz="6" w:space="0" w:color="auto"/>
            </w:tcBorders>
            <w:hideMark/>
          </w:tcPr>
          <w:p w14:paraId="0C34CEE1" w14:textId="77777777" w:rsidR="00F00DC5" w:rsidRPr="00306F4D" w:rsidRDefault="1D489BBD" w:rsidP="49C6F20D">
            <w:pPr>
              <w:spacing w:before="240" w:after="240" w:line="240" w:lineRule="auto"/>
              <w:contextualSpacing/>
              <w:rPr>
                <w:rFonts w:ascii="Arial" w:eastAsia="Arial" w:hAnsi="Arial" w:cs="Arial"/>
                <w:b/>
                <w:sz w:val="18"/>
                <w:szCs w:val="18"/>
              </w:rPr>
            </w:pPr>
            <w:r w:rsidRPr="00306F4D">
              <w:rPr>
                <w:rFonts w:ascii="Arial" w:eastAsia="Arial" w:hAnsi="Arial" w:cs="Arial"/>
                <w:b/>
                <w:sz w:val="18"/>
                <w:szCs w:val="18"/>
              </w:rPr>
              <w:t>Climate Risk</w:t>
            </w:r>
          </w:p>
        </w:tc>
        <w:tc>
          <w:tcPr>
            <w:tcW w:w="5013" w:type="dxa"/>
            <w:tcBorders>
              <w:top w:val="single" w:sz="6" w:space="0" w:color="auto"/>
              <w:left w:val="single" w:sz="6" w:space="0" w:color="auto"/>
              <w:bottom w:val="single" w:sz="6" w:space="0" w:color="auto"/>
              <w:right w:val="single" w:sz="6" w:space="0" w:color="auto"/>
            </w:tcBorders>
            <w:hideMark/>
          </w:tcPr>
          <w:p w14:paraId="60F13AB2" w14:textId="77777777" w:rsidR="00F00DC5" w:rsidRPr="00306F4D" w:rsidRDefault="1D489BBD" w:rsidP="49C6F20D">
            <w:pPr>
              <w:spacing w:before="240" w:after="240" w:line="240" w:lineRule="auto"/>
              <w:contextualSpacing/>
              <w:rPr>
                <w:rFonts w:ascii="Arial" w:eastAsia="Arial" w:hAnsi="Arial" w:cs="Arial"/>
                <w:b/>
                <w:sz w:val="18"/>
                <w:szCs w:val="18"/>
              </w:rPr>
            </w:pPr>
            <w:r w:rsidRPr="00306F4D">
              <w:rPr>
                <w:rFonts w:ascii="Arial" w:eastAsia="Arial" w:hAnsi="Arial" w:cs="Arial"/>
                <w:b/>
                <w:sz w:val="18"/>
                <w:szCs w:val="18"/>
              </w:rPr>
              <w:t>Vulnerability</w:t>
            </w:r>
          </w:p>
        </w:tc>
        <w:tc>
          <w:tcPr>
            <w:tcW w:w="3543" w:type="dxa"/>
            <w:tcBorders>
              <w:top w:val="single" w:sz="6" w:space="0" w:color="auto"/>
              <w:left w:val="single" w:sz="6" w:space="0" w:color="auto"/>
              <w:bottom w:val="single" w:sz="6" w:space="0" w:color="auto"/>
              <w:right w:val="double" w:sz="4" w:space="0" w:color="auto"/>
            </w:tcBorders>
            <w:hideMark/>
          </w:tcPr>
          <w:p w14:paraId="216597E8" w14:textId="77777777" w:rsidR="00F00DC5" w:rsidRPr="00306F4D" w:rsidRDefault="1D489BBD" w:rsidP="49C6F20D">
            <w:pPr>
              <w:spacing w:before="240" w:after="240" w:line="240" w:lineRule="auto"/>
              <w:contextualSpacing/>
              <w:rPr>
                <w:rFonts w:ascii="Arial" w:eastAsia="Arial" w:hAnsi="Arial" w:cs="Arial"/>
                <w:b/>
                <w:sz w:val="18"/>
                <w:szCs w:val="18"/>
              </w:rPr>
            </w:pPr>
            <w:r w:rsidRPr="00306F4D">
              <w:rPr>
                <w:rFonts w:ascii="Arial" w:eastAsia="Arial" w:hAnsi="Arial" w:cs="Arial"/>
                <w:b/>
                <w:sz w:val="18"/>
                <w:szCs w:val="18"/>
              </w:rPr>
              <w:t>Potential Impact</w:t>
            </w:r>
          </w:p>
        </w:tc>
      </w:tr>
      <w:tr w:rsidR="00F00DC5" w:rsidRPr="00306F4D" w14:paraId="003E7C80" w14:textId="77777777" w:rsidTr="0025418E">
        <w:tc>
          <w:tcPr>
            <w:tcW w:w="10191" w:type="dxa"/>
            <w:gridSpan w:val="3"/>
            <w:tcBorders>
              <w:top w:val="single" w:sz="6" w:space="0" w:color="auto"/>
              <w:left w:val="double" w:sz="4" w:space="0" w:color="auto"/>
              <w:bottom w:val="single" w:sz="6" w:space="0" w:color="auto"/>
              <w:right w:val="double" w:sz="4" w:space="0" w:color="auto"/>
            </w:tcBorders>
            <w:shd w:val="clear" w:color="auto" w:fill="D9E2F3" w:themeFill="accent1" w:themeFillTint="33"/>
            <w:hideMark/>
          </w:tcPr>
          <w:p w14:paraId="6B3C3808" w14:textId="77777777" w:rsidR="00F00DC5" w:rsidRPr="00306F4D" w:rsidRDefault="1D489BBD" w:rsidP="49C6F20D">
            <w:pPr>
              <w:spacing w:before="240" w:after="240" w:line="240" w:lineRule="auto"/>
              <w:contextualSpacing/>
              <w:rPr>
                <w:rFonts w:ascii="Arial" w:eastAsia="Arial" w:hAnsi="Arial" w:cs="Arial"/>
                <w:b/>
                <w:sz w:val="18"/>
                <w:szCs w:val="18"/>
              </w:rPr>
            </w:pPr>
            <w:r w:rsidRPr="00306F4D">
              <w:rPr>
                <w:rFonts w:ascii="Arial" w:eastAsia="Arial" w:hAnsi="Arial" w:cs="Arial"/>
                <w:b/>
                <w:sz w:val="18"/>
                <w:szCs w:val="18"/>
              </w:rPr>
              <w:t>Temperature</w:t>
            </w:r>
          </w:p>
        </w:tc>
      </w:tr>
      <w:tr w:rsidR="00FC2E4E" w:rsidRPr="00306F4D" w14:paraId="2019505F" w14:textId="77777777" w:rsidTr="0025418E">
        <w:tc>
          <w:tcPr>
            <w:tcW w:w="1635" w:type="dxa"/>
            <w:tcBorders>
              <w:top w:val="single" w:sz="6" w:space="0" w:color="auto"/>
              <w:left w:val="double" w:sz="4" w:space="0" w:color="auto"/>
              <w:bottom w:val="single" w:sz="6" w:space="0" w:color="auto"/>
              <w:right w:val="single" w:sz="6" w:space="0" w:color="auto"/>
            </w:tcBorders>
            <w:hideMark/>
          </w:tcPr>
          <w:p w14:paraId="783AFC0F" w14:textId="77777777" w:rsidR="00F00DC5" w:rsidRPr="00306F4D" w:rsidRDefault="1D489BBD" w:rsidP="49C6F20D">
            <w:pPr>
              <w:spacing w:before="240" w:after="0" w:line="240" w:lineRule="auto"/>
              <w:contextualSpacing/>
              <w:rPr>
                <w:rFonts w:ascii="Arial" w:eastAsia="Arial" w:hAnsi="Arial" w:cs="Arial"/>
                <w:b/>
                <w:sz w:val="18"/>
                <w:szCs w:val="18"/>
              </w:rPr>
            </w:pPr>
            <w:r w:rsidRPr="00306F4D">
              <w:rPr>
                <w:rFonts w:ascii="Arial" w:eastAsia="Arial" w:hAnsi="Arial" w:cs="Arial"/>
                <w:b/>
                <w:sz w:val="18"/>
                <w:szCs w:val="18"/>
              </w:rPr>
              <w:t>Rising Temperatures</w:t>
            </w:r>
          </w:p>
        </w:tc>
        <w:tc>
          <w:tcPr>
            <w:tcW w:w="5013" w:type="dxa"/>
            <w:tcBorders>
              <w:top w:val="single" w:sz="6" w:space="0" w:color="auto"/>
              <w:left w:val="single" w:sz="6" w:space="0" w:color="auto"/>
              <w:bottom w:val="single" w:sz="6" w:space="0" w:color="auto"/>
              <w:right w:val="single" w:sz="6" w:space="0" w:color="auto"/>
            </w:tcBorders>
            <w:hideMark/>
          </w:tcPr>
          <w:p w14:paraId="09E4C92F" w14:textId="2CE678F4" w:rsidR="00F00DC5" w:rsidRPr="00306F4D" w:rsidRDefault="1D489BBD" w:rsidP="49C6F20D">
            <w:pPr>
              <w:numPr>
                <w:ilvl w:val="0"/>
                <w:numId w:val="65"/>
              </w:numPr>
              <w:tabs>
                <w:tab w:val="num" w:pos="169"/>
              </w:tabs>
              <w:spacing w:before="240" w:after="0" w:line="240" w:lineRule="auto"/>
              <w:ind w:left="481"/>
              <w:contextualSpacing/>
              <w:rPr>
                <w:rFonts w:ascii="Arial" w:eastAsia="Arial" w:hAnsi="Arial" w:cs="Arial"/>
                <w:sz w:val="18"/>
                <w:szCs w:val="18"/>
              </w:rPr>
            </w:pPr>
            <w:r w:rsidRPr="00306F4D">
              <w:rPr>
                <w:rFonts w:ascii="Arial" w:eastAsia="Arial" w:hAnsi="Arial" w:cs="Arial"/>
                <w:b/>
                <w:sz w:val="18"/>
                <w:szCs w:val="18"/>
              </w:rPr>
              <w:t>Agriculture:</w:t>
            </w:r>
            <w:r w:rsidRPr="00306F4D">
              <w:rPr>
                <w:rFonts w:ascii="Arial" w:eastAsia="Arial" w:hAnsi="Arial" w:cs="Arial"/>
                <w:sz w:val="18"/>
                <w:szCs w:val="18"/>
              </w:rPr>
              <w:t xml:space="preserve"> high exposure of crops, crop yields and agriculture productivity to a predictable temperature range</w:t>
            </w:r>
          </w:p>
          <w:p w14:paraId="2906C9FF" w14:textId="77777777" w:rsidR="00F00DC5" w:rsidRPr="00306F4D" w:rsidRDefault="1D489BBD" w:rsidP="49C6F20D">
            <w:pPr>
              <w:numPr>
                <w:ilvl w:val="0"/>
                <w:numId w:val="65"/>
              </w:numPr>
              <w:tabs>
                <w:tab w:val="num" w:pos="169"/>
              </w:tabs>
              <w:spacing w:before="240" w:after="0" w:line="240" w:lineRule="auto"/>
              <w:ind w:left="481"/>
              <w:contextualSpacing/>
              <w:rPr>
                <w:rFonts w:ascii="Arial" w:eastAsia="Arial" w:hAnsi="Arial" w:cs="Arial"/>
                <w:sz w:val="18"/>
                <w:szCs w:val="18"/>
              </w:rPr>
            </w:pPr>
            <w:r w:rsidRPr="00306F4D">
              <w:rPr>
                <w:rFonts w:ascii="Arial" w:eastAsia="Arial" w:hAnsi="Arial" w:cs="Arial"/>
                <w:b/>
                <w:sz w:val="18"/>
                <w:szCs w:val="18"/>
              </w:rPr>
              <w:t>Soil:</w:t>
            </w:r>
            <w:r w:rsidRPr="00306F4D">
              <w:rPr>
                <w:rFonts w:ascii="Arial" w:eastAsia="Arial" w:hAnsi="Arial" w:cs="Arial"/>
                <w:sz w:val="18"/>
                <w:szCs w:val="18"/>
              </w:rPr>
              <w:t xml:space="preserve"> exposure of mountain and rural soil and top cover to manage floods and wildfires</w:t>
            </w:r>
          </w:p>
          <w:p w14:paraId="047FFEC7" w14:textId="77777777" w:rsidR="00F00DC5" w:rsidRPr="00306F4D" w:rsidRDefault="1D489BBD" w:rsidP="49C6F20D">
            <w:pPr>
              <w:numPr>
                <w:ilvl w:val="0"/>
                <w:numId w:val="65"/>
              </w:numPr>
              <w:tabs>
                <w:tab w:val="num" w:pos="169"/>
              </w:tabs>
              <w:spacing w:before="240" w:after="0" w:line="240" w:lineRule="auto"/>
              <w:ind w:left="481"/>
              <w:contextualSpacing/>
              <w:rPr>
                <w:rFonts w:ascii="Arial" w:eastAsia="Arial" w:hAnsi="Arial" w:cs="Arial"/>
                <w:sz w:val="18"/>
                <w:szCs w:val="18"/>
              </w:rPr>
            </w:pPr>
            <w:r w:rsidRPr="00306F4D">
              <w:rPr>
                <w:rFonts w:ascii="Arial" w:eastAsia="Arial" w:hAnsi="Arial" w:cs="Arial"/>
                <w:b/>
                <w:sz w:val="18"/>
                <w:szCs w:val="18"/>
              </w:rPr>
              <w:t>Biodiversity:</w:t>
            </w:r>
            <w:r w:rsidRPr="00306F4D">
              <w:rPr>
                <w:rFonts w:ascii="Arial" w:eastAsia="Arial" w:hAnsi="Arial" w:cs="Arial"/>
                <w:sz w:val="18"/>
                <w:szCs w:val="18"/>
              </w:rPr>
              <w:t xml:space="preserve"> loss of endemic, vulnerable and rare species and habitats that are sensitive to high temperatures</w:t>
            </w:r>
          </w:p>
          <w:p w14:paraId="3D5DC22E" w14:textId="77777777" w:rsidR="00F00DC5" w:rsidRPr="00306F4D" w:rsidRDefault="1D489BBD" w:rsidP="49C6F20D">
            <w:pPr>
              <w:numPr>
                <w:ilvl w:val="0"/>
                <w:numId w:val="65"/>
              </w:numPr>
              <w:tabs>
                <w:tab w:val="num" w:pos="169"/>
              </w:tabs>
              <w:spacing w:before="240" w:after="0" w:line="240" w:lineRule="auto"/>
              <w:ind w:left="481"/>
              <w:contextualSpacing/>
              <w:rPr>
                <w:rFonts w:ascii="Arial" w:eastAsia="Arial" w:hAnsi="Arial" w:cs="Arial"/>
                <w:sz w:val="18"/>
                <w:szCs w:val="18"/>
              </w:rPr>
            </w:pPr>
            <w:r w:rsidRPr="00306F4D">
              <w:rPr>
                <w:rFonts w:ascii="Arial" w:eastAsia="Arial" w:hAnsi="Arial" w:cs="Arial"/>
                <w:b/>
                <w:sz w:val="18"/>
                <w:szCs w:val="18"/>
              </w:rPr>
              <w:t>Ecosystems:</w:t>
            </w:r>
            <w:r w:rsidRPr="00306F4D">
              <w:rPr>
                <w:rFonts w:ascii="Arial" w:eastAsia="Arial" w:hAnsi="Arial" w:cs="Arial"/>
                <w:sz w:val="18"/>
                <w:szCs w:val="18"/>
              </w:rPr>
              <w:t xml:space="preserve"> exposure of mountain and rural ecosystem functions and services to heat</w:t>
            </w:r>
          </w:p>
          <w:p w14:paraId="50EF26CB" w14:textId="77777777" w:rsidR="00F00DC5" w:rsidRPr="00306F4D" w:rsidRDefault="1D489BBD" w:rsidP="49C6F20D">
            <w:pPr>
              <w:numPr>
                <w:ilvl w:val="0"/>
                <w:numId w:val="65"/>
              </w:numPr>
              <w:tabs>
                <w:tab w:val="num" w:pos="169"/>
              </w:tabs>
              <w:spacing w:before="240" w:after="0" w:line="240" w:lineRule="auto"/>
              <w:ind w:left="481"/>
              <w:contextualSpacing/>
              <w:rPr>
                <w:rFonts w:ascii="Arial" w:eastAsia="Arial" w:hAnsi="Arial" w:cs="Arial"/>
                <w:sz w:val="18"/>
                <w:szCs w:val="18"/>
              </w:rPr>
            </w:pPr>
            <w:r w:rsidRPr="00306F4D">
              <w:rPr>
                <w:rFonts w:ascii="Arial" w:eastAsia="Arial" w:hAnsi="Arial" w:cs="Arial"/>
                <w:b/>
                <w:sz w:val="18"/>
                <w:szCs w:val="18"/>
              </w:rPr>
              <w:t>Disease:</w:t>
            </w:r>
            <w:r w:rsidRPr="00306F4D">
              <w:rPr>
                <w:rFonts w:ascii="Arial" w:eastAsia="Arial" w:hAnsi="Arial" w:cs="Arial"/>
                <w:sz w:val="18"/>
                <w:szCs w:val="18"/>
              </w:rPr>
              <w:t xml:space="preserve"> rise in crop disease</w:t>
            </w:r>
          </w:p>
          <w:p w14:paraId="01B0098D" w14:textId="77777777" w:rsidR="00F00DC5" w:rsidRPr="00306F4D" w:rsidRDefault="1D489BBD" w:rsidP="49C6F20D">
            <w:pPr>
              <w:numPr>
                <w:ilvl w:val="0"/>
                <w:numId w:val="65"/>
              </w:numPr>
              <w:tabs>
                <w:tab w:val="num" w:pos="169"/>
              </w:tabs>
              <w:spacing w:before="240" w:after="0" w:line="240" w:lineRule="auto"/>
              <w:ind w:left="481"/>
              <w:contextualSpacing/>
              <w:rPr>
                <w:rFonts w:ascii="Arial" w:eastAsia="Arial" w:hAnsi="Arial" w:cs="Arial"/>
                <w:sz w:val="18"/>
                <w:szCs w:val="18"/>
              </w:rPr>
            </w:pPr>
            <w:r w:rsidRPr="00306F4D">
              <w:rPr>
                <w:rFonts w:ascii="Arial" w:eastAsia="Arial" w:hAnsi="Arial" w:cs="Arial"/>
                <w:b/>
                <w:sz w:val="18"/>
                <w:szCs w:val="18"/>
              </w:rPr>
              <w:t>Net Food Importers:</w:t>
            </w:r>
            <w:r w:rsidRPr="00306F4D">
              <w:rPr>
                <w:rFonts w:ascii="Arial" w:eastAsia="Arial" w:hAnsi="Arial" w:cs="Arial"/>
                <w:sz w:val="18"/>
                <w:szCs w:val="18"/>
              </w:rPr>
              <w:t xml:space="preserve"> the countries of the Balkans Region are already net food importers, which will further strain individual, community and national food security, budgets, and spending</w:t>
            </w:r>
          </w:p>
        </w:tc>
        <w:tc>
          <w:tcPr>
            <w:tcW w:w="3543" w:type="dxa"/>
            <w:tcBorders>
              <w:top w:val="single" w:sz="6" w:space="0" w:color="auto"/>
              <w:left w:val="single" w:sz="6" w:space="0" w:color="auto"/>
              <w:bottom w:val="single" w:sz="6" w:space="0" w:color="auto"/>
              <w:right w:val="double" w:sz="4" w:space="0" w:color="auto"/>
            </w:tcBorders>
            <w:hideMark/>
          </w:tcPr>
          <w:p w14:paraId="596B047E" w14:textId="77777777" w:rsidR="00F00DC5" w:rsidRPr="00306F4D" w:rsidRDefault="1D489BBD" w:rsidP="49C6F20D">
            <w:pPr>
              <w:numPr>
                <w:ilvl w:val="0"/>
                <w:numId w:val="65"/>
              </w:numPr>
              <w:tabs>
                <w:tab w:val="num" w:pos="169"/>
              </w:tabs>
              <w:spacing w:before="240" w:after="0" w:line="240" w:lineRule="auto"/>
              <w:ind w:left="526"/>
              <w:contextualSpacing/>
              <w:rPr>
                <w:rFonts w:ascii="Arial" w:eastAsia="Arial" w:hAnsi="Arial" w:cs="Arial"/>
                <w:sz w:val="18"/>
                <w:szCs w:val="18"/>
              </w:rPr>
            </w:pPr>
            <w:r w:rsidRPr="00306F4D">
              <w:rPr>
                <w:rFonts w:ascii="Arial" w:eastAsia="Arial" w:hAnsi="Arial" w:cs="Arial"/>
                <w:sz w:val="18"/>
                <w:szCs w:val="18"/>
              </w:rPr>
              <w:t>Economic and livelihood losses in agriculture sector and farming communities</w:t>
            </w:r>
          </w:p>
          <w:p w14:paraId="79983E4C" w14:textId="77777777" w:rsidR="00F00DC5" w:rsidRPr="00306F4D" w:rsidRDefault="1D489BBD" w:rsidP="49C6F20D">
            <w:pPr>
              <w:numPr>
                <w:ilvl w:val="0"/>
                <w:numId w:val="65"/>
              </w:numPr>
              <w:tabs>
                <w:tab w:val="num" w:pos="169"/>
              </w:tabs>
              <w:spacing w:before="240" w:after="0" w:line="240" w:lineRule="auto"/>
              <w:ind w:left="526"/>
              <w:contextualSpacing/>
              <w:rPr>
                <w:rFonts w:ascii="Arial" w:eastAsia="Arial" w:hAnsi="Arial" w:cs="Arial"/>
                <w:sz w:val="18"/>
                <w:szCs w:val="18"/>
              </w:rPr>
            </w:pPr>
            <w:r w:rsidRPr="00306F4D">
              <w:rPr>
                <w:rFonts w:ascii="Arial" w:eastAsia="Arial" w:hAnsi="Arial" w:cs="Arial"/>
                <w:sz w:val="18"/>
                <w:szCs w:val="18"/>
              </w:rPr>
              <w:t>Decrease in ecosystem functioning</w:t>
            </w:r>
          </w:p>
          <w:p w14:paraId="609AE95C" w14:textId="77777777" w:rsidR="00F00DC5" w:rsidRPr="00306F4D" w:rsidRDefault="1D489BBD" w:rsidP="49C6F20D">
            <w:pPr>
              <w:numPr>
                <w:ilvl w:val="0"/>
                <w:numId w:val="65"/>
              </w:numPr>
              <w:tabs>
                <w:tab w:val="num" w:pos="169"/>
              </w:tabs>
              <w:spacing w:before="240" w:after="0" w:line="240" w:lineRule="auto"/>
              <w:ind w:left="526"/>
              <w:contextualSpacing/>
              <w:rPr>
                <w:rFonts w:ascii="Arial" w:eastAsia="Arial" w:hAnsi="Arial" w:cs="Arial"/>
                <w:sz w:val="18"/>
                <w:szCs w:val="18"/>
              </w:rPr>
            </w:pPr>
            <w:r w:rsidRPr="00306F4D">
              <w:rPr>
                <w:rFonts w:ascii="Arial" w:eastAsia="Arial" w:hAnsi="Arial" w:cs="Arial"/>
                <w:sz w:val="18"/>
                <w:szCs w:val="18"/>
              </w:rPr>
              <w:t>Loss of valuable species, habitats and ecosystem services</w:t>
            </w:r>
          </w:p>
          <w:p w14:paraId="31F76316" w14:textId="77777777" w:rsidR="00F00DC5" w:rsidRPr="00306F4D" w:rsidRDefault="1D489BBD" w:rsidP="49C6F20D">
            <w:pPr>
              <w:numPr>
                <w:ilvl w:val="0"/>
                <w:numId w:val="65"/>
              </w:numPr>
              <w:tabs>
                <w:tab w:val="num" w:pos="169"/>
              </w:tabs>
              <w:spacing w:before="240" w:after="0" w:line="240" w:lineRule="auto"/>
              <w:ind w:left="526"/>
              <w:contextualSpacing/>
              <w:rPr>
                <w:rFonts w:ascii="Arial" w:eastAsia="Arial" w:hAnsi="Arial" w:cs="Arial"/>
                <w:sz w:val="18"/>
                <w:szCs w:val="18"/>
              </w:rPr>
            </w:pPr>
            <w:r w:rsidRPr="00306F4D">
              <w:rPr>
                <w:rFonts w:ascii="Arial" w:eastAsia="Arial" w:hAnsi="Arial" w:cs="Arial"/>
                <w:sz w:val="18"/>
                <w:szCs w:val="18"/>
              </w:rPr>
              <w:t>Changes and disruption to species, habitats and ecosystems, leading to loss of ecosystem services, decrease in agricultural productivity, and change in ecosystem diversity and distribution, including migration to higher altitudes</w:t>
            </w:r>
          </w:p>
          <w:p w14:paraId="7AA115B6" w14:textId="77777777" w:rsidR="00F00DC5" w:rsidRPr="00306F4D" w:rsidRDefault="1D489BBD" w:rsidP="49C6F20D">
            <w:pPr>
              <w:numPr>
                <w:ilvl w:val="0"/>
                <w:numId w:val="65"/>
              </w:numPr>
              <w:tabs>
                <w:tab w:val="num" w:pos="169"/>
              </w:tabs>
              <w:spacing w:before="240" w:after="0" w:line="240" w:lineRule="auto"/>
              <w:ind w:left="526"/>
              <w:contextualSpacing/>
              <w:rPr>
                <w:rFonts w:ascii="Arial" w:eastAsia="Arial" w:hAnsi="Arial" w:cs="Arial"/>
                <w:sz w:val="18"/>
                <w:szCs w:val="18"/>
              </w:rPr>
            </w:pPr>
            <w:r w:rsidRPr="00306F4D">
              <w:rPr>
                <w:rFonts w:ascii="Arial" w:eastAsia="Arial" w:hAnsi="Arial" w:cs="Arial"/>
                <w:sz w:val="18"/>
                <w:szCs w:val="18"/>
              </w:rPr>
              <w:t>Changes and disruption to soil moisture, productivity and health</w:t>
            </w:r>
          </w:p>
          <w:p w14:paraId="10CAD557" w14:textId="77777777" w:rsidR="00F00DC5" w:rsidRPr="00306F4D" w:rsidRDefault="1D489BBD" w:rsidP="49C6F20D">
            <w:pPr>
              <w:numPr>
                <w:ilvl w:val="0"/>
                <w:numId w:val="65"/>
              </w:numPr>
              <w:tabs>
                <w:tab w:val="num" w:pos="169"/>
              </w:tabs>
              <w:spacing w:before="240" w:after="0" w:line="240" w:lineRule="auto"/>
              <w:ind w:left="526"/>
              <w:contextualSpacing/>
              <w:rPr>
                <w:rFonts w:ascii="Arial" w:eastAsia="Arial" w:hAnsi="Arial" w:cs="Arial"/>
                <w:sz w:val="18"/>
                <w:szCs w:val="18"/>
              </w:rPr>
            </w:pPr>
            <w:r w:rsidRPr="00306F4D">
              <w:rPr>
                <w:rFonts w:ascii="Arial" w:eastAsia="Arial" w:hAnsi="Arial" w:cs="Arial"/>
                <w:sz w:val="18"/>
                <w:szCs w:val="18"/>
              </w:rPr>
              <w:t>Increased fire risk</w:t>
            </w:r>
          </w:p>
          <w:p w14:paraId="50672593" w14:textId="77777777" w:rsidR="00F00DC5" w:rsidRPr="00306F4D" w:rsidRDefault="1D489BBD" w:rsidP="49C6F20D">
            <w:pPr>
              <w:numPr>
                <w:ilvl w:val="0"/>
                <w:numId w:val="65"/>
              </w:numPr>
              <w:tabs>
                <w:tab w:val="num" w:pos="169"/>
              </w:tabs>
              <w:spacing w:before="240" w:after="0" w:line="240" w:lineRule="auto"/>
              <w:ind w:left="526"/>
              <w:contextualSpacing/>
              <w:rPr>
                <w:rFonts w:ascii="Arial" w:eastAsia="Arial" w:hAnsi="Arial" w:cs="Arial"/>
                <w:sz w:val="18"/>
                <w:szCs w:val="18"/>
              </w:rPr>
            </w:pPr>
            <w:r w:rsidRPr="00306F4D">
              <w:rPr>
                <w:rFonts w:ascii="Arial" w:eastAsia="Arial" w:hAnsi="Arial" w:cs="Arial"/>
                <w:sz w:val="18"/>
                <w:szCs w:val="18"/>
              </w:rPr>
              <w:t>Reduced agricultural productivity</w:t>
            </w:r>
          </w:p>
        </w:tc>
      </w:tr>
      <w:tr w:rsidR="001C71A9" w:rsidRPr="00306F4D" w14:paraId="04DD2B6B" w14:textId="77777777" w:rsidTr="0025418E">
        <w:tc>
          <w:tcPr>
            <w:tcW w:w="1635" w:type="dxa"/>
            <w:tcBorders>
              <w:top w:val="single" w:sz="6" w:space="0" w:color="auto"/>
              <w:left w:val="double" w:sz="4" w:space="0" w:color="auto"/>
              <w:bottom w:val="single" w:sz="6" w:space="0" w:color="auto"/>
              <w:right w:val="single" w:sz="6" w:space="0" w:color="auto"/>
            </w:tcBorders>
            <w:hideMark/>
          </w:tcPr>
          <w:p w14:paraId="062D096F" w14:textId="77777777" w:rsidR="00F00DC5" w:rsidRPr="00306F4D" w:rsidRDefault="1D489BBD" w:rsidP="49C6F20D">
            <w:pPr>
              <w:spacing w:before="240" w:after="240" w:line="240" w:lineRule="auto"/>
              <w:contextualSpacing/>
              <w:rPr>
                <w:rFonts w:ascii="Arial" w:eastAsia="Arial" w:hAnsi="Arial" w:cs="Arial"/>
                <w:b/>
                <w:sz w:val="18"/>
                <w:szCs w:val="18"/>
              </w:rPr>
            </w:pPr>
            <w:r w:rsidRPr="00306F4D">
              <w:rPr>
                <w:rFonts w:ascii="Arial" w:eastAsia="Arial" w:hAnsi="Arial" w:cs="Arial"/>
                <w:b/>
                <w:sz w:val="18"/>
                <w:szCs w:val="18"/>
              </w:rPr>
              <w:t>Heatwaves and Intense Heat</w:t>
            </w:r>
          </w:p>
        </w:tc>
        <w:tc>
          <w:tcPr>
            <w:tcW w:w="5013" w:type="dxa"/>
            <w:tcBorders>
              <w:top w:val="single" w:sz="6" w:space="0" w:color="auto"/>
              <w:left w:val="single" w:sz="6" w:space="0" w:color="auto"/>
              <w:bottom w:val="single" w:sz="6" w:space="0" w:color="auto"/>
              <w:right w:val="single" w:sz="6" w:space="0" w:color="auto"/>
            </w:tcBorders>
            <w:hideMark/>
          </w:tcPr>
          <w:p w14:paraId="08CF8E4A" w14:textId="20886973" w:rsidR="00F00DC5" w:rsidRPr="00306F4D" w:rsidRDefault="1D489BBD" w:rsidP="49C6F20D">
            <w:pPr>
              <w:numPr>
                <w:ilvl w:val="0"/>
                <w:numId w:val="65"/>
              </w:numPr>
              <w:tabs>
                <w:tab w:val="num" w:pos="169"/>
              </w:tabs>
              <w:spacing w:before="240" w:after="240" w:line="240" w:lineRule="auto"/>
              <w:ind w:left="481"/>
              <w:contextualSpacing/>
              <w:rPr>
                <w:rFonts w:ascii="Arial" w:eastAsia="Arial" w:hAnsi="Arial" w:cs="Arial"/>
                <w:sz w:val="18"/>
                <w:szCs w:val="18"/>
              </w:rPr>
            </w:pPr>
            <w:r w:rsidRPr="00306F4D">
              <w:rPr>
                <w:rFonts w:ascii="Arial" w:eastAsia="Arial" w:hAnsi="Arial" w:cs="Arial"/>
                <w:b/>
                <w:sz w:val="18"/>
                <w:szCs w:val="18"/>
              </w:rPr>
              <w:t>Human Health:</w:t>
            </w:r>
            <w:r w:rsidRPr="00306F4D">
              <w:rPr>
                <w:rFonts w:ascii="Arial" w:eastAsia="Arial" w:hAnsi="Arial" w:cs="Arial"/>
                <w:sz w:val="18"/>
                <w:szCs w:val="18"/>
              </w:rPr>
              <w:t xml:space="preserve"> exposure of rural and urban populations, especially those who must work outside (farming, construction) </w:t>
            </w:r>
            <w:proofErr w:type="gramStart"/>
            <w:r w:rsidRPr="00306F4D">
              <w:rPr>
                <w:rFonts w:ascii="Arial" w:eastAsia="Arial" w:hAnsi="Arial" w:cs="Arial"/>
                <w:sz w:val="18"/>
                <w:szCs w:val="18"/>
              </w:rPr>
              <w:t>and  the</w:t>
            </w:r>
            <w:proofErr w:type="gramEnd"/>
            <w:r w:rsidRPr="00306F4D">
              <w:rPr>
                <w:rFonts w:ascii="Arial" w:eastAsia="Arial" w:hAnsi="Arial" w:cs="Arial"/>
                <w:sz w:val="18"/>
                <w:szCs w:val="18"/>
              </w:rPr>
              <w:t xml:space="preserve"> elderly to heat, respiratory, kidney and </w:t>
            </w:r>
            <w:r w:rsidR="12D0D3A0" w:rsidRPr="00306F4D">
              <w:rPr>
                <w:rFonts w:ascii="Arial" w:eastAsia="Arial" w:hAnsi="Arial" w:cs="Arial"/>
                <w:sz w:val="18"/>
                <w:szCs w:val="18"/>
              </w:rPr>
              <w:t>cardiovascular</w:t>
            </w:r>
            <w:r w:rsidRPr="00306F4D">
              <w:rPr>
                <w:rFonts w:ascii="Arial" w:eastAsia="Arial" w:hAnsi="Arial" w:cs="Arial"/>
                <w:sz w:val="18"/>
                <w:szCs w:val="18"/>
              </w:rPr>
              <w:t xml:space="preserve"> problems</w:t>
            </w:r>
          </w:p>
          <w:p w14:paraId="1D9271BF" w14:textId="77777777" w:rsidR="00F00DC5" w:rsidRPr="00306F4D" w:rsidRDefault="1D489BBD" w:rsidP="49C6F20D">
            <w:pPr>
              <w:numPr>
                <w:ilvl w:val="0"/>
                <w:numId w:val="65"/>
              </w:numPr>
              <w:tabs>
                <w:tab w:val="num" w:pos="169"/>
              </w:tabs>
              <w:spacing w:before="240" w:after="240" w:line="240" w:lineRule="auto"/>
              <w:ind w:left="481"/>
              <w:contextualSpacing/>
              <w:rPr>
                <w:rFonts w:ascii="Arial" w:eastAsia="Arial" w:hAnsi="Arial" w:cs="Arial"/>
                <w:sz w:val="18"/>
                <w:szCs w:val="18"/>
              </w:rPr>
            </w:pPr>
            <w:r w:rsidRPr="00306F4D">
              <w:rPr>
                <w:rFonts w:ascii="Arial" w:eastAsia="Arial" w:hAnsi="Arial" w:cs="Arial"/>
                <w:b/>
                <w:sz w:val="18"/>
                <w:szCs w:val="18"/>
              </w:rPr>
              <w:t>Animal Health:</w:t>
            </w:r>
            <w:r w:rsidRPr="00306F4D">
              <w:rPr>
                <w:rFonts w:ascii="Arial" w:eastAsia="Arial" w:hAnsi="Arial" w:cs="Arial"/>
                <w:sz w:val="18"/>
                <w:szCs w:val="18"/>
              </w:rPr>
              <w:t xml:space="preserve"> exposure of animals and livestock to heat-related problems</w:t>
            </w:r>
          </w:p>
        </w:tc>
        <w:tc>
          <w:tcPr>
            <w:tcW w:w="3543" w:type="dxa"/>
            <w:tcBorders>
              <w:top w:val="single" w:sz="6" w:space="0" w:color="auto"/>
              <w:left w:val="single" w:sz="6" w:space="0" w:color="auto"/>
              <w:bottom w:val="single" w:sz="6" w:space="0" w:color="auto"/>
              <w:right w:val="double" w:sz="4" w:space="0" w:color="auto"/>
            </w:tcBorders>
            <w:hideMark/>
          </w:tcPr>
          <w:p w14:paraId="16225D18" w14:textId="77777777" w:rsidR="00F00DC5" w:rsidRPr="00306F4D" w:rsidRDefault="1D489BBD" w:rsidP="49C6F20D">
            <w:pPr>
              <w:numPr>
                <w:ilvl w:val="0"/>
                <w:numId w:val="65"/>
              </w:numPr>
              <w:tabs>
                <w:tab w:val="num" w:pos="169"/>
              </w:tabs>
              <w:spacing w:before="240" w:after="240" w:line="240" w:lineRule="auto"/>
              <w:ind w:left="526"/>
              <w:contextualSpacing/>
              <w:rPr>
                <w:rFonts w:ascii="Arial" w:eastAsia="Arial" w:hAnsi="Arial" w:cs="Arial"/>
                <w:sz w:val="18"/>
                <w:szCs w:val="18"/>
              </w:rPr>
            </w:pPr>
            <w:r w:rsidRPr="00306F4D">
              <w:rPr>
                <w:rFonts w:ascii="Arial" w:eastAsia="Arial" w:hAnsi="Arial" w:cs="Arial"/>
                <w:sz w:val="18"/>
                <w:szCs w:val="18"/>
              </w:rPr>
              <w:t>Economic, livelihood, and asset losses</w:t>
            </w:r>
          </w:p>
          <w:p w14:paraId="3F5A17BE" w14:textId="77777777" w:rsidR="00F00DC5" w:rsidRPr="00306F4D" w:rsidRDefault="1D489BBD" w:rsidP="49C6F20D">
            <w:pPr>
              <w:numPr>
                <w:ilvl w:val="0"/>
                <w:numId w:val="65"/>
              </w:numPr>
              <w:tabs>
                <w:tab w:val="num" w:pos="169"/>
              </w:tabs>
              <w:spacing w:before="240" w:after="240" w:line="240" w:lineRule="auto"/>
              <w:ind w:left="526"/>
              <w:contextualSpacing/>
              <w:rPr>
                <w:rFonts w:ascii="Arial" w:eastAsia="Arial" w:hAnsi="Arial" w:cs="Arial"/>
                <w:sz w:val="18"/>
                <w:szCs w:val="18"/>
              </w:rPr>
            </w:pPr>
            <w:r w:rsidRPr="00306F4D">
              <w:rPr>
                <w:rFonts w:ascii="Arial" w:eastAsia="Arial" w:hAnsi="Arial" w:cs="Arial"/>
                <w:sz w:val="18"/>
                <w:szCs w:val="18"/>
              </w:rPr>
              <w:t>Human and animal loss of life, displacement, disease</w:t>
            </w:r>
          </w:p>
          <w:p w14:paraId="7E4DAC6F" w14:textId="24C91E72" w:rsidR="00F00DC5" w:rsidRPr="00306F4D" w:rsidRDefault="1D489BBD" w:rsidP="49C6F20D">
            <w:pPr>
              <w:numPr>
                <w:ilvl w:val="0"/>
                <w:numId w:val="65"/>
              </w:numPr>
              <w:tabs>
                <w:tab w:val="num" w:pos="169"/>
              </w:tabs>
              <w:spacing w:before="240" w:after="240" w:line="240" w:lineRule="auto"/>
              <w:ind w:left="526"/>
              <w:contextualSpacing/>
              <w:rPr>
                <w:rFonts w:ascii="Arial" w:eastAsia="Arial" w:hAnsi="Arial" w:cs="Arial"/>
                <w:sz w:val="18"/>
                <w:szCs w:val="18"/>
              </w:rPr>
            </w:pPr>
            <w:r w:rsidRPr="00306F4D">
              <w:rPr>
                <w:rFonts w:ascii="Arial" w:eastAsia="Arial" w:hAnsi="Arial" w:cs="Arial"/>
                <w:sz w:val="18"/>
                <w:szCs w:val="18"/>
              </w:rPr>
              <w:t>Increased heat-related illness or death, including asthma attacks, car</w:t>
            </w:r>
            <w:r w:rsidR="12D0D3A0" w:rsidRPr="00306F4D">
              <w:rPr>
                <w:rFonts w:ascii="Arial" w:eastAsia="Arial" w:hAnsi="Arial" w:cs="Arial"/>
                <w:sz w:val="18"/>
                <w:szCs w:val="18"/>
              </w:rPr>
              <w:t>d</w:t>
            </w:r>
            <w:r w:rsidRPr="00306F4D">
              <w:rPr>
                <w:rFonts w:ascii="Arial" w:eastAsia="Arial" w:hAnsi="Arial" w:cs="Arial"/>
                <w:sz w:val="18"/>
                <w:szCs w:val="18"/>
              </w:rPr>
              <w:t xml:space="preserve">iovascular disease, and lung </w:t>
            </w:r>
            <w:r w:rsidR="12D0D3A0" w:rsidRPr="00306F4D">
              <w:rPr>
                <w:rFonts w:ascii="Arial" w:eastAsia="Arial" w:hAnsi="Arial" w:cs="Arial"/>
                <w:sz w:val="18"/>
                <w:szCs w:val="18"/>
              </w:rPr>
              <w:t>inflammation</w:t>
            </w:r>
          </w:p>
        </w:tc>
      </w:tr>
      <w:tr w:rsidR="00FC2E4E" w:rsidRPr="00306F4D" w14:paraId="38B310E7" w14:textId="77777777" w:rsidTr="0025418E">
        <w:tc>
          <w:tcPr>
            <w:tcW w:w="1635" w:type="dxa"/>
            <w:tcBorders>
              <w:top w:val="single" w:sz="6" w:space="0" w:color="auto"/>
              <w:left w:val="double" w:sz="4" w:space="0" w:color="auto"/>
              <w:bottom w:val="single" w:sz="6" w:space="0" w:color="auto"/>
              <w:right w:val="single" w:sz="6" w:space="0" w:color="auto"/>
            </w:tcBorders>
            <w:hideMark/>
          </w:tcPr>
          <w:p w14:paraId="33D75C8C" w14:textId="1860F0AB" w:rsidR="00F00DC5" w:rsidRPr="00306F4D" w:rsidRDefault="1D489BBD" w:rsidP="49C6F20D">
            <w:pPr>
              <w:spacing w:before="240" w:after="240" w:line="240" w:lineRule="auto"/>
              <w:contextualSpacing/>
              <w:rPr>
                <w:rFonts w:ascii="Arial" w:eastAsia="Arial" w:hAnsi="Arial" w:cs="Arial"/>
                <w:b/>
                <w:sz w:val="18"/>
                <w:szCs w:val="18"/>
              </w:rPr>
            </w:pPr>
            <w:r w:rsidRPr="00306F4D">
              <w:rPr>
                <w:rFonts w:ascii="Arial" w:eastAsia="Arial" w:hAnsi="Arial" w:cs="Arial"/>
                <w:b/>
                <w:sz w:val="18"/>
                <w:szCs w:val="18"/>
              </w:rPr>
              <w:lastRenderedPageBreak/>
              <w:t>Increase in Disease</w:t>
            </w:r>
            <w:r w:rsidR="63CA909F" w:rsidRPr="00306F4D">
              <w:rPr>
                <w:rFonts w:ascii="Arial" w:eastAsia="Arial" w:hAnsi="Arial" w:cs="Arial"/>
                <w:b/>
                <w:sz w:val="18"/>
                <w:szCs w:val="18"/>
              </w:rPr>
              <w:t>s</w:t>
            </w:r>
          </w:p>
        </w:tc>
        <w:tc>
          <w:tcPr>
            <w:tcW w:w="5013" w:type="dxa"/>
            <w:tcBorders>
              <w:top w:val="single" w:sz="6" w:space="0" w:color="auto"/>
              <w:left w:val="single" w:sz="6" w:space="0" w:color="auto"/>
              <w:bottom w:val="single" w:sz="6" w:space="0" w:color="auto"/>
              <w:right w:val="single" w:sz="6" w:space="0" w:color="auto"/>
            </w:tcBorders>
            <w:hideMark/>
          </w:tcPr>
          <w:p w14:paraId="680634EF" w14:textId="77777777" w:rsidR="00F00DC5" w:rsidRPr="00306F4D" w:rsidRDefault="1D489BBD" w:rsidP="49C6F20D">
            <w:pPr>
              <w:numPr>
                <w:ilvl w:val="0"/>
                <w:numId w:val="65"/>
              </w:numPr>
              <w:tabs>
                <w:tab w:val="num" w:pos="169"/>
              </w:tabs>
              <w:spacing w:before="240" w:after="240" w:line="240" w:lineRule="auto"/>
              <w:ind w:left="481"/>
              <w:contextualSpacing/>
              <w:rPr>
                <w:rFonts w:ascii="Arial" w:eastAsia="Arial" w:hAnsi="Arial" w:cs="Arial"/>
                <w:sz w:val="18"/>
                <w:szCs w:val="18"/>
              </w:rPr>
            </w:pPr>
            <w:r w:rsidRPr="00306F4D">
              <w:rPr>
                <w:rFonts w:ascii="Arial" w:eastAsia="Arial" w:hAnsi="Arial" w:cs="Arial"/>
                <w:b/>
                <w:sz w:val="18"/>
                <w:szCs w:val="18"/>
              </w:rPr>
              <w:t>New Vectors:</w:t>
            </w:r>
            <w:r w:rsidRPr="00306F4D">
              <w:rPr>
                <w:rFonts w:ascii="Arial" w:eastAsia="Arial" w:hAnsi="Arial" w:cs="Arial"/>
                <w:sz w:val="18"/>
                <w:szCs w:val="18"/>
              </w:rPr>
              <w:t xml:space="preserve"> exposure to appearance of new disease vectors, such as tick-born encephalitis and dengue fever in warming temperatures</w:t>
            </w:r>
          </w:p>
          <w:p w14:paraId="51299901" w14:textId="77777777" w:rsidR="00F00DC5" w:rsidRPr="00306F4D" w:rsidRDefault="1D489BBD" w:rsidP="49C6F20D">
            <w:pPr>
              <w:numPr>
                <w:ilvl w:val="0"/>
                <w:numId w:val="65"/>
              </w:numPr>
              <w:tabs>
                <w:tab w:val="num" w:pos="169"/>
              </w:tabs>
              <w:spacing w:before="240" w:after="240" w:line="240" w:lineRule="auto"/>
              <w:ind w:left="481"/>
              <w:contextualSpacing/>
              <w:rPr>
                <w:rFonts w:ascii="Arial" w:eastAsia="Arial" w:hAnsi="Arial" w:cs="Arial"/>
                <w:sz w:val="18"/>
                <w:szCs w:val="18"/>
              </w:rPr>
            </w:pPr>
            <w:r w:rsidRPr="00306F4D">
              <w:rPr>
                <w:rFonts w:ascii="Arial" w:eastAsia="Arial" w:hAnsi="Arial" w:cs="Arial"/>
                <w:b/>
                <w:sz w:val="18"/>
                <w:szCs w:val="18"/>
              </w:rPr>
              <w:t>Health Systems:</w:t>
            </w:r>
            <w:r w:rsidRPr="00306F4D">
              <w:rPr>
                <w:rFonts w:ascii="Arial" w:eastAsia="Arial" w:hAnsi="Arial" w:cs="Arial"/>
                <w:sz w:val="18"/>
                <w:szCs w:val="18"/>
              </w:rPr>
              <w:t xml:space="preserve"> limited capacities and resources of rural, remote and mountainous healthcare systems and facilities</w:t>
            </w:r>
          </w:p>
        </w:tc>
        <w:tc>
          <w:tcPr>
            <w:tcW w:w="3543" w:type="dxa"/>
            <w:tcBorders>
              <w:top w:val="single" w:sz="6" w:space="0" w:color="auto"/>
              <w:left w:val="single" w:sz="6" w:space="0" w:color="auto"/>
              <w:bottom w:val="single" w:sz="6" w:space="0" w:color="auto"/>
              <w:right w:val="double" w:sz="4" w:space="0" w:color="auto"/>
            </w:tcBorders>
            <w:hideMark/>
          </w:tcPr>
          <w:p w14:paraId="43DF8F95" w14:textId="77777777" w:rsidR="00F00DC5" w:rsidRPr="00306F4D" w:rsidRDefault="1D489BBD" w:rsidP="49C6F20D">
            <w:pPr>
              <w:numPr>
                <w:ilvl w:val="0"/>
                <w:numId w:val="65"/>
              </w:numPr>
              <w:tabs>
                <w:tab w:val="num" w:pos="169"/>
              </w:tabs>
              <w:spacing w:before="240" w:after="240" w:line="240" w:lineRule="auto"/>
              <w:ind w:left="526"/>
              <w:contextualSpacing/>
              <w:rPr>
                <w:rFonts w:ascii="Arial" w:eastAsia="Arial" w:hAnsi="Arial" w:cs="Arial"/>
                <w:sz w:val="18"/>
                <w:szCs w:val="18"/>
              </w:rPr>
            </w:pPr>
            <w:r w:rsidRPr="00306F4D">
              <w:rPr>
                <w:rFonts w:ascii="Arial" w:eastAsia="Arial" w:hAnsi="Arial" w:cs="Arial"/>
                <w:sz w:val="18"/>
                <w:szCs w:val="18"/>
              </w:rPr>
              <w:t>Economic, livelihood, and asset losses</w:t>
            </w:r>
          </w:p>
          <w:p w14:paraId="72942742" w14:textId="77777777" w:rsidR="00F00DC5" w:rsidRPr="00306F4D" w:rsidRDefault="1D489BBD" w:rsidP="49C6F20D">
            <w:pPr>
              <w:numPr>
                <w:ilvl w:val="0"/>
                <w:numId w:val="65"/>
              </w:numPr>
              <w:tabs>
                <w:tab w:val="num" w:pos="169"/>
              </w:tabs>
              <w:spacing w:before="240" w:after="240" w:line="240" w:lineRule="auto"/>
              <w:ind w:left="526"/>
              <w:contextualSpacing/>
              <w:rPr>
                <w:rFonts w:ascii="Arial" w:eastAsia="Arial" w:hAnsi="Arial" w:cs="Arial"/>
                <w:sz w:val="18"/>
                <w:szCs w:val="18"/>
              </w:rPr>
            </w:pPr>
            <w:r w:rsidRPr="00306F4D">
              <w:rPr>
                <w:rFonts w:ascii="Arial" w:eastAsia="Arial" w:hAnsi="Arial" w:cs="Arial"/>
                <w:sz w:val="18"/>
                <w:szCs w:val="18"/>
              </w:rPr>
              <w:t>Human and animal loss of life, displacement, disease</w:t>
            </w:r>
          </w:p>
        </w:tc>
      </w:tr>
      <w:tr w:rsidR="00F00DC5" w:rsidRPr="00306F4D" w14:paraId="2E4BB138" w14:textId="77777777" w:rsidTr="0025418E">
        <w:tc>
          <w:tcPr>
            <w:tcW w:w="10191" w:type="dxa"/>
            <w:gridSpan w:val="3"/>
            <w:tcBorders>
              <w:top w:val="single" w:sz="6" w:space="0" w:color="auto"/>
              <w:left w:val="double" w:sz="4" w:space="0" w:color="auto"/>
              <w:bottom w:val="single" w:sz="6" w:space="0" w:color="auto"/>
              <w:right w:val="double" w:sz="4" w:space="0" w:color="auto"/>
            </w:tcBorders>
            <w:shd w:val="clear" w:color="auto" w:fill="D9E2F3" w:themeFill="accent1" w:themeFillTint="33"/>
            <w:hideMark/>
          </w:tcPr>
          <w:p w14:paraId="489C468F" w14:textId="77777777" w:rsidR="00F00DC5" w:rsidRPr="00306F4D" w:rsidRDefault="0493650A" w:rsidP="338C5E83">
            <w:pPr>
              <w:spacing w:before="240" w:after="240" w:line="240" w:lineRule="auto"/>
              <w:contextualSpacing/>
              <w:rPr>
                <w:rFonts w:ascii="Arial" w:eastAsia="Arial" w:hAnsi="Arial" w:cs="Arial"/>
                <w:b/>
                <w:bCs/>
                <w:sz w:val="18"/>
                <w:szCs w:val="18"/>
              </w:rPr>
            </w:pPr>
            <w:r w:rsidRPr="00306F4D">
              <w:rPr>
                <w:rFonts w:ascii="Arial" w:eastAsia="Arial" w:hAnsi="Arial" w:cs="Arial"/>
                <w:b/>
                <w:bCs/>
                <w:sz w:val="18"/>
                <w:szCs w:val="18"/>
              </w:rPr>
              <w:t>Precipitation</w:t>
            </w:r>
          </w:p>
        </w:tc>
      </w:tr>
      <w:tr w:rsidR="00F00DC5" w:rsidRPr="00306F4D" w14:paraId="4AEC1F8D" w14:textId="77777777" w:rsidTr="0025418E">
        <w:tc>
          <w:tcPr>
            <w:tcW w:w="1635" w:type="dxa"/>
            <w:tcBorders>
              <w:top w:val="single" w:sz="6" w:space="0" w:color="auto"/>
              <w:left w:val="double" w:sz="4" w:space="0" w:color="auto"/>
              <w:bottom w:val="single" w:sz="6" w:space="0" w:color="auto"/>
              <w:right w:val="single" w:sz="6" w:space="0" w:color="auto"/>
            </w:tcBorders>
            <w:hideMark/>
          </w:tcPr>
          <w:p w14:paraId="28DA7FF2" w14:textId="77777777" w:rsidR="00F00DC5" w:rsidRPr="00306F4D" w:rsidRDefault="1D489BBD" w:rsidP="49C6F20D">
            <w:pPr>
              <w:spacing w:before="240" w:after="240" w:line="240" w:lineRule="auto"/>
              <w:contextualSpacing/>
              <w:rPr>
                <w:rFonts w:ascii="Arial" w:eastAsia="Arial" w:hAnsi="Arial" w:cs="Arial"/>
                <w:b/>
                <w:sz w:val="18"/>
                <w:szCs w:val="18"/>
              </w:rPr>
            </w:pPr>
            <w:r w:rsidRPr="00306F4D">
              <w:rPr>
                <w:rFonts w:ascii="Arial" w:eastAsia="Arial" w:hAnsi="Arial" w:cs="Arial"/>
                <w:b/>
                <w:sz w:val="18"/>
                <w:szCs w:val="18"/>
              </w:rPr>
              <w:t>Increased Heavy Rains</w:t>
            </w:r>
          </w:p>
        </w:tc>
        <w:tc>
          <w:tcPr>
            <w:tcW w:w="5013" w:type="dxa"/>
            <w:tcBorders>
              <w:top w:val="single" w:sz="6" w:space="0" w:color="auto"/>
              <w:left w:val="single" w:sz="6" w:space="0" w:color="auto"/>
              <w:bottom w:val="single" w:sz="6" w:space="0" w:color="auto"/>
              <w:right w:val="single" w:sz="6" w:space="0" w:color="auto"/>
            </w:tcBorders>
            <w:hideMark/>
          </w:tcPr>
          <w:p w14:paraId="616B2F25" w14:textId="5449FEAB" w:rsidR="00F00DC5" w:rsidRPr="00306F4D" w:rsidRDefault="1D489BBD" w:rsidP="49C6F20D">
            <w:pPr>
              <w:numPr>
                <w:ilvl w:val="0"/>
                <w:numId w:val="65"/>
              </w:numPr>
              <w:tabs>
                <w:tab w:val="num" w:pos="169"/>
              </w:tabs>
              <w:spacing w:before="240" w:after="240" w:line="240" w:lineRule="auto"/>
              <w:ind w:left="481"/>
              <w:contextualSpacing/>
              <w:rPr>
                <w:rFonts w:ascii="Arial" w:eastAsia="Arial" w:hAnsi="Arial" w:cs="Arial"/>
                <w:sz w:val="18"/>
                <w:szCs w:val="18"/>
              </w:rPr>
            </w:pPr>
            <w:r w:rsidRPr="00306F4D">
              <w:rPr>
                <w:rFonts w:ascii="Arial" w:eastAsia="Arial" w:hAnsi="Arial" w:cs="Arial"/>
                <w:b/>
                <w:sz w:val="18"/>
                <w:szCs w:val="18"/>
              </w:rPr>
              <w:t>Agriculture:</w:t>
            </w:r>
            <w:r w:rsidRPr="00306F4D">
              <w:rPr>
                <w:rFonts w:ascii="Arial" w:eastAsia="Arial" w:hAnsi="Arial" w:cs="Arial"/>
                <w:sz w:val="18"/>
                <w:szCs w:val="18"/>
              </w:rPr>
              <w:t xml:space="preserve"> high exposure of crops, crop yields and agriculture productivity to floods, rain patterns, and change in seasonality</w:t>
            </w:r>
          </w:p>
          <w:p w14:paraId="67FC7C2D" w14:textId="77777777" w:rsidR="00F00DC5" w:rsidRPr="00306F4D" w:rsidRDefault="1D489BBD" w:rsidP="49C6F20D">
            <w:pPr>
              <w:numPr>
                <w:ilvl w:val="0"/>
                <w:numId w:val="65"/>
              </w:numPr>
              <w:tabs>
                <w:tab w:val="num" w:pos="169"/>
              </w:tabs>
              <w:spacing w:before="240" w:after="240" w:line="240" w:lineRule="auto"/>
              <w:ind w:left="481"/>
              <w:contextualSpacing/>
              <w:rPr>
                <w:rFonts w:ascii="Arial" w:eastAsia="Arial" w:hAnsi="Arial" w:cs="Arial"/>
                <w:sz w:val="18"/>
                <w:szCs w:val="18"/>
              </w:rPr>
            </w:pPr>
            <w:r w:rsidRPr="00306F4D">
              <w:rPr>
                <w:rFonts w:ascii="Arial" w:eastAsia="Arial" w:hAnsi="Arial" w:cs="Arial"/>
                <w:b/>
                <w:sz w:val="18"/>
                <w:szCs w:val="18"/>
              </w:rPr>
              <w:t>Soil:</w:t>
            </w:r>
            <w:r w:rsidRPr="00306F4D">
              <w:rPr>
                <w:rFonts w:ascii="Arial" w:eastAsia="Arial" w:hAnsi="Arial" w:cs="Arial"/>
                <w:sz w:val="18"/>
                <w:szCs w:val="18"/>
              </w:rPr>
              <w:t xml:space="preserve"> exposure of mountain and rural soil and top cover to heavy rains and flooding</w:t>
            </w:r>
          </w:p>
        </w:tc>
        <w:tc>
          <w:tcPr>
            <w:tcW w:w="3543" w:type="dxa"/>
            <w:tcBorders>
              <w:top w:val="single" w:sz="6" w:space="0" w:color="auto"/>
              <w:left w:val="single" w:sz="6" w:space="0" w:color="auto"/>
              <w:bottom w:val="single" w:sz="6" w:space="0" w:color="auto"/>
              <w:right w:val="double" w:sz="4" w:space="0" w:color="auto"/>
            </w:tcBorders>
            <w:hideMark/>
          </w:tcPr>
          <w:p w14:paraId="5C34AD1A" w14:textId="77777777" w:rsidR="00F00DC5" w:rsidRPr="00306F4D" w:rsidRDefault="1D489BBD" w:rsidP="49C6F20D">
            <w:pPr>
              <w:numPr>
                <w:ilvl w:val="0"/>
                <w:numId w:val="65"/>
              </w:numPr>
              <w:tabs>
                <w:tab w:val="num" w:pos="169"/>
              </w:tabs>
              <w:spacing w:before="240" w:after="240" w:line="240" w:lineRule="auto"/>
              <w:ind w:left="526"/>
              <w:contextualSpacing/>
              <w:rPr>
                <w:rFonts w:ascii="Arial" w:eastAsia="Arial" w:hAnsi="Arial" w:cs="Arial"/>
                <w:sz w:val="18"/>
                <w:szCs w:val="18"/>
              </w:rPr>
            </w:pPr>
            <w:r w:rsidRPr="00306F4D">
              <w:rPr>
                <w:rFonts w:ascii="Arial" w:eastAsia="Arial" w:hAnsi="Arial" w:cs="Arial"/>
                <w:sz w:val="18"/>
                <w:szCs w:val="18"/>
              </w:rPr>
              <w:t>Economic and livelihood losses in agriculture sector and farming communities</w:t>
            </w:r>
          </w:p>
          <w:p w14:paraId="6BE1A7B8" w14:textId="77777777" w:rsidR="00F00DC5" w:rsidRPr="00306F4D" w:rsidRDefault="1D489BBD" w:rsidP="49C6F20D">
            <w:pPr>
              <w:numPr>
                <w:ilvl w:val="0"/>
                <w:numId w:val="65"/>
              </w:numPr>
              <w:tabs>
                <w:tab w:val="num" w:pos="169"/>
              </w:tabs>
              <w:spacing w:before="240" w:after="240" w:line="240" w:lineRule="auto"/>
              <w:ind w:left="526"/>
              <w:contextualSpacing/>
              <w:rPr>
                <w:rFonts w:ascii="Arial" w:eastAsia="Arial" w:hAnsi="Arial" w:cs="Arial"/>
                <w:sz w:val="18"/>
                <w:szCs w:val="18"/>
              </w:rPr>
            </w:pPr>
            <w:r w:rsidRPr="00306F4D">
              <w:rPr>
                <w:rFonts w:ascii="Arial" w:eastAsia="Arial" w:hAnsi="Arial" w:cs="Arial"/>
                <w:sz w:val="18"/>
                <w:szCs w:val="18"/>
              </w:rPr>
              <w:t>Loss of valuable species, habitats and ecosystem services</w:t>
            </w:r>
          </w:p>
        </w:tc>
      </w:tr>
      <w:tr w:rsidR="00F00DC5" w:rsidRPr="00306F4D" w14:paraId="028B0CB1" w14:textId="77777777" w:rsidTr="0025418E">
        <w:tc>
          <w:tcPr>
            <w:tcW w:w="1635" w:type="dxa"/>
            <w:tcBorders>
              <w:top w:val="single" w:sz="6" w:space="0" w:color="auto"/>
              <w:left w:val="double" w:sz="4" w:space="0" w:color="auto"/>
              <w:bottom w:val="single" w:sz="6" w:space="0" w:color="auto"/>
              <w:right w:val="single" w:sz="6" w:space="0" w:color="auto"/>
            </w:tcBorders>
            <w:hideMark/>
          </w:tcPr>
          <w:p w14:paraId="5F8338AA" w14:textId="77777777" w:rsidR="00F00DC5" w:rsidRPr="00306F4D" w:rsidRDefault="1D489BBD" w:rsidP="49C6F20D">
            <w:pPr>
              <w:spacing w:before="240" w:after="240" w:line="240" w:lineRule="auto"/>
              <w:contextualSpacing/>
              <w:rPr>
                <w:rFonts w:ascii="Arial" w:eastAsia="Arial" w:hAnsi="Arial" w:cs="Arial"/>
                <w:b/>
                <w:sz w:val="18"/>
                <w:szCs w:val="18"/>
              </w:rPr>
            </w:pPr>
            <w:r w:rsidRPr="00306F4D">
              <w:rPr>
                <w:rFonts w:ascii="Arial" w:eastAsia="Arial" w:hAnsi="Arial" w:cs="Arial"/>
                <w:b/>
                <w:sz w:val="18"/>
                <w:szCs w:val="18"/>
              </w:rPr>
              <w:t>Increased Storms, Storm Intensity</w:t>
            </w:r>
          </w:p>
        </w:tc>
        <w:tc>
          <w:tcPr>
            <w:tcW w:w="5013" w:type="dxa"/>
            <w:tcBorders>
              <w:top w:val="single" w:sz="6" w:space="0" w:color="auto"/>
              <w:left w:val="single" w:sz="6" w:space="0" w:color="auto"/>
              <w:bottom w:val="single" w:sz="6" w:space="0" w:color="auto"/>
              <w:right w:val="single" w:sz="6" w:space="0" w:color="auto"/>
            </w:tcBorders>
            <w:hideMark/>
          </w:tcPr>
          <w:p w14:paraId="4821C6CC" w14:textId="06C72503" w:rsidR="00F00DC5" w:rsidRPr="00306F4D" w:rsidRDefault="1D489BBD" w:rsidP="49C6F20D">
            <w:pPr>
              <w:numPr>
                <w:ilvl w:val="0"/>
                <w:numId w:val="65"/>
              </w:numPr>
              <w:tabs>
                <w:tab w:val="num" w:pos="169"/>
              </w:tabs>
              <w:spacing w:before="240" w:after="240" w:line="240" w:lineRule="auto"/>
              <w:contextualSpacing/>
              <w:rPr>
                <w:rFonts w:ascii="Arial" w:eastAsia="Arial" w:hAnsi="Arial" w:cs="Arial"/>
                <w:sz w:val="18"/>
                <w:szCs w:val="18"/>
              </w:rPr>
            </w:pPr>
            <w:r w:rsidRPr="00306F4D">
              <w:rPr>
                <w:rFonts w:ascii="Arial" w:eastAsia="Arial" w:hAnsi="Arial" w:cs="Arial"/>
                <w:b/>
                <w:sz w:val="18"/>
                <w:szCs w:val="18"/>
              </w:rPr>
              <w:t>Agriculture:</w:t>
            </w:r>
            <w:r w:rsidRPr="00306F4D">
              <w:rPr>
                <w:rFonts w:ascii="Arial" w:eastAsia="Arial" w:hAnsi="Arial" w:cs="Arial"/>
                <w:sz w:val="18"/>
                <w:szCs w:val="18"/>
              </w:rPr>
              <w:t xml:space="preserve"> high exposure of crops, crop yields and agriculture productivity to floods, rain patterns, and change in seasonality</w:t>
            </w:r>
          </w:p>
          <w:p w14:paraId="52D44F4F" w14:textId="77777777" w:rsidR="00F00DC5" w:rsidRPr="00306F4D" w:rsidRDefault="1D489BBD" w:rsidP="49C6F20D">
            <w:pPr>
              <w:numPr>
                <w:ilvl w:val="0"/>
                <w:numId w:val="65"/>
              </w:numPr>
              <w:tabs>
                <w:tab w:val="num" w:pos="169"/>
              </w:tabs>
              <w:spacing w:before="240" w:after="240" w:line="240" w:lineRule="auto"/>
              <w:contextualSpacing/>
              <w:rPr>
                <w:rFonts w:ascii="Arial" w:eastAsia="Arial" w:hAnsi="Arial" w:cs="Arial"/>
                <w:sz w:val="18"/>
                <w:szCs w:val="18"/>
              </w:rPr>
            </w:pPr>
            <w:r w:rsidRPr="00306F4D">
              <w:rPr>
                <w:rFonts w:ascii="Arial" w:eastAsia="Arial" w:hAnsi="Arial" w:cs="Arial"/>
                <w:b/>
                <w:sz w:val="18"/>
                <w:szCs w:val="18"/>
              </w:rPr>
              <w:t>Soil:</w:t>
            </w:r>
            <w:r w:rsidRPr="00306F4D">
              <w:rPr>
                <w:rFonts w:ascii="Arial" w:eastAsia="Arial" w:hAnsi="Arial" w:cs="Arial"/>
                <w:sz w:val="18"/>
                <w:szCs w:val="18"/>
              </w:rPr>
              <w:t xml:space="preserve"> exposure of mountain and rural soil and top cover to heavy rains and flooding</w:t>
            </w:r>
          </w:p>
        </w:tc>
        <w:tc>
          <w:tcPr>
            <w:tcW w:w="3543" w:type="dxa"/>
            <w:tcBorders>
              <w:top w:val="single" w:sz="6" w:space="0" w:color="auto"/>
              <w:left w:val="single" w:sz="6" w:space="0" w:color="auto"/>
              <w:bottom w:val="single" w:sz="6" w:space="0" w:color="auto"/>
              <w:right w:val="double" w:sz="4" w:space="0" w:color="auto"/>
            </w:tcBorders>
            <w:hideMark/>
          </w:tcPr>
          <w:p w14:paraId="35F36350" w14:textId="77777777" w:rsidR="00F00DC5" w:rsidRPr="00306F4D" w:rsidRDefault="1D489BBD" w:rsidP="49C6F20D">
            <w:pPr>
              <w:numPr>
                <w:ilvl w:val="0"/>
                <w:numId w:val="65"/>
              </w:numPr>
              <w:tabs>
                <w:tab w:val="num" w:pos="169"/>
              </w:tabs>
              <w:spacing w:before="240" w:after="240" w:line="240" w:lineRule="auto"/>
              <w:contextualSpacing/>
              <w:rPr>
                <w:rFonts w:ascii="Arial" w:eastAsia="Arial" w:hAnsi="Arial" w:cs="Arial"/>
                <w:sz w:val="18"/>
                <w:szCs w:val="18"/>
              </w:rPr>
            </w:pPr>
            <w:r w:rsidRPr="00306F4D">
              <w:rPr>
                <w:rFonts w:ascii="Arial" w:eastAsia="Arial" w:hAnsi="Arial" w:cs="Arial"/>
                <w:sz w:val="18"/>
                <w:szCs w:val="18"/>
              </w:rPr>
              <w:t>Economic and livelihood losses in agriculture sector and farming communities</w:t>
            </w:r>
          </w:p>
          <w:p w14:paraId="5535D731" w14:textId="77777777" w:rsidR="00F00DC5" w:rsidRPr="00306F4D" w:rsidRDefault="1D489BBD" w:rsidP="49C6F20D">
            <w:pPr>
              <w:numPr>
                <w:ilvl w:val="0"/>
                <w:numId w:val="65"/>
              </w:numPr>
              <w:tabs>
                <w:tab w:val="num" w:pos="169"/>
              </w:tabs>
              <w:spacing w:before="240" w:after="240" w:line="240" w:lineRule="auto"/>
              <w:contextualSpacing/>
              <w:rPr>
                <w:rFonts w:ascii="Arial" w:eastAsia="Arial" w:hAnsi="Arial" w:cs="Arial"/>
                <w:sz w:val="18"/>
                <w:szCs w:val="18"/>
              </w:rPr>
            </w:pPr>
            <w:r w:rsidRPr="00306F4D">
              <w:rPr>
                <w:rFonts w:ascii="Arial" w:eastAsia="Arial" w:hAnsi="Arial" w:cs="Arial"/>
                <w:sz w:val="18"/>
                <w:szCs w:val="18"/>
              </w:rPr>
              <w:t>Decrease in ecosystem functioning</w:t>
            </w:r>
          </w:p>
          <w:p w14:paraId="0D8D588F" w14:textId="77777777" w:rsidR="00F00DC5" w:rsidRPr="00306F4D" w:rsidRDefault="1D489BBD" w:rsidP="49C6F20D">
            <w:pPr>
              <w:numPr>
                <w:ilvl w:val="0"/>
                <w:numId w:val="65"/>
              </w:numPr>
              <w:tabs>
                <w:tab w:val="num" w:pos="169"/>
              </w:tabs>
              <w:spacing w:before="240" w:after="240" w:line="240" w:lineRule="auto"/>
              <w:contextualSpacing/>
              <w:rPr>
                <w:rFonts w:ascii="Arial" w:eastAsia="Arial" w:hAnsi="Arial" w:cs="Arial"/>
                <w:sz w:val="18"/>
                <w:szCs w:val="18"/>
              </w:rPr>
            </w:pPr>
            <w:r w:rsidRPr="00306F4D">
              <w:rPr>
                <w:rFonts w:ascii="Arial" w:eastAsia="Arial" w:hAnsi="Arial" w:cs="Arial"/>
                <w:sz w:val="18"/>
                <w:szCs w:val="18"/>
              </w:rPr>
              <w:t>Loss of valuable species, habitats and ecosystem services</w:t>
            </w:r>
          </w:p>
        </w:tc>
      </w:tr>
      <w:tr w:rsidR="00FC2E4E" w:rsidRPr="00306F4D" w14:paraId="3A6EA7E2" w14:textId="77777777" w:rsidTr="0025418E">
        <w:tc>
          <w:tcPr>
            <w:tcW w:w="1635" w:type="dxa"/>
            <w:tcBorders>
              <w:top w:val="single" w:sz="6" w:space="0" w:color="auto"/>
              <w:left w:val="double" w:sz="4" w:space="0" w:color="auto"/>
              <w:bottom w:val="single" w:sz="6" w:space="0" w:color="auto"/>
              <w:right w:val="single" w:sz="6" w:space="0" w:color="auto"/>
            </w:tcBorders>
            <w:hideMark/>
          </w:tcPr>
          <w:p w14:paraId="2B729242" w14:textId="77777777" w:rsidR="00F00DC5" w:rsidRPr="00306F4D" w:rsidRDefault="1D489BBD" w:rsidP="49C6F20D">
            <w:pPr>
              <w:spacing w:before="240" w:after="240" w:line="240" w:lineRule="auto"/>
              <w:contextualSpacing/>
              <w:rPr>
                <w:rFonts w:ascii="Arial" w:eastAsia="Arial" w:hAnsi="Arial" w:cs="Arial"/>
                <w:b/>
                <w:sz w:val="18"/>
                <w:szCs w:val="18"/>
              </w:rPr>
            </w:pPr>
            <w:r w:rsidRPr="00306F4D">
              <w:rPr>
                <w:rFonts w:ascii="Arial" w:eastAsia="Arial" w:hAnsi="Arial" w:cs="Arial"/>
                <w:b/>
                <w:sz w:val="18"/>
                <w:szCs w:val="18"/>
              </w:rPr>
              <w:t>Heavy Snow</w:t>
            </w:r>
          </w:p>
        </w:tc>
        <w:tc>
          <w:tcPr>
            <w:tcW w:w="5013" w:type="dxa"/>
            <w:tcBorders>
              <w:top w:val="single" w:sz="6" w:space="0" w:color="auto"/>
              <w:left w:val="single" w:sz="6" w:space="0" w:color="auto"/>
              <w:bottom w:val="single" w:sz="6" w:space="0" w:color="auto"/>
              <w:right w:val="single" w:sz="6" w:space="0" w:color="auto"/>
            </w:tcBorders>
            <w:hideMark/>
          </w:tcPr>
          <w:p w14:paraId="6561AB0B" w14:textId="77777777" w:rsidR="00F00DC5" w:rsidRPr="00306F4D" w:rsidRDefault="1D489BBD" w:rsidP="49C6F20D">
            <w:pPr>
              <w:numPr>
                <w:ilvl w:val="0"/>
                <w:numId w:val="65"/>
              </w:numPr>
              <w:tabs>
                <w:tab w:val="num" w:pos="169"/>
              </w:tabs>
              <w:spacing w:before="240" w:after="240" w:line="240" w:lineRule="auto"/>
              <w:contextualSpacing/>
              <w:rPr>
                <w:rFonts w:ascii="Arial" w:eastAsia="Arial" w:hAnsi="Arial" w:cs="Arial"/>
                <w:sz w:val="18"/>
                <w:szCs w:val="18"/>
              </w:rPr>
            </w:pPr>
            <w:r w:rsidRPr="00306F4D">
              <w:rPr>
                <w:rFonts w:ascii="Arial" w:eastAsia="Arial" w:hAnsi="Arial" w:cs="Arial"/>
                <w:b/>
                <w:sz w:val="18"/>
                <w:szCs w:val="18"/>
              </w:rPr>
              <w:t>Mountain and Rural Economies:</w:t>
            </w:r>
            <w:r w:rsidRPr="00306F4D">
              <w:rPr>
                <w:rFonts w:ascii="Arial" w:eastAsia="Arial" w:hAnsi="Arial" w:cs="Arial"/>
                <w:sz w:val="18"/>
                <w:szCs w:val="18"/>
              </w:rPr>
              <w:t xml:space="preserve"> vulnerability due to poor infrastructure, housing, and access to roads and public services, especially for children and elderly</w:t>
            </w:r>
          </w:p>
          <w:p w14:paraId="6EEBB742" w14:textId="77777777" w:rsidR="00F00DC5" w:rsidRPr="00306F4D" w:rsidRDefault="1D489BBD" w:rsidP="49C6F20D">
            <w:pPr>
              <w:numPr>
                <w:ilvl w:val="0"/>
                <w:numId w:val="65"/>
              </w:numPr>
              <w:tabs>
                <w:tab w:val="num" w:pos="169"/>
              </w:tabs>
              <w:spacing w:before="240" w:after="240" w:line="240" w:lineRule="auto"/>
              <w:contextualSpacing/>
              <w:rPr>
                <w:rFonts w:ascii="Arial" w:eastAsia="Arial" w:hAnsi="Arial" w:cs="Arial"/>
                <w:sz w:val="18"/>
                <w:szCs w:val="18"/>
              </w:rPr>
            </w:pPr>
            <w:r w:rsidRPr="00306F4D">
              <w:rPr>
                <w:rFonts w:ascii="Arial" w:eastAsia="Arial" w:hAnsi="Arial" w:cs="Arial"/>
                <w:b/>
                <w:sz w:val="18"/>
                <w:szCs w:val="18"/>
              </w:rPr>
              <w:t>Public Services:</w:t>
            </w:r>
            <w:r w:rsidRPr="00306F4D">
              <w:rPr>
                <w:rFonts w:ascii="Arial" w:eastAsia="Arial" w:hAnsi="Arial" w:cs="Arial"/>
                <w:sz w:val="18"/>
                <w:szCs w:val="18"/>
              </w:rPr>
              <w:t xml:space="preserve"> inaccessible essential services, including emergency response</w:t>
            </w:r>
          </w:p>
        </w:tc>
        <w:tc>
          <w:tcPr>
            <w:tcW w:w="3543" w:type="dxa"/>
            <w:tcBorders>
              <w:top w:val="single" w:sz="6" w:space="0" w:color="auto"/>
              <w:left w:val="single" w:sz="6" w:space="0" w:color="auto"/>
              <w:bottom w:val="single" w:sz="6" w:space="0" w:color="auto"/>
              <w:right w:val="double" w:sz="4" w:space="0" w:color="auto"/>
            </w:tcBorders>
            <w:hideMark/>
          </w:tcPr>
          <w:p w14:paraId="63E25F40" w14:textId="77777777" w:rsidR="00F00DC5" w:rsidRPr="00306F4D" w:rsidRDefault="1D489BBD" w:rsidP="49C6F20D">
            <w:pPr>
              <w:numPr>
                <w:ilvl w:val="0"/>
                <w:numId w:val="65"/>
              </w:numPr>
              <w:tabs>
                <w:tab w:val="num" w:pos="169"/>
              </w:tabs>
              <w:spacing w:before="240" w:after="240" w:line="240" w:lineRule="auto"/>
              <w:contextualSpacing/>
              <w:rPr>
                <w:rFonts w:ascii="Arial" w:eastAsia="Arial" w:hAnsi="Arial" w:cs="Arial"/>
                <w:sz w:val="18"/>
                <w:szCs w:val="18"/>
              </w:rPr>
            </w:pPr>
            <w:r w:rsidRPr="00306F4D">
              <w:rPr>
                <w:rFonts w:ascii="Arial" w:eastAsia="Arial" w:hAnsi="Arial" w:cs="Arial"/>
                <w:sz w:val="18"/>
                <w:szCs w:val="18"/>
              </w:rPr>
              <w:t>Economic, livelihood, and asset losses</w:t>
            </w:r>
          </w:p>
          <w:p w14:paraId="7E6D1940" w14:textId="77777777" w:rsidR="00F00DC5" w:rsidRPr="00306F4D" w:rsidRDefault="1D489BBD" w:rsidP="49C6F20D">
            <w:pPr>
              <w:numPr>
                <w:ilvl w:val="0"/>
                <w:numId w:val="65"/>
              </w:numPr>
              <w:tabs>
                <w:tab w:val="num" w:pos="169"/>
              </w:tabs>
              <w:spacing w:before="240" w:after="240" w:line="240" w:lineRule="auto"/>
              <w:contextualSpacing/>
              <w:rPr>
                <w:rFonts w:ascii="Arial" w:eastAsia="Arial" w:hAnsi="Arial" w:cs="Arial"/>
                <w:sz w:val="18"/>
                <w:szCs w:val="18"/>
              </w:rPr>
            </w:pPr>
            <w:r w:rsidRPr="00306F4D">
              <w:rPr>
                <w:rFonts w:ascii="Arial" w:eastAsia="Arial" w:hAnsi="Arial" w:cs="Arial"/>
                <w:sz w:val="18"/>
                <w:szCs w:val="18"/>
              </w:rPr>
              <w:t>Human and animal loss of life, displacement, disease</w:t>
            </w:r>
          </w:p>
        </w:tc>
      </w:tr>
      <w:tr w:rsidR="00FC2E4E" w:rsidRPr="00306F4D" w14:paraId="76D7144B" w14:textId="77777777" w:rsidTr="0025418E">
        <w:trPr>
          <w:trHeight w:val="930"/>
        </w:trPr>
        <w:tc>
          <w:tcPr>
            <w:tcW w:w="1635" w:type="dxa"/>
            <w:tcBorders>
              <w:top w:val="single" w:sz="6" w:space="0" w:color="auto"/>
              <w:left w:val="double" w:sz="4" w:space="0" w:color="auto"/>
              <w:bottom w:val="single" w:sz="6" w:space="0" w:color="auto"/>
              <w:right w:val="single" w:sz="6" w:space="0" w:color="auto"/>
            </w:tcBorders>
            <w:hideMark/>
          </w:tcPr>
          <w:p w14:paraId="422B57DA" w14:textId="77777777" w:rsidR="00F00DC5" w:rsidRPr="00306F4D" w:rsidRDefault="1D489BBD" w:rsidP="49C6F20D">
            <w:pPr>
              <w:spacing w:before="240" w:after="240" w:line="240" w:lineRule="auto"/>
              <w:contextualSpacing/>
              <w:rPr>
                <w:rFonts w:ascii="Arial" w:eastAsia="Arial" w:hAnsi="Arial" w:cs="Arial"/>
                <w:b/>
                <w:sz w:val="18"/>
                <w:szCs w:val="18"/>
              </w:rPr>
            </w:pPr>
            <w:r w:rsidRPr="00306F4D">
              <w:rPr>
                <w:rFonts w:ascii="Arial" w:eastAsia="Arial" w:hAnsi="Arial" w:cs="Arial"/>
                <w:b/>
                <w:sz w:val="18"/>
                <w:szCs w:val="18"/>
              </w:rPr>
              <w:t>Reduced Snow Cover</w:t>
            </w:r>
          </w:p>
        </w:tc>
        <w:tc>
          <w:tcPr>
            <w:tcW w:w="5013" w:type="dxa"/>
            <w:tcBorders>
              <w:top w:val="single" w:sz="6" w:space="0" w:color="auto"/>
              <w:left w:val="single" w:sz="6" w:space="0" w:color="auto"/>
              <w:bottom w:val="single" w:sz="6" w:space="0" w:color="auto"/>
              <w:right w:val="single" w:sz="6" w:space="0" w:color="auto"/>
            </w:tcBorders>
            <w:hideMark/>
          </w:tcPr>
          <w:p w14:paraId="13D61C5E" w14:textId="77777777" w:rsidR="00F00DC5" w:rsidRPr="00306F4D" w:rsidRDefault="1D489BBD" w:rsidP="49C6F20D">
            <w:pPr>
              <w:numPr>
                <w:ilvl w:val="0"/>
                <w:numId w:val="65"/>
              </w:numPr>
              <w:tabs>
                <w:tab w:val="num" w:pos="169"/>
              </w:tabs>
              <w:spacing w:before="240" w:after="240" w:line="240" w:lineRule="auto"/>
              <w:contextualSpacing/>
              <w:rPr>
                <w:rFonts w:ascii="Arial" w:eastAsia="Arial" w:hAnsi="Arial" w:cs="Arial"/>
                <w:sz w:val="18"/>
                <w:szCs w:val="18"/>
              </w:rPr>
            </w:pPr>
            <w:r w:rsidRPr="00306F4D">
              <w:rPr>
                <w:rFonts w:ascii="Arial" w:eastAsia="Arial" w:hAnsi="Arial" w:cs="Arial"/>
                <w:b/>
                <w:sz w:val="18"/>
                <w:szCs w:val="18"/>
              </w:rPr>
              <w:t>Tourism:</w:t>
            </w:r>
            <w:r w:rsidRPr="00306F4D">
              <w:rPr>
                <w:rFonts w:ascii="Arial" w:eastAsia="Arial" w:hAnsi="Arial" w:cs="Arial"/>
                <w:sz w:val="18"/>
                <w:szCs w:val="18"/>
              </w:rPr>
              <w:t xml:space="preserve"> heavy reliance of winter economy on snow cover</w:t>
            </w:r>
          </w:p>
        </w:tc>
        <w:tc>
          <w:tcPr>
            <w:tcW w:w="3543" w:type="dxa"/>
            <w:tcBorders>
              <w:top w:val="single" w:sz="6" w:space="0" w:color="auto"/>
              <w:left w:val="single" w:sz="6" w:space="0" w:color="auto"/>
              <w:bottom w:val="single" w:sz="6" w:space="0" w:color="auto"/>
              <w:right w:val="double" w:sz="4" w:space="0" w:color="auto"/>
            </w:tcBorders>
            <w:hideMark/>
          </w:tcPr>
          <w:p w14:paraId="180AF148" w14:textId="32A19D2C" w:rsidR="00F00DC5" w:rsidRPr="00306F4D" w:rsidRDefault="777CA3A8" w:rsidP="02E2BB75">
            <w:pPr>
              <w:numPr>
                <w:ilvl w:val="0"/>
                <w:numId w:val="65"/>
              </w:numPr>
              <w:tabs>
                <w:tab w:val="num" w:pos="169"/>
              </w:tabs>
              <w:spacing w:before="240" w:after="240" w:line="240" w:lineRule="auto"/>
              <w:contextualSpacing/>
              <w:rPr>
                <w:rFonts w:ascii="Arial" w:eastAsia="Arial" w:hAnsi="Arial" w:cs="Arial"/>
                <w:sz w:val="18"/>
                <w:szCs w:val="18"/>
              </w:rPr>
            </w:pPr>
            <w:r w:rsidRPr="00306F4D">
              <w:rPr>
                <w:rFonts w:ascii="Arial" w:eastAsia="Arial" w:hAnsi="Arial" w:cs="Arial"/>
                <w:sz w:val="18"/>
                <w:szCs w:val="18"/>
              </w:rPr>
              <w:t>Economic and livelihood losses for mountain communities and national budget reliant on ski tourism</w:t>
            </w:r>
          </w:p>
        </w:tc>
      </w:tr>
      <w:tr w:rsidR="00F00DC5" w:rsidRPr="00306F4D" w14:paraId="11DEDC0B" w14:textId="77777777" w:rsidTr="0025418E">
        <w:trPr>
          <w:trHeight w:val="300"/>
        </w:trPr>
        <w:tc>
          <w:tcPr>
            <w:tcW w:w="10191" w:type="dxa"/>
            <w:gridSpan w:val="3"/>
            <w:tcBorders>
              <w:top w:val="single" w:sz="6" w:space="0" w:color="auto"/>
              <w:left w:val="double" w:sz="4" w:space="0" w:color="auto"/>
              <w:bottom w:val="single" w:sz="6" w:space="0" w:color="auto"/>
              <w:right w:val="double" w:sz="4" w:space="0" w:color="auto"/>
            </w:tcBorders>
            <w:shd w:val="clear" w:color="auto" w:fill="D9E2F3" w:themeFill="accent1" w:themeFillTint="33"/>
            <w:hideMark/>
          </w:tcPr>
          <w:p w14:paraId="343289D7" w14:textId="77777777" w:rsidR="00F00DC5" w:rsidRPr="00306F4D" w:rsidRDefault="1D489BBD" w:rsidP="49C6F20D">
            <w:pPr>
              <w:spacing w:before="240" w:after="240" w:line="240" w:lineRule="auto"/>
              <w:contextualSpacing/>
              <w:rPr>
                <w:rFonts w:ascii="Arial" w:eastAsia="Arial" w:hAnsi="Arial" w:cs="Arial"/>
                <w:b/>
                <w:sz w:val="18"/>
                <w:szCs w:val="18"/>
              </w:rPr>
            </w:pPr>
            <w:r w:rsidRPr="00306F4D">
              <w:rPr>
                <w:rFonts w:ascii="Arial" w:eastAsia="Arial" w:hAnsi="Arial" w:cs="Arial"/>
                <w:b/>
                <w:sz w:val="18"/>
                <w:szCs w:val="18"/>
              </w:rPr>
              <w:t>Drought</w:t>
            </w:r>
          </w:p>
        </w:tc>
      </w:tr>
      <w:tr w:rsidR="001C71A9" w:rsidRPr="00306F4D" w14:paraId="3E64CE83" w14:textId="77777777" w:rsidTr="008C5ED2">
        <w:trPr>
          <w:trHeight w:val="1741"/>
        </w:trPr>
        <w:tc>
          <w:tcPr>
            <w:tcW w:w="1635" w:type="dxa"/>
            <w:tcBorders>
              <w:top w:val="single" w:sz="6" w:space="0" w:color="auto"/>
              <w:left w:val="double" w:sz="4" w:space="0" w:color="auto"/>
              <w:bottom w:val="single" w:sz="6" w:space="0" w:color="auto"/>
              <w:right w:val="single" w:sz="6" w:space="0" w:color="auto"/>
            </w:tcBorders>
            <w:hideMark/>
          </w:tcPr>
          <w:p w14:paraId="2DAC4ACB" w14:textId="47467CC8" w:rsidR="00F00DC5" w:rsidRPr="00306F4D" w:rsidRDefault="1D489BBD" w:rsidP="49C6F20D">
            <w:pPr>
              <w:spacing w:before="240" w:after="240" w:line="240" w:lineRule="auto"/>
              <w:contextualSpacing/>
              <w:rPr>
                <w:rFonts w:ascii="Arial" w:eastAsia="Arial" w:hAnsi="Arial" w:cs="Arial"/>
                <w:b/>
                <w:sz w:val="18"/>
                <w:szCs w:val="18"/>
              </w:rPr>
            </w:pPr>
            <w:r w:rsidRPr="00306F4D">
              <w:rPr>
                <w:rFonts w:ascii="Arial" w:eastAsia="Arial" w:hAnsi="Arial" w:cs="Arial"/>
                <w:b/>
                <w:sz w:val="18"/>
                <w:szCs w:val="18"/>
              </w:rPr>
              <w:t xml:space="preserve">Increase in </w:t>
            </w:r>
            <w:r w:rsidR="55A980AB" w:rsidRPr="00306F4D">
              <w:rPr>
                <w:rFonts w:ascii="Arial" w:eastAsia="Arial" w:hAnsi="Arial" w:cs="Arial"/>
                <w:b/>
                <w:sz w:val="18"/>
                <w:szCs w:val="18"/>
              </w:rPr>
              <w:t>Frequency</w:t>
            </w:r>
            <w:r w:rsidRPr="00306F4D">
              <w:rPr>
                <w:rFonts w:ascii="Arial" w:eastAsia="Arial" w:hAnsi="Arial" w:cs="Arial"/>
                <w:b/>
                <w:sz w:val="18"/>
                <w:szCs w:val="18"/>
              </w:rPr>
              <w:t xml:space="preserve"> and Intensity of Wildfires </w:t>
            </w:r>
          </w:p>
        </w:tc>
        <w:tc>
          <w:tcPr>
            <w:tcW w:w="5013" w:type="dxa"/>
            <w:tcBorders>
              <w:top w:val="single" w:sz="6" w:space="0" w:color="auto"/>
              <w:left w:val="single" w:sz="6" w:space="0" w:color="auto"/>
              <w:bottom w:val="single" w:sz="6" w:space="0" w:color="auto"/>
              <w:right w:val="single" w:sz="6" w:space="0" w:color="auto"/>
            </w:tcBorders>
            <w:hideMark/>
          </w:tcPr>
          <w:p w14:paraId="45BE1B72" w14:textId="77777777" w:rsidR="00F00DC5" w:rsidRPr="00306F4D" w:rsidRDefault="1D489BBD" w:rsidP="49C6F20D">
            <w:pPr>
              <w:numPr>
                <w:ilvl w:val="0"/>
                <w:numId w:val="65"/>
              </w:numPr>
              <w:tabs>
                <w:tab w:val="num" w:pos="169"/>
              </w:tabs>
              <w:spacing w:before="240" w:after="240" w:line="240" w:lineRule="auto"/>
              <w:contextualSpacing/>
              <w:rPr>
                <w:rFonts w:ascii="Arial" w:eastAsia="Arial" w:hAnsi="Arial" w:cs="Arial"/>
                <w:sz w:val="18"/>
                <w:szCs w:val="18"/>
              </w:rPr>
            </w:pPr>
            <w:r w:rsidRPr="00306F4D">
              <w:rPr>
                <w:rFonts w:ascii="Arial" w:eastAsia="Arial" w:hAnsi="Arial" w:cs="Arial"/>
                <w:b/>
                <w:sz w:val="18"/>
                <w:szCs w:val="18"/>
              </w:rPr>
              <w:t>Forests:</w:t>
            </w:r>
            <w:r w:rsidRPr="00306F4D">
              <w:rPr>
                <w:rFonts w:ascii="Arial" w:eastAsia="Arial" w:hAnsi="Arial" w:cs="Arial"/>
                <w:sz w:val="18"/>
                <w:szCs w:val="18"/>
              </w:rPr>
              <w:t xml:space="preserve"> high exposure of forests, ecosystems, ecosystem services, protected areas</w:t>
            </w:r>
          </w:p>
          <w:p w14:paraId="292FCC1E" w14:textId="77777777" w:rsidR="00F00DC5" w:rsidRPr="00306F4D" w:rsidRDefault="1D489BBD" w:rsidP="49C6F20D">
            <w:pPr>
              <w:numPr>
                <w:ilvl w:val="0"/>
                <w:numId w:val="65"/>
              </w:numPr>
              <w:tabs>
                <w:tab w:val="num" w:pos="169"/>
              </w:tabs>
              <w:spacing w:before="240" w:after="240" w:line="240" w:lineRule="auto"/>
              <w:contextualSpacing/>
              <w:rPr>
                <w:rFonts w:ascii="Arial" w:eastAsia="Arial" w:hAnsi="Arial" w:cs="Arial"/>
                <w:sz w:val="18"/>
                <w:szCs w:val="18"/>
              </w:rPr>
            </w:pPr>
            <w:r w:rsidRPr="00306F4D">
              <w:rPr>
                <w:rFonts w:ascii="Arial" w:eastAsia="Arial" w:hAnsi="Arial" w:cs="Arial"/>
                <w:b/>
                <w:sz w:val="18"/>
                <w:szCs w:val="18"/>
              </w:rPr>
              <w:t>Agriculture:</w:t>
            </w:r>
            <w:r w:rsidRPr="00306F4D">
              <w:rPr>
                <w:rFonts w:ascii="Arial" w:eastAsia="Arial" w:hAnsi="Arial" w:cs="Arial"/>
                <w:sz w:val="18"/>
                <w:szCs w:val="18"/>
              </w:rPr>
              <w:t xml:space="preserve"> high exposure of land, ecosystem services, water availability</w:t>
            </w:r>
          </w:p>
          <w:p w14:paraId="29B65D5D" w14:textId="77777777" w:rsidR="00F00DC5" w:rsidRPr="00306F4D" w:rsidRDefault="1D489BBD" w:rsidP="49C6F20D">
            <w:pPr>
              <w:numPr>
                <w:ilvl w:val="0"/>
                <w:numId w:val="65"/>
              </w:numPr>
              <w:tabs>
                <w:tab w:val="num" w:pos="169"/>
              </w:tabs>
              <w:spacing w:before="240" w:after="240" w:line="240" w:lineRule="auto"/>
              <w:contextualSpacing/>
              <w:rPr>
                <w:rFonts w:ascii="Arial" w:eastAsia="Arial" w:hAnsi="Arial" w:cs="Arial"/>
                <w:sz w:val="18"/>
                <w:szCs w:val="18"/>
              </w:rPr>
            </w:pPr>
            <w:r w:rsidRPr="00306F4D">
              <w:rPr>
                <w:rFonts w:ascii="Arial" w:eastAsia="Arial" w:hAnsi="Arial" w:cs="Arial"/>
                <w:b/>
                <w:sz w:val="18"/>
                <w:szCs w:val="18"/>
              </w:rPr>
              <w:t>Tourism:</w:t>
            </w:r>
            <w:r w:rsidRPr="00306F4D">
              <w:rPr>
                <w:rFonts w:ascii="Arial" w:eastAsia="Arial" w:hAnsi="Arial" w:cs="Arial"/>
                <w:sz w:val="18"/>
                <w:szCs w:val="18"/>
              </w:rPr>
              <w:t xml:space="preserve"> exposure of tourism operations and appeal, in coastal and inland mountain areas</w:t>
            </w:r>
          </w:p>
          <w:p w14:paraId="542870AE" w14:textId="77777777" w:rsidR="00F00DC5" w:rsidRPr="00306F4D" w:rsidRDefault="1D489BBD" w:rsidP="49C6F20D">
            <w:pPr>
              <w:numPr>
                <w:ilvl w:val="0"/>
                <w:numId w:val="65"/>
              </w:numPr>
              <w:tabs>
                <w:tab w:val="num" w:pos="169"/>
              </w:tabs>
              <w:spacing w:before="240" w:after="240" w:line="240" w:lineRule="auto"/>
              <w:contextualSpacing/>
              <w:rPr>
                <w:rFonts w:ascii="Arial" w:eastAsia="Arial" w:hAnsi="Arial" w:cs="Arial"/>
                <w:sz w:val="18"/>
                <w:szCs w:val="18"/>
              </w:rPr>
            </w:pPr>
            <w:r w:rsidRPr="00306F4D">
              <w:rPr>
                <w:rFonts w:ascii="Arial" w:eastAsia="Arial" w:hAnsi="Arial" w:cs="Arial"/>
                <w:b/>
                <w:sz w:val="18"/>
                <w:szCs w:val="18"/>
              </w:rPr>
              <w:t>Pollution:</w:t>
            </w:r>
            <w:r w:rsidRPr="00306F4D">
              <w:rPr>
                <w:rFonts w:ascii="Arial" w:eastAsia="Arial" w:hAnsi="Arial" w:cs="Arial"/>
                <w:sz w:val="18"/>
                <w:szCs w:val="18"/>
              </w:rPr>
              <w:t xml:space="preserve"> exposure to smoke, particulates, fire damage</w:t>
            </w:r>
          </w:p>
        </w:tc>
        <w:tc>
          <w:tcPr>
            <w:tcW w:w="3543" w:type="dxa"/>
            <w:tcBorders>
              <w:top w:val="single" w:sz="6" w:space="0" w:color="auto"/>
              <w:left w:val="single" w:sz="6" w:space="0" w:color="auto"/>
              <w:bottom w:val="single" w:sz="6" w:space="0" w:color="auto"/>
              <w:right w:val="double" w:sz="4" w:space="0" w:color="auto"/>
            </w:tcBorders>
            <w:hideMark/>
          </w:tcPr>
          <w:p w14:paraId="2E77B062" w14:textId="77777777" w:rsidR="00F00DC5" w:rsidRPr="00306F4D" w:rsidRDefault="1D489BBD" w:rsidP="49C6F20D">
            <w:pPr>
              <w:numPr>
                <w:ilvl w:val="0"/>
                <w:numId w:val="65"/>
              </w:numPr>
              <w:tabs>
                <w:tab w:val="num" w:pos="169"/>
              </w:tabs>
              <w:spacing w:before="240" w:after="240" w:line="240" w:lineRule="auto"/>
              <w:contextualSpacing/>
              <w:rPr>
                <w:rFonts w:ascii="Arial" w:eastAsia="Arial" w:hAnsi="Arial" w:cs="Arial"/>
                <w:sz w:val="18"/>
                <w:szCs w:val="18"/>
              </w:rPr>
            </w:pPr>
            <w:r w:rsidRPr="00306F4D">
              <w:rPr>
                <w:rFonts w:ascii="Arial" w:eastAsia="Arial" w:hAnsi="Arial" w:cs="Arial"/>
                <w:sz w:val="18"/>
                <w:szCs w:val="18"/>
              </w:rPr>
              <w:t>Loss of biodiversity, habitats, ecosystem services</w:t>
            </w:r>
          </w:p>
          <w:p w14:paraId="40B66C07" w14:textId="77777777" w:rsidR="00F00DC5" w:rsidRPr="00306F4D" w:rsidRDefault="1D489BBD" w:rsidP="49C6F20D">
            <w:pPr>
              <w:numPr>
                <w:ilvl w:val="0"/>
                <w:numId w:val="65"/>
              </w:numPr>
              <w:tabs>
                <w:tab w:val="num" w:pos="169"/>
              </w:tabs>
              <w:spacing w:before="240" w:after="240" w:line="240" w:lineRule="auto"/>
              <w:contextualSpacing/>
              <w:rPr>
                <w:rFonts w:ascii="Arial" w:eastAsia="Arial" w:hAnsi="Arial" w:cs="Arial"/>
                <w:sz w:val="18"/>
                <w:szCs w:val="18"/>
              </w:rPr>
            </w:pPr>
            <w:r w:rsidRPr="00306F4D">
              <w:rPr>
                <w:rFonts w:ascii="Arial" w:eastAsia="Arial" w:hAnsi="Arial" w:cs="Arial"/>
                <w:sz w:val="18"/>
                <w:szCs w:val="18"/>
              </w:rPr>
              <w:t>Land degradation</w:t>
            </w:r>
          </w:p>
          <w:p w14:paraId="315B2CE0" w14:textId="77777777" w:rsidR="00F00DC5" w:rsidRPr="00306F4D" w:rsidRDefault="1D489BBD" w:rsidP="49C6F20D">
            <w:pPr>
              <w:numPr>
                <w:ilvl w:val="0"/>
                <w:numId w:val="65"/>
              </w:numPr>
              <w:tabs>
                <w:tab w:val="num" w:pos="169"/>
              </w:tabs>
              <w:spacing w:before="240" w:after="240" w:line="240" w:lineRule="auto"/>
              <w:contextualSpacing/>
              <w:rPr>
                <w:rFonts w:ascii="Arial" w:eastAsia="Arial" w:hAnsi="Arial" w:cs="Arial"/>
                <w:sz w:val="18"/>
                <w:szCs w:val="18"/>
              </w:rPr>
            </w:pPr>
            <w:r w:rsidRPr="00306F4D">
              <w:rPr>
                <w:rFonts w:ascii="Arial" w:eastAsia="Arial" w:hAnsi="Arial" w:cs="Arial"/>
                <w:sz w:val="18"/>
                <w:szCs w:val="18"/>
              </w:rPr>
              <w:t>Economic, livelihood, and asset losses</w:t>
            </w:r>
          </w:p>
          <w:p w14:paraId="11D5492C" w14:textId="77777777" w:rsidR="00F00DC5" w:rsidRPr="00306F4D" w:rsidRDefault="1D489BBD" w:rsidP="49C6F20D">
            <w:pPr>
              <w:numPr>
                <w:ilvl w:val="0"/>
                <w:numId w:val="65"/>
              </w:numPr>
              <w:tabs>
                <w:tab w:val="num" w:pos="169"/>
              </w:tabs>
              <w:spacing w:before="240" w:after="240" w:line="240" w:lineRule="auto"/>
              <w:contextualSpacing/>
              <w:rPr>
                <w:rFonts w:ascii="Arial" w:eastAsia="Arial" w:hAnsi="Arial" w:cs="Arial"/>
                <w:sz w:val="18"/>
                <w:szCs w:val="18"/>
              </w:rPr>
            </w:pPr>
            <w:r w:rsidRPr="00306F4D">
              <w:rPr>
                <w:rFonts w:ascii="Arial" w:eastAsia="Arial" w:hAnsi="Arial" w:cs="Arial"/>
                <w:sz w:val="18"/>
                <w:szCs w:val="18"/>
              </w:rPr>
              <w:t>Human and animal loss of life, displacement, disease</w:t>
            </w:r>
          </w:p>
        </w:tc>
      </w:tr>
      <w:tr w:rsidR="00F00DC5" w:rsidRPr="00306F4D" w14:paraId="5EA3EAD3" w14:textId="77777777" w:rsidTr="008C5ED2">
        <w:trPr>
          <w:trHeight w:val="1777"/>
        </w:trPr>
        <w:tc>
          <w:tcPr>
            <w:tcW w:w="1635" w:type="dxa"/>
            <w:tcBorders>
              <w:top w:val="single" w:sz="6" w:space="0" w:color="auto"/>
              <w:left w:val="double" w:sz="4" w:space="0" w:color="auto"/>
              <w:bottom w:val="single" w:sz="6" w:space="0" w:color="auto"/>
              <w:right w:val="single" w:sz="6" w:space="0" w:color="auto"/>
            </w:tcBorders>
            <w:hideMark/>
          </w:tcPr>
          <w:p w14:paraId="3C5353E7" w14:textId="77777777" w:rsidR="00F00DC5" w:rsidRPr="00306F4D" w:rsidRDefault="1D489BBD" w:rsidP="49C6F20D">
            <w:pPr>
              <w:spacing w:before="240" w:after="240" w:line="240" w:lineRule="auto"/>
              <w:contextualSpacing/>
              <w:rPr>
                <w:rFonts w:ascii="Arial" w:eastAsia="Arial" w:hAnsi="Arial" w:cs="Arial"/>
                <w:b/>
                <w:sz w:val="18"/>
                <w:szCs w:val="18"/>
              </w:rPr>
            </w:pPr>
            <w:r w:rsidRPr="00306F4D">
              <w:rPr>
                <w:rFonts w:ascii="Arial" w:eastAsia="Arial" w:hAnsi="Arial" w:cs="Arial"/>
                <w:b/>
                <w:sz w:val="18"/>
                <w:szCs w:val="18"/>
              </w:rPr>
              <w:t>Decrease in Annual River Discharge and Flow in Summer and Drought</w:t>
            </w:r>
          </w:p>
        </w:tc>
        <w:tc>
          <w:tcPr>
            <w:tcW w:w="5013" w:type="dxa"/>
            <w:tcBorders>
              <w:top w:val="single" w:sz="6" w:space="0" w:color="auto"/>
              <w:left w:val="single" w:sz="6" w:space="0" w:color="auto"/>
              <w:bottom w:val="single" w:sz="6" w:space="0" w:color="auto"/>
              <w:right w:val="single" w:sz="6" w:space="0" w:color="auto"/>
            </w:tcBorders>
            <w:hideMark/>
          </w:tcPr>
          <w:p w14:paraId="63C6965D" w14:textId="77777777" w:rsidR="00F00DC5" w:rsidRPr="00306F4D" w:rsidRDefault="1D489BBD" w:rsidP="49C6F20D">
            <w:pPr>
              <w:numPr>
                <w:ilvl w:val="0"/>
                <w:numId w:val="65"/>
              </w:numPr>
              <w:tabs>
                <w:tab w:val="num" w:pos="169"/>
              </w:tabs>
              <w:spacing w:before="240" w:after="240" w:line="240" w:lineRule="auto"/>
              <w:contextualSpacing/>
              <w:rPr>
                <w:rFonts w:ascii="Arial" w:eastAsia="Arial" w:hAnsi="Arial" w:cs="Arial"/>
                <w:sz w:val="18"/>
                <w:szCs w:val="18"/>
              </w:rPr>
            </w:pPr>
            <w:r w:rsidRPr="00306F4D">
              <w:rPr>
                <w:rFonts w:ascii="Arial" w:eastAsia="Arial" w:hAnsi="Arial" w:cs="Arial"/>
                <w:b/>
                <w:sz w:val="18"/>
                <w:szCs w:val="18"/>
              </w:rPr>
              <w:t>Agriculture:</w:t>
            </w:r>
            <w:r w:rsidRPr="00306F4D">
              <w:rPr>
                <w:rFonts w:ascii="Arial" w:eastAsia="Arial" w:hAnsi="Arial" w:cs="Arial"/>
                <w:sz w:val="18"/>
                <w:szCs w:val="18"/>
              </w:rPr>
              <w:t xml:space="preserve"> high exposure of agriculture, livestock and farms to water supply, irrigation, and groundwater</w:t>
            </w:r>
          </w:p>
          <w:p w14:paraId="548358A2" w14:textId="77777777" w:rsidR="00F00DC5" w:rsidRPr="00306F4D" w:rsidRDefault="1D489BBD" w:rsidP="49C6F20D">
            <w:pPr>
              <w:numPr>
                <w:ilvl w:val="0"/>
                <w:numId w:val="65"/>
              </w:numPr>
              <w:tabs>
                <w:tab w:val="num" w:pos="169"/>
              </w:tabs>
              <w:spacing w:before="240" w:after="240" w:line="240" w:lineRule="auto"/>
              <w:contextualSpacing/>
              <w:rPr>
                <w:rFonts w:ascii="Arial" w:eastAsia="Arial" w:hAnsi="Arial" w:cs="Arial"/>
                <w:sz w:val="18"/>
                <w:szCs w:val="18"/>
              </w:rPr>
            </w:pPr>
            <w:r w:rsidRPr="00306F4D">
              <w:rPr>
                <w:rFonts w:ascii="Arial" w:eastAsia="Arial" w:hAnsi="Arial" w:cs="Arial"/>
                <w:b/>
                <w:sz w:val="18"/>
                <w:szCs w:val="18"/>
              </w:rPr>
              <w:t>Water Infrastructure:</w:t>
            </w:r>
            <w:r w:rsidRPr="00306F4D">
              <w:rPr>
                <w:rFonts w:ascii="Arial" w:eastAsia="Arial" w:hAnsi="Arial" w:cs="Arial"/>
                <w:sz w:val="18"/>
                <w:szCs w:val="18"/>
              </w:rPr>
              <w:t xml:space="preserve"> poor water-supply infrastructure, with high system losses</w:t>
            </w:r>
          </w:p>
          <w:p w14:paraId="4DEC1970" w14:textId="77777777" w:rsidR="00F00DC5" w:rsidRPr="00306F4D" w:rsidRDefault="1D489BBD" w:rsidP="49C6F20D">
            <w:pPr>
              <w:numPr>
                <w:ilvl w:val="0"/>
                <w:numId w:val="65"/>
              </w:numPr>
              <w:tabs>
                <w:tab w:val="num" w:pos="169"/>
              </w:tabs>
              <w:spacing w:before="240" w:after="240" w:line="240" w:lineRule="auto"/>
              <w:contextualSpacing/>
              <w:rPr>
                <w:rFonts w:ascii="Arial" w:eastAsia="Arial" w:hAnsi="Arial" w:cs="Arial"/>
                <w:sz w:val="18"/>
                <w:szCs w:val="18"/>
              </w:rPr>
            </w:pPr>
            <w:r w:rsidRPr="00306F4D">
              <w:rPr>
                <w:rFonts w:ascii="Arial" w:eastAsia="Arial" w:hAnsi="Arial" w:cs="Arial"/>
                <w:b/>
                <w:sz w:val="18"/>
                <w:szCs w:val="18"/>
              </w:rPr>
              <w:t>Energy:</w:t>
            </w:r>
            <w:r w:rsidRPr="00306F4D">
              <w:rPr>
                <w:rFonts w:ascii="Arial" w:eastAsia="Arial" w:hAnsi="Arial" w:cs="Arial"/>
                <w:sz w:val="18"/>
                <w:szCs w:val="18"/>
              </w:rPr>
              <w:t xml:space="preserve"> exposure of hydropower and thermal power facilities to decreases in discharge, river-flow seasonality, and rising river temperatures</w:t>
            </w:r>
          </w:p>
        </w:tc>
        <w:tc>
          <w:tcPr>
            <w:tcW w:w="3543" w:type="dxa"/>
            <w:tcBorders>
              <w:top w:val="single" w:sz="6" w:space="0" w:color="auto"/>
              <w:left w:val="single" w:sz="6" w:space="0" w:color="auto"/>
              <w:bottom w:val="single" w:sz="6" w:space="0" w:color="auto"/>
              <w:right w:val="double" w:sz="4" w:space="0" w:color="auto"/>
            </w:tcBorders>
            <w:hideMark/>
          </w:tcPr>
          <w:p w14:paraId="7598CEAD" w14:textId="77777777" w:rsidR="00F00DC5" w:rsidRPr="00306F4D" w:rsidRDefault="1D489BBD" w:rsidP="49C6F20D">
            <w:pPr>
              <w:numPr>
                <w:ilvl w:val="0"/>
                <w:numId w:val="65"/>
              </w:numPr>
              <w:tabs>
                <w:tab w:val="num" w:pos="169"/>
              </w:tabs>
              <w:spacing w:before="240" w:after="240" w:line="240" w:lineRule="auto"/>
              <w:contextualSpacing/>
              <w:rPr>
                <w:rFonts w:ascii="Arial" w:eastAsia="Arial" w:hAnsi="Arial" w:cs="Arial"/>
                <w:sz w:val="18"/>
                <w:szCs w:val="18"/>
              </w:rPr>
            </w:pPr>
            <w:r w:rsidRPr="00306F4D">
              <w:rPr>
                <w:rFonts w:ascii="Arial" w:eastAsia="Arial" w:hAnsi="Arial" w:cs="Arial"/>
                <w:sz w:val="18"/>
                <w:szCs w:val="18"/>
              </w:rPr>
              <w:t>Loss of crops, crop yields and livestock</w:t>
            </w:r>
          </w:p>
          <w:p w14:paraId="023DBFC2" w14:textId="77777777" w:rsidR="00F00DC5" w:rsidRPr="00306F4D" w:rsidRDefault="1D489BBD" w:rsidP="49C6F20D">
            <w:pPr>
              <w:numPr>
                <w:ilvl w:val="0"/>
                <w:numId w:val="65"/>
              </w:numPr>
              <w:tabs>
                <w:tab w:val="num" w:pos="169"/>
              </w:tabs>
              <w:spacing w:before="240" w:after="240" w:line="240" w:lineRule="auto"/>
              <w:contextualSpacing/>
              <w:rPr>
                <w:rFonts w:ascii="Arial" w:eastAsia="Arial" w:hAnsi="Arial" w:cs="Arial"/>
                <w:sz w:val="18"/>
                <w:szCs w:val="18"/>
              </w:rPr>
            </w:pPr>
            <w:r w:rsidRPr="00306F4D">
              <w:rPr>
                <w:rFonts w:ascii="Arial" w:eastAsia="Arial" w:hAnsi="Arial" w:cs="Arial"/>
                <w:sz w:val="18"/>
                <w:szCs w:val="18"/>
              </w:rPr>
              <w:t xml:space="preserve">Water shortages in urban areas </w:t>
            </w:r>
          </w:p>
          <w:p w14:paraId="15F2212A" w14:textId="77777777" w:rsidR="00F00DC5" w:rsidRPr="00306F4D" w:rsidRDefault="1D489BBD" w:rsidP="49C6F20D">
            <w:pPr>
              <w:numPr>
                <w:ilvl w:val="0"/>
                <w:numId w:val="65"/>
              </w:numPr>
              <w:tabs>
                <w:tab w:val="num" w:pos="169"/>
              </w:tabs>
              <w:spacing w:before="240" w:after="240" w:line="240" w:lineRule="auto"/>
              <w:contextualSpacing/>
              <w:rPr>
                <w:rFonts w:ascii="Arial" w:eastAsia="Arial" w:hAnsi="Arial" w:cs="Arial"/>
                <w:sz w:val="18"/>
                <w:szCs w:val="18"/>
              </w:rPr>
            </w:pPr>
            <w:r w:rsidRPr="00306F4D">
              <w:rPr>
                <w:rFonts w:ascii="Arial" w:eastAsia="Arial" w:hAnsi="Arial" w:cs="Arial"/>
                <w:sz w:val="18"/>
                <w:szCs w:val="18"/>
              </w:rPr>
              <w:t>Inability to meet energy demand during peak summer months</w:t>
            </w:r>
          </w:p>
          <w:p w14:paraId="04EEF7C5" w14:textId="77777777" w:rsidR="00F00DC5" w:rsidRPr="00306F4D" w:rsidRDefault="1D489BBD" w:rsidP="49C6F20D">
            <w:pPr>
              <w:numPr>
                <w:ilvl w:val="0"/>
                <w:numId w:val="65"/>
              </w:numPr>
              <w:tabs>
                <w:tab w:val="num" w:pos="169"/>
              </w:tabs>
              <w:spacing w:before="240" w:after="240" w:line="240" w:lineRule="auto"/>
              <w:contextualSpacing/>
              <w:rPr>
                <w:rFonts w:ascii="Arial" w:eastAsia="Arial" w:hAnsi="Arial" w:cs="Arial"/>
                <w:sz w:val="18"/>
                <w:szCs w:val="18"/>
              </w:rPr>
            </w:pPr>
            <w:r w:rsidRPr="00306F4D">
              <w:rPr>
                <w:rFonts w:ascii="Arial" w:eastAsia="Arial" w:hAnsi="Arial" w:cs="Arial"/>
                <w:sz w:val="18"/>
                <w:szCs w:val="18"/>
              </w:rPr>
              <w:t>Decreased energy security and supply</w:t>
            </w:r>
          </w:p>
        </w:tc>
      </w:tr>
      <w:tr w:rsidR="00F00DC5" w:rsidRPr="00306F4D" w14:paraId="7F1B67F5" w14:textId="77777777" w:rsidTr="0025418E">
        <w:trPr>
          <w:trHeight w:val="300"/>
        </w:trPr>
        <w:tc>
          <w:tcPr>
            <w:tcW w:w="10191" w:type="dxa"/>
            <w:gridSpan w:val="3"/>
            <w:tcBorders>
              <w:top w:val="single" w:sz="6" w:space="0" w:color="auto"/>
              <w:left w:val="double" w:sz="4" w:space="0" w:color="auto"/>
              <w:bottom w:val="single" w:sz="6" w:space="0" w:color="auto"/>
              <w:right w:val="double" w:sz="4" w:space="0" w:color="auto"/>
            </w:tcBorders>
            <w:shd w:val="clear" w:color="auto" w:fill="D9E2F3" w:themeFill="accent1" w:themeFillTint="33"/>
            <w:hideMark/>
          </w:tcPr>
          <w:p w14:paraId="51748B93" w14:textId="77777777" w:rsidR="00F00DC5" w:rsidRPr="00306F4D" w:rsidRDefault="1D489BBD" w:rsidP="49C6F20D">
            <w:pPr>
              <w:spacing w:before="240" w:after="240" w:line="240" w:lineRule="auto"/>
              <w:contextualSpacing/>
              <w:rPr>
                <w:rFonts w:ascii="Arial" w:eastAsia="Arial" w:hAnsi="Arial" w:cs="Arial"/>
                <w:b/>
                <w:sz w:val="18"/>
                <w:szCs w:val="18"/>
              </w:rPr>
            </w:pPr>
            <w:r w:rsidRPr="00306F4D">
              <w:rPr>
                <w:rFonts w:ascii="Arial" w:eastAsia="Arial" w:hAnsi="Arial" w:cs="Arial"/>
                <w:b/>
                <w:sz w:val="18"/>
                <w:szCs w:val="18"/>
              </w:rPr>
              <w:t>Floods</w:t>
            </w:r>
          </w:p>
        </w:tc>
      </w:tr>
      <w:tr w:rsidR="001C71A9" w:rsidRPr="00306F4D" w14:paraId="4C291F23" w14:textId="77777777" w:rsidTr="0025418E">
        <w:trPr>
          <w:trHeight w:val="1394"/>
        </w:trPr>
        <w:tc>
          <w:tcPr>
            <w:tcW w:w="1635" w:type="dxa"/>
            <w:tcBorders>
              <w:top w:val="single" w:sz="6" w:space="0" w:color="auto"/>
              <w:left w:val="double" w:sz="4" w:space="0" w:color="auto"/>
              <w:bottom w:val="double" w:sz="4" w:space="0" w:color="auto"/>
              <w:right w:val="single" w:sz="6" w:space="0" w:color="auto"/>
            </w:tcBorders>
            <w:hideMark/>
          </w:tcPr>
          <w:p w14:paraId="59700EE0" w14:textId="1A03D3FA" w:rsidR="00F00DC5" w:rsidRPr="00306F4D" w:rsidRDefault="1D489BBD" w:rsidP="49C6F20D">
            <w:pPr>
              <w:spacing w:before="240" w:after="240" w:line="240" w:lineRule="auto"/>
              <w:contextualSpacing/>
              <w:rPr>
                <w:rFonts w:ascii="Arial" w:eastAsia="Arial" w:hAnsi="Arial" w:cs="Arial"/>
                <w:b/>
                <w:sz w:val="18"/>
                <w:szCs w:val="18"/>
              </w:rPr>
            </w:pPr>
            <w:r w:rsidRPr="00306F4D">
              <w:rPr>
                <w:rFonts w:ascii="Arial" w:eastAsia="Arial" w:hAnsi="Arial" w:cs="Arial"/>
                <w:b/>
                <w:sz w:val="18"/>
                <w:szCs w:val="18"/>
              </w:rPr>
              <w:t xml:space="preserve">Increase in Frequency and Intensity of Floods </w:t>
            </w:r>
          </w:p>
        </w:tc>
        <w:tc>
          <w:tcPr>
            <w:tcW w:w="5013" w:type="dxa"/>
            <w:tcBorders>
              <w:top w:val="single" w:sz="6" w:space="0" w:color="auto"/>
              <w:left w:val="single" w:sz="6" w:space="0" w:color="auto"/>
              <w:bottom w:val="double" w:sz="4" w:space="0" w:color="auto"/>
              <w:right w:val="single" w:sz="6" w:space="0" w:color="auto"/>
            </w:tcBorders>
            <w:hideMark/>
          </w:tcPr>
          <w:p w14:paraId="3AF77E5E" w14:textId="77777777" w:rsidR="00F00DC5" w:rsidRPr="00306F4D" w:rsidRDefault="1D489BBD" w:rsidP="49C6F20D">
            <w:pPr>
              <w:numPr>
                <w:ilvl w:val="0"/>
                <w:numId w:val="65"/>
              </w:numPr>
              <w:tabs>
                <w:tab w:val="num" w:pos="169"/>
              </w:tabs>
              <w:spacing w:before="240" w:after="240" w:line="240" w:lineRule="auto"/>
              <w:contextualSpacing/>
              <w:rPr>
                <w:rFonts w:ascii="Arial" w:eastAsia="Arial" w:hAnsi="Arial" w:cs="Arial"/>
                <w:sz w:val="18"/>
                <w:szCs w:val="18"/>
              </w:rPr>
            </w:pPr>
            <w:r w:rsidRPr="00306F4D">
              <w:rPr>
                <w:rFonts w:ascii="Arial" w:eastAsia="Arial" w:hAnsi="Arial" w:cs="Arial"/>
                <w:b/>
                <w:sz w:val="18"/>
                <w:szCs w:val="18"/>
              </w:rPr>
              <w:t>Agriculture:</w:t>
            </w:r>
            <w:r w:rsidRPr="00306F4D">
              <w:rPr>
                <w:rFonts w:ascii="Arial" w:eastAsia="Arial" w:hAnsi="Arial" w:cs="Arial"/>
                <w:sz w:val="18"/>
                <w:szCs w:val="18"/>
              </w:rPr>
              <w:t xml:space="preserve"> high exposure of land, home, assets and property, rural and urban</w:t>
            </w:r>
          </w:p>
          <w:p w14:paraId="43B7B191" w14:textId="77777777" w:rsidR="00F00DC5" w:rsidRPr="00306F4D" w:rsidRDefault="1D489BBD" w:rsidP="49C6F20D">
            <w:pPr>
              <w:numPr>
                <w:ilvl w:val="0"/>
                <w:numId w:val="65"/>
              </w:numPr>
              <w:tabs>
                <w:tab w:val="num" w:pos="169"/>
              </w:tabs>
              <w:spacing w:before="240" w:after="240" w:line="240" w:lineRule="auto"/>
              <w:contextualSpacing/>
              <w:rPr>
                <w:rFonts w:ascii="Arial" w:eastAsia="Arial" w:hAnsi="Arial" w:cs="Arial"/>
                <w:sz w:val="18"/>
                <w:szCs w:val="18"/>
              </w:rPr>
            </w:pPr>
            <w:r w:rsidRPr="00306F4D">
              <w:rPr>
                <w:rFonts w:ascii="Arial" w:eastAsia="Arial" w:hAnsi="Arial" w:cs="Arial"/>
                <w:b/>
                <w:sz w:val="18"/>
                <w:szCs w:val="18"/>
              </w:rPr>
              <w:t>Energy:</w:t>
            </w:r>
            <w:r w:rsidRPr="00306F4D">
              <w:rPr>
                <w:rFonts w:ascii="Arial" w:eastAsia="Arial" w:hAnsi="Arial" w:cs="Arial"/>
                <w:sz w:val="18"/>
                <w:szCs w:val="18"/>
              </w:rPr>
              <w:t xml:space="preserve"> energy infrastructure</w:t>
            </w:r>
          </w:p>
          <w:p w14:paraId="7923E436" w14:textId="77777777" w:rsidR="00F00DC5" w:rsidRPr="00306F4D" w:rsidRDefault="1D489BBD" w:rsidP="49C6F20D">
            <w:pPr>
              <w:numPr>
                <w:ilvl w:val="0"/>
                <w:numId w:val="65"/>
              </w:numPr>
              <w:tabs>
                <w:tab w:val="num" w:pos="169"/>
              </w:tabs>
              <w:spacing w:before="240" w:after="240" w:line="240" w:lineRule="auto"/>
              <w:contextualSpacing/>
              <w:rPr>
                <w:rFonts w:ascii="Arial" w:eastAsia="Arial" w:hAnsi="Arial" w:cs="Arial"/>
                <w:sz w:val="18"/>
                <w:szCs w:val="18"/>
              </w:rPr>
            </w:pPr>
            <w:r w:rsidRPr="00306F4D">
              <w:rPr>
                <w:rFonts w:ascii="Arial" w:eastAsia="Arial" w:hAnsi="Arial" w:cs="Arial"/>
                <w:b/>
                <w:sz w:val="18"/>
                <w:szCs w:val="18"/>
              </w:rPr>
              <w:t>Dams:</w:t>
            </w:r>
            <w:r w:rsidRPr="00306F4D">
              <w:rPr>
                <w:rFonts w:ascii="Arial" w:eastAsia="Arial" w:hAnsi="Arial" w:cs="Arial"/>
                <w:sz w:val="18"/>
                <w:szCs w:val="18"/>
              </w:rPr>
              <w:t xml:space="preserve"> risk of failure of mining tailings dams containing toxins </w:t>
            </w:r>
          </w:p>
          <w:p w14:paraId="70F6D1F7" w14:textId="77777777" w:rsidR="00F00DC5" w:rsidRPr="00306F4D" w:rsidRDefault="1D489BBD" w:rsidP="49C6F20D">
            <w:pPr>
              <w:numPr>
                <w:ilvl w:val="0"/>
                <w:numId w:val="65"/>
              </w:numPr>
              <w:tabs>
                <w:tab w:val="num" w:pos="169"/>
              </w:tabs>
              <w:spacing w:before="240" w:after="240" w:line="240" w:lineRule="auto"/>
              <w:contextualSpacing/>
              <w:rPr>
                <w:rFonts w:ascii="Arial" w:eastAsia="Arial" w:hAnsi="Arial" w:cs="Arial"/>
                <w:sz w:val="18"/>
                <w:szCs w:val="18"/>
              </w:rPr>
            </w:pPr>
            <w:r w:rsidRPr="00306F4D">
              <w:rPr>
                <w:rFonts w:ascii="Arial" w:eastAsia="Arial" w:hAnsi="Arial" w:cs="Arial"/>
                <w:b/>
                <w:sz w:val="18"/>
                <w:szCs w:val="18"/>
              </w:rPr>
              <w:t>Landmines:</w:t>
            </w:r>
            <w:r w:rsidRPr="00306F4D">
              <w:rPr>
                <w:rFonts w:ascii="Arial" w:eastAsia="Arial" w:hAnsi="Arial" w:cs="Arial"/>
                <w:sz w:val="18"/>
                <w:szCs w:val="18"/>
              </w:rPr>
              <w:t xml:space="preserve"> risk of dislodging landmines</w:t>
            </w:r>
          </w:p>
        </w:tc>
        <w:tc>
          <w:tcPr>
            <w:tcW w:w="3543" w:type="dxa"/>
            <w:tcBorders>
              <w:top w:val="single" w:sz="6" w:space="0" w:color="auto"/>
              <w:left w:val="single" w:sz="6" w:space="0" w:color="auto"/>
              <w:bottom w:val="double" w:sz="4" w:space="0" w:color="auto"/>
              <w:right w:val="double" w:sz="4" w:space="0" w:color="auto"/>
            </w:tcBorders>
            <w:hideMark/>
          </w:tcPr>
          <w:p w14:paraId="47E1F5BA" w14:textId="77777777" w:rsidR="00F00DC5" w:rsidRPr="00306F4D" w:rsidRDefault="1D489BBD" w:rsidP="49C6F20D">
            <w:pPr>
              <w:numPr>
                <w:ilvl w:val="0"/>
                <w:numId w:val="65"/>
              </w:numPr>
              <w:tabs>
                <w:tab w:val="num" w:pos="169"/>
              </w:tabs>
              <w:spacing w:before="240" w:after="240" w:line="240" w:lineRule="auto"/>
              <w:contextualSpacing/>
              <w:rPr>
                <w:rFonts w:ascii="Arial" w:eastAsia="Arial" w:hAnsi="Arial" w:cs="Arial"/>
                <w:sz w:val="18"/>
                <w:szCs w:val="18"/>
              </w:rPr>
            </w:pPr>
            <w:r w:rsidRPr="00306F4D">
              <w:rPr>
                <w:rFonts w:ascii="Arial" w:eastAsia="Arial" w:hAnsi="Arial" w:cs="Arial"/>
                <w:sz w:val="18"/>
                <w:szCs w:val="18"/>
              </w:rPr>
              <w:t>Economic and livelihood losses at individual, community and national levels (budget, GDP, tax income)</w:t>
            </w:r>
          </w:p>
          <w:p w14:paraId="429CCA4B" w14:textId="77777777" w:rsidR="00F00DC5" w:rsidRPr="00306F4D" w:rsidRDefault="1D489BBD" w:rsidP="49C6F20D">
            <w:pPr>
              <w:numPr>
                <w:ilvl w:val="0"/>
                <w:numId w:val="65"/>
              </w:numPr>
              <w:tabs>
                <w:tab w:val="num" w:pos="169"/>
              </w:tabs>
              <w:spacing w:before="240" w:after="240" w:line="240" w:lineRule="auto"/>
              <w:contextualSpacing/>
              <w:rPr>
                <w:rFonts w:ascii="Arial" w:eastAsia="Arial" w:hAnsi="Arial" w:cs="Arial"/>
                <w:sz w:val="18"/>
                <w:szCs w:val="18"/>
              </w:rPr>
            </w:pPr>
            <w:r w:rsidRPr="00306F4D">
              <w:rPr>
                <w:rFonts w:ascii="Arial" w:eastAsia="Arial" w:hAnsi="Arial" w:cs="Arial"/>
                <w:sz w:val="18"/>
                <w:szCs w:val="18"/>
              </w:rPr>
              <w:t>Human and animal loss of life, displacement, disease</w:t>
            </w:r>
          </w:p>
          <w:p w14:paraId="14098467" w14:textId="77777777" w:rsidR="00F00DC5" w:rsidRPr="00306F4D" w:rsidRDefault="1D489BBD" w:rsidP="49C6F20D">
            <w:pPr>
              <w:numPr>
                <w:ilvl w:val="0"/>
                <w:numId w:val="65"/>
              </w:numPr>
              <w:tabs>
                <w:tab w:val="num" w:pos="169"/>
              </w:tabs>
              <w:spacing w:before="240" w:after="240" w:line="240" w:lineRule="auto"/>
              <w:contextualSpacing/>
              <w:rPr>
                <w:rFonts w:ascii="Arial" w:eastAsia="Arial" w:hAnsi="Arial" w:cs="Arial"/>
                <w:sz w:val="18"/>
                <w:szCs w:val="18"/>
              </w:rPr>
            </w:pPr>
            <w:r w:rsidRPr="00306F4D">
              <w:rPr>
                <w:rFonts w:ascii="Arial" w:eastAsia="Arial" w:hAnsi="Arial" w:cs="Arial"/>
                <w:sz w:val="18"/>
                <w:szCs w:val="18"/>
              </w:rPr>
              <w:t>Loss of habitats, ecosystem services, clean water</w:t>
            </w:r>
          </w:p>
        </w:tc>
      </w:tr>
    </w:tbl>
    <w:p w14:paraId="0155A039" w14:textId="187E4549" w:rsidR="0030057F" w:rsidRPr="00306F4D" w:rsidRDefault="79BFE3E4" w:rsidP="338C5E83">
      <w:pPr>
        <w:spacing w:before="240" w:after="240" w:line="276" w:lineRule="auto"/>
        <w:jc w:val="center"/>
        <w:rPr>
          <w:rFonts w:ascii="Arial" w:eastAsia="Arial" w:hAnsi="Arial" w:cs="Arial"/>
          <w:b/>
          <w:bCs/>
          <w:sz w:val="16"/>
          <w:szCs w:val="16"/>
        </w:rPr>
      </w:pPr>
      <w:r w:rsidRPr="00306F4D">
        <w:rPr>
          <w:rFonts w:ascii="Arial" w:eastAsia="Arial" w:hAnsi="Arial" w:cs="Arial"/>
          <w:b/>
          <w:bCs/>
          <w:sz w:val="16"/>
          <w:szCs w:val="16"/>
        </w:rPr>
        <w:t xml:space="preserve">Table </w:t>
      </w:r>
      <w:r w:rsidR="0030057F" w:rsidRPr="00306F4D">
        <w:rPr>
          <w:rFonts w:ascii="Arial" w:eastAsia="Arial" w:hAnsi="Arial" w:cs="Arial"/>
          <w:b/>
          <w:bCs/>
          <w:sz w:val="16"/>
          <w:szCs w:val="16"/>
        </w:rPr>
        <w:fldChar w:fldCharType="begin"/>
      </w:r>
      <w:r w:rsidR="0030057F" w:rsidRPr="00306F4D">
        <w:rPr>
          <w:rFonts w:ascii="Arial" w:eastAsia="Arial" w:hAnsi="Arial" w:cs="Arial"/>
          <w:b/>
          <w:bCs/>
          <w:sz w:val="16"/>
          <w:szCs w:val="16"/>
        </w:rPr>
        <w:instrText xml:space="preserve"> SEQ Table \* ARABIC </w:instrText>
      </w:r>
      <w:r w:rsidR="0030057F" w:rsidRPr="00306F4D">
        <w:rPr>
          <w:rFonts w:ascii="Arial" w:eastAsia="Arial" w:hAnsi="Arial" w:cs="Arial"/>
          <w:b/>
          <w:bCs/>
          <w:sz w:val="16"/>
          <w:szCs w:val="16"/>
        </w:rPr>
        <w:fldChar w:fldCharType="separate"/>
      </w:r>
      <w:r w:rsidRPr="00306F4D">
        <w:rPr>
          <w:rFonts w:ascii="Arial" w:eastAsia="Arial" w:hAnsi="Arial" w:cs="Arial"/>
          <w:b/>
          <w:bCs/>
          <w:sz w:val="16"/>
          <w:szCs w:val="16"/>
        </w:rPr>
        <w:t>1</w:t>
      </w:r>
      <w:r w:rsidR="0030057F" w:rsidRPr="00306F4D">
        <w:rPr>
          <w:rFonts w:ascii="Arial" w:eastAsia="Arial" w:hAnsi="Arial" w:cs="Arial"/>
          <w:sz w:val="16"/>
          <w:szCs w:val="16"/>
          <w:lang w:val="en-GB"/>
        </w:rPr>
        <w:fldChar w:fldCharType="end"/>
      </w:r>
      <w:r w:rsidR="4A271FE4" w:rsidRPr="00306F4D">
        <w:rPr>
          <w:rFonts w:ascii="Arial" w:eastAsia="Arial" w:hAnsi="Arial" w:cs="Arial"/>
          <w:b/>
          <w:bCs/>
          <w:sz w:val="16"/>
          <w:szCs w:val="16"/>
        </w:rPr>
        <w:t>. Summary of Climate Risks in Western Balkans Region and their Vulnerabilities and Potential Impact</w:t>
      </w:r>
      <w:r w:rsidR="03E2FD42" w:rsidRPr="00306F4D">
        <w:rPr>
          <w:rFonts w:ascii="Arial" w:eastAsia="Arial" w:hAnsi="Arial" w:cs="Arial"/>
          <w:b/>
          <w:bCs/>
          <w:sz w:val="16"/>
          <w:szCs w:val="16"/>
        </w:rPr>
        <w:t>.</w:t>
      </w:r>
      <w:bookmarkStart w:id="35" w:name="_Toc1094438520"/>
      <w:bookmarkStart w:id="36" w:name="_Toc1257811707"/>
    </w:p>
    <w:p w14:paraId="1793FB9E" w14:textId="77777777" w:rsidR="00A97843" w:rsidRPr="00306F4D" w:rsidRDefault="00A97843" w:rsidP="338C5E83">
      <w:pPr>
        <w:spacing w:before="240" w:after="240" w:line="276" w:lineRule="auto"/>
        <w:jc w:val="center"/>
        <w:rPr>
          <w:rFonts w:ascii="Arial" w:eastAsia="Arial" w:hAnsi="Arial" w:cs="Arial"/>
          <w:b/>
          <w:bCs/>
          <w:sz w:val="16"/>
          <w:szCs w:val="16"/>
          <w:lang w:val="en-GB"/>
        </w:rPr>
      </w:pPr>
    </w:p>
    <w:p w14:paraId="70FB1AF6" w14:textId="1BAAC509" w:rsidR="009E06A6" w:rsidRPr="00306F4D" w:rsidRDefault="1A7035E5" w:rsidP="00DD1320">
      <w:pPr>
        <w:pStyle w:val="Heading3"/>
        <w:rPr>
          <w:rStyle w:val="Heading3Char"/>
          <w:rFonts w:ascii="Arial" w:eastAsia="Arial" w:hAnsi="Arial" w:cs="Arial"/>
          <w:b/>
          <w:sz w:val="20"/>
          <w:szCs w:val="20"/>
          <w:lang w:val="en-GB"/>
        </w:rPr>
      </w:pPr>
      <w:r w:rsidRPr="00306F4D">
        <w:rPr>
          <w:rStyle w:val="Heading3Char"/>
          <w:rFonts w:ascii="Arial" w:eastAsia="Arial" w:hAnsi="Arial" w:cs="Arial"/>
          <w:b/>
          <w:sz w:val="20"/>
          <w:szCs w:val="20"/>
          <w:lang w:val="en-GB"/>
        </w:rPr>
        <w:lastRenderedPageBreak/>
        <w:t xml:space="preserve">Country-Specific </w:t>
      </w:r>
      <w:r w:rsidR="42A504B8" w:rsidRPr="00306F4D">
        <w:rPr>
          <w:rStyle w:val="Heading3Char"/>
          <w:rFonts w:ascii="Arial" w:eastAsia="Arial" w:hAnsi="Arial" w:cs="Arial"/>
          <w:b/>
          <w:sz w:val="20"/>
          <w:szCs w:val="20"/>
          <w:lang w:val="en-GB"/>
        </w:rPr>
        <w:t>Climate Information</w:t>
      </w:r>
      <w:bookmarkEnd w:id="35"/>
      <w:bookmarkEnd w:id="36"/>
      <w:r w:rsidR="490EB2E1" w:rsidRPr="00306F4D">
        <w:rPr>
          <w:rStyle w:val="Heading3Char"/>
          <w:rFonts w:ascii="Arial" w:eastAsia="Arial" w:hAnsi="Arial" w:cs="Arial"/>
          <w:b/>
          <w:sz w:val="20"/>
          <w:szCs w:val="20"/>
          <w:lang w:val="en-GB"/>
        </w:rPr>
        <w:t xml:space="preserve"> and Adaptation Priorities</w:t>
      </w:r>
    </w:p>
    <w:p w14:paraId="18039FEF" w14:textId="692639E4" w:rsidR="008D188F" w:rsidRPr="00306F4D" w:rsidRDefault="6C86491A" w:rsidP="72628165">
      <w:pPr>
        <w:spacing w:before="240" w:after="240" w:line="276" w:lineRule="auto"/>
        <w:jc w:val="both"/>
        <w:rPr>
          <w:rFonts w:ascii="Arial" w:eastAsia="Arial" w:hAnsi="Arial" w:cs="Arial"/>
          <w:color w:val="000000" w:themeColor="text1"/>
          <w:sz w:val="20"/>
          <w:szCs w:val="20"/>
        </w:rPr>
      </w:pPr>
      <w:r w:rsidRPr="00306F4D">
        <w:rPr>
          <w:rFonts w:ascii="Arial" w:eastAsia="Arial" w:hAnsi="Arial" w:cs="Arial"/>
          <w:color w:val="000000" w:themeColor="text1"/>
          <w:sz w:val="20"/>
          <w:szCs w:val="20"/>
        </w:rPr>
        <w:t xml:space="preserve">Please refer to </w:t>
      </w:r>
      <w:r w:rsidRPr="00306F4D">
        <w:rPr>
          <w:rFonts w:ascii="Arial" w:eastAsia="Arial" w:hAnsi="Arial" w:cs="Arial"/>
          <w:b/>
          <w:bCs/>
          <w:color w:val="000000" w:themeColor="text1"/>
          <w:sz w:val="20"/>
          <w:szCs w:val="20"/>
        </w:rPr>
        <w:t>Annex 10</w:t>
      </w:r>
      <w:r w:rsidRPr="00306F4D">
        <w:rPr>
          <w:rFonts w:ascii="Arial" w:eastAsia="Arial" w:hAnsi="Arial" w:cs="Arial"/>
          <w:color w:val="000000" w:themeColor="text1"/>
          <w:sz w:val="20"/>
          <w:szCs w:val="20"/>
        </w:rPr>
        <w:t xml:space="preserve"> for detailed country specific analysis of climate change</w:t>
      </w:r>
      <w:r w:rsidR="3A74748E" w:rsidRPr="00306F4D">
        <w:rPr>
          <w:rFonts w:ascii="Arial" w:eastAsia="Arial" w:hAnsi="Arial" w:cs="Arial"/>
          <w:color w:val="000000" w:themeColor="text1"/>
          <w:sz w:val="20"/>
          <w:szCs w:val="20"/>
        </w:rPr>
        <w:t xml:space="preserve"> trends</w:t>
      </w:r>
      <w:r w:rsidRPr="00306F4D">
        <w:rPr>
          <w:rFonts w:ascii="Arial" w:eastAsia="Arial" w:hAnsi="Arial" w:cs="Arial"/>
          <w:color w:val="000000" w:themeColor="text1"/>
          <w:sz w:val="20"/>
          <w:szCs w:val="20"/>
        </w:rPr>
        <w:t>, climate risk</w:t>
      </w:r>
      <w:r w:rsidR="3A74748E" w:rsidRPr="00306F4D">
        <w:rPr>
          <w:rFonts w:ascii="Arial" w:eastAsia="Arial" w:hAnsi="Arial" w:cs="Arial"/>
          <w:color w:val="000000" w:themeColor="text1"/>
          <w:sz w:val="20"/>
          <w:szCs w:val="20"/>
        </w:rPr>
        <w:t>s</w:t>
      </w:r>
      <w:r w:rsidRPr="00306F4D">
        <w:rPr>
          <w:rFonts w:ascii="Arial" w:eastAsia="Arial" w:hAnsi="Arial" w:cs="Arial"/>
          <w:color w:val="000000" w:themeColor="text1"/>
          <w:sz w:val="20"/>
          <w:szCs w:val="20"/>
        </w:rPr>
        <w:t xml:space="preserve"> and adaptation priorities </w:t>
      </w:r>
      <w:r w:rsidR="5B6D0F22" w:rsidRPr="00306F4D">
        <w:rPr>
          <w:rFonts w:ascii="Arial" w:eastAsia="Arial" w:hAnsi="Arial" w:cs="Arial"/>
          <w:color w:val="000000" w:themeColor="text1"/>
          <w:sz w:val="20"/>
          <w:szCs w:val="20"/>
        </w:rPr>
        <w:t>in four project countries: Bosnia</w:t>
      </w:r>
      <w:r w:rsidR="302AF180" w:rsidRPr="00306F4D">
        <w:rPr>
          <w:rFonts w:ascii="Arial" w:eastAsia="Arial" w:hAnsi="Arial" w:cs="Arial"/>
          <w:color w:val="000000" w:themeColor="text1"/>
          <w:sz w:val="20"/>
          <w:szCs w:val="20"/>
        </w:rPr>
        <w:t xml:space="preserve"> and Herzegovina, Montenegro, North Macedonia and Serbia.  </w:t>
      </w:r>
    </w:p>
    <w:p w14:paraId="77BF79FB" w14:textId="3B3C6BE2" w:rsidR="6CE69D08" w:rsidRPr="00306F4D" w:rsidRDefault="1D903FCC" w:rsidP="6CE69D08">
      <w:pPr>
        <w:spacing w:before="240" w:after="240" w:line="276" w:lineRule="auto"/>
        <w:jc w:val="both"/>
        <w:rPr>
          <w:rFonts w:ascii="Arial" w:eastAsia="Arial" w:hAnsi="Arial" w:cs="Arial"/>
          <w:color w:val="0070C0"/>
          <w:sz w:val="20"/>
          <w:szCs w:val="20"/>
          <w:u w:val="single"/>
          <w:lang w:val="en-GB"/>
        </w:rPr>
      </w:pPr>
      <w:r w:rsidRPr="00306F4D">
        <w:rPr>
          <w:rFonts w:ascii="Arial" w:eastAsia="Arial" w:hAnsi="Arial" w:cs="Arial"/>
          <w:b/>
          <w:color w:val="0070C0"/>
          <w:sz w:val="20"/>
          <w:szCs w:val="20"/>
          <w:u w:val="single"/>
          <w:lang w:val="en-GB"/>
        </w:rPr>
        <w:t>Bosnia and Herzegovina</w:t>
      </w:r>
    </w:p>
    <w:p w14:paraId="72965FC0" w14:textId="3BCC331B" w:rsidR="00391505" w:rsidRPr="00306F4D" w:rsidDel="00247F9A" w:rsidRDefault="543C12CC" w:rsidP="00391505">
      <w:pPr>
        <w:tabs>
          <w:tab w:val="left" w:pos="360"/>
        </w:tabs>
        <w:spacing w:before="120" w:after="240"/>
        <w:jc w:val="both"/>
        <w:rPr>
          <w:rFonts w:ascii="Arial" w:eastAsia="Arial" w:hAnsi="Arial" w:cs="Arial"/>
          <w:color w:val="000000" w:themeColor="text1"/>
          <w:sz w:val="20"/>
          <w:szCs w:val="20"/>
          <w:lang w:val="en-GB"/>
        </w:rPr>
      </w:pPr>
      <w:r w:rsidRPr="00306F4D">
        <w:rPr>
          <w:rFonts w:ascii="Arial" w:eastAsia="Arial" w:hAnsi="Arial" w:cs="Arial"/>
          <w:color w:val="000000" w:themeColor="text1"/>
          <w:sz w:val="20"/>
          <w:szCs w:val="20"/>
          <w:lang w:val="en-GB"/>
        </w:rPr>
        <w:t>In its National Adaptation Plan (NAP</w:t>
      </w:r>
      <w:r w:rsidR="6FDF1BCF" w:rsidRPr="00306F4D">
        <w:rPr>
          <w:rFonts w:ascii="Arial" w:eastAsia="Arial" w:hAnsi="Arial" w:cs="Arial"/>
          <w:color w:val="000000" w:themeColor="text1"/>
          <w:sz w:val="20"/>
          <w:szCs w:val="20"/>
          <w:lang w:val="en-GB"/>
        </w:rPr>
        <w:t>),</w:t>
      </w:r>
      <w:r w:rsidR="3B5DA32E" w:rsidRPr="00306F4D">
        <w:rPr>
          <w:rFonts w:ascii="Arial" w:eastAsia="Arial" w:hAnsi="Arial" w:cs="Arial"/>
          <w:color w:val="000000" w:themeColor="text1"/>
          <w:sz w:val="20"/>
          <w:szCs w:val="20"/>
          <w:vertAlign w:val="superscript"/>
          <w:lang w:val="en-GB"/>
        </w:rPr>
        <w:footnoteReference w:id="88"/>
      </w:r>
      <w:r w:rsidRPr="00306F4D">
        <w:rPr>
          <w:rFonts w:ascii="Arial" w:eastAsia="Arial" w:hAnsi="Arial" w:cs="Arial"/>
          <w:color w:val="000000" w:themeColor="text1"/>
          <w:sz w:val="20"/>
          <w:szCs w:val="20"/>
          <w:lang w:val="en-GB"/>
        </w:rPr>
        <w:t xml:space="preserve"> hereafter </w:t>
      </w:r>
      <w:r w:rsidR="3CB60815" w:rsidRPr="00306F4D">
        <w:rPr>
          <w:rFonts w:ascii="Arial" w:eastAsia="Arial" w:hAnsi="Arial" w:cs="Arial"/>
          <w:color w:val="000000" w:themeColor="text1"/>
          <w:sz w:val="20"/>
          <w:szCs w:val="20"/>
          <w:lang w:val="en-GB"/>
        </w:rPr>
        <w:t xml:space="preserve">BiH </w:t>
      </w:r>
      <w:r w:rsidRPr="00306F4D">
        <w:rPr>
          <w:rFonts w:ascii="Arial" w:eastAsia="Arial" w:hAnsi="Arial" w:cs="Arial"/>
          <w:color w:val="000000" w:themeColor="text1"/>
          <w:sz w:val="20"/>
          <w:szCs w:val="20"/>
          <w:lang w:val="en-GB"/>
        </w:rPr>
        <w:t xml:space="preserve">NAP (2021), Bosnia and Herzegovina </w:t>
      </w:r>
      <w:r w:rsidR="291B9EDE" w:rsidRPr="00306F4D">
        <w:rPr>
          <w:rFonts w:ascii="Arial" w:eastAsia="Arial" w:hAnsi="Arial" w:cs="Arial"/>
          <w:color w:val="000000" w:themeColor="text1"/>
          <w:sz w:val="20"/>
          <w:szCs w:val="20"/>
          <w:lang w:val="en-GB"/>
        </w:rPr>
        <w:t xml:space="preserve">analysed </w:t>
      </w:r>
      <w:r w:rsidRPr="00306F4D">
        <w:rPr>
          <w:rFonts w:ascii="Arial" w:eastAsia="Arial" w:hAnsi="Arial" w:cs="Arial"/>
          <w:color w:val="000000" w:themeColor="text1"/>
          <w:sz w:val="20"/>
          <w:szCs w:val="20"/>
          <w:lang w:val="en-GB"/>
        </w:rPr>
        <w:t xml:space="preserve">key drivers </w:t>
      </w:r>
      <w:r w:rsidR="2EC7FE3B" w:rsidRPr="00306F4D">
        <w:rPr>
          <w:rFonts w:ascii="Arial" w:eastAsia="Arial" w:hAnsi="Arial" w:cs="Arial"/>
          <w:color w:val="000000" w:themeColor="text1"/>
          <w:sz w:val="20"/>
          <w:szCs w:val="20"/>
          <w:lang w:val="en-GB"/>
        </w:rPr>
        <w:t xml:space="preserve">and impacts </w:t>
      </w:r>
      <w:r w:rsidRPr="00306F4D">
        <w:rPr>
          <w:rFonts w:ascii="Arial" w:eastAsia="Arial" w:hAnsi="Arial" w:cs="Arial"/>
          <w:color w:val="000000" w:themeColor="text1"/>
          <w:sz w:val="20"/>
          <w:szCs w:val="20"/>
          <w:lang w:val="en-GB"/>
        </w:rPr>
        <w:t xml:space="preserve">of climate </w:t>
      </w:r>
      <w:proofErr w:type="gramStart"/>
      <w:r w:rsidRPr="00306F4D">
        <w:rPr>
          <w:rFonts w:ascii="Arial" w:eastAsia="Arial" w:hAnsi="Arial" w:cs="Arial"/>
          <w:color w:val="000000" w:themeColor="text1"/>
          <w:sz w:val="20"/>
          <w:szCs w:val="20"/>
          <w:lang w:val="en-GB"/>
        </w:rPr>
        <w:t>change, and</w:t>
      </w:r>
      <w:proofErr w:type="gramEnd"/>
      <w:r w:rsidRPr="00306F4D">
        <w:rPr>
          <w:rFonts w:ascii="Arial" w:eastAsia="Arial" w:hAnsi="Arial" w:cs="Arial"/>
          <w:color w:val="000000" w:themeColor="text1"/>
          <w:sz w:val="20"/>
          <w:szCs w:val="20"/>
          <w:lang w:val="en-GB"/>
        </w:rPr>
        <w:t xml:space="preserve"> </w:t>
      </w:r>
      <w:r w:rsidR="40D6399C" w:rsidRPr="00306F4D">
        <w:rPr>
          <w:rFonts w:ascii="Arial" w:eastAsia="Arial" w:hAnsi="Arial" w:cs="Arial"/>
          <w:color w:val="000000" w:themeColor="text1"/>
          <w:sz w:val="20"/>
          <w:szCs w:val="20"/>
          <w:lang w:val="en-GB"/>
        </w:rPr>
        <w:t xml:space="preserve">proposed </w:t>
      </w:r>
      <w:r w:rsidR="361AA778" w:rsidRPr="00306F4D">
        <w:rPr>
          <w:rFonts w:ascii="Arial" w:eastAsia="Arial" w:hAnsi="Arial" w:cs="Arial"/>
          <w:color w:val="000000" w:themeColor="text1"/>
          <w:sz w:val="20"/>
          <w:szCs w:val="20"/>
          <w:lang w:val="en-GB"/>
        </w:rPr>
        <w:t>5</w:t>
      </w:r>
      <w:r w:rsidR="262E12CE" w:rsidRPr="00306F4D">
        <w:rPr>
          <w:rFonts w:ascii="Arial" w:eastAsia="Arial" w:hAnsi="Arial" w:cs="Arial"/>
          <w:color w:val="000000" w:themeColor="text1"/>
          <w:sz w:val="20"/>
          <w:szCs w:val="20"/>
          <w:lang w:val="en-GB"/>
        </w:rPr>
        <w:t>1</w:t>
      </w:r>
      <w:r w:rsidRPr="00306F4D">
        <w:rPr>
          <w:rFonts w:ascii="Arial" w:eastAsia="Arial" w:hAnsi="Arial" w:cs="Arial"/>
          <w:color w:val="000000" w:themeColor="text1"/>
          <w:sz w:val="20"/>
          <w:szCs w:val="20"/>
          <w:lang w:val="en-GB"/>
        </w:rPr>
        <w:t xml:space="preserve"> priority adaptation measures for the five most climate-vulnerable sectors</w:t>
      </w:r>
      <w:r w:rsidR="16B6CECF" w:rsidRPr="00306F4D">
        <w:rPr>
          <w:rFonts w:ascii="Arial" w:eastAsia="Arial" w:hAnsi="Arial" w:cs="Arial"/>
          <w:color w:val="000000" w:themeColor="text1"/>
          <w:sz w:val="20"/>
          <w:szCs w:val="20"/>
          <w:lang w:val="en-GB"/>
        </w:rPr>
        <w:t>:</w:t>
      </w:r>
      <w:r w:rsidRPr="00306F4D">
        <w:rPr>
          <w:rFonts w:ascii="Arial" w:eastAsia="Arial" w:hAnsi="Arial" w:cs="Arial"/>
          <w:color w:val="000000" w:themeColor="text1"/>
          <w:sz w:val="20"/>
          <w:szCs w:val="20"/>
          <w:lang w:val="en-GB"/>
        </w:rPr>
        <w:t xml:space="preserve"> </w:t>
      </w:r>
      <w:r w:rsidRPr="00306F4D">
        <w:rPr>
          <w:rFonts w:ascii="Arial" w:eastAsia="Arial" w:hAnsi="Arial" w:cs="Arial"/>
          <w:b/>
          <w:bCs/>
          <w:color w:val="000000" w:themeColor="text1"/>
          <w:sz w:val="20"/>
          <w:szCs w:val="20"/>
          <w:lang w:val="en-GB"/>
        </w:rPr>
        <w:t>agriculture, water resources, biodiversity and forestry, human health and tourism</w:t>
      </w:r>
      <w:r w:rsidRPr="00306F4D">
        <w:rPr>
          <w:rFonts w:ascii="Arial" w:eastAsia="Arial" w:hAnsi="Arial" w:cs="Arial"/>
          <w:color w:val="000000" w:themeColor="text1"/>
          <w:sz w:val="20"/>
          <w:szCs w:val="20"/>
          <w:lang w:val="en-GB"/>
        </w:rPr>
        <w:t>.</w:t>
      </w:r>
      <w:r w:rsidR="2C0D2EFA" w:rsidRPr="00306F4D">
        <w:rPr>
          <w:rFonts w:ascii="Arial" w:eastAsia="Arial" w:hAnsi="Arial" w:cs="Arial"/>
          <w:color w:val="000000" w:themeColor="text1"/>
          <w:sz w:val="20"/>
          <w:szCs w:val="20"/>
          <w:lang w:val="en-GB"/>
        </w:rPr>
        <w:t xml:space="preserve"> Based on previous research on climate and climate change, the biggest changes were identified in the southern, northern and north-western parts of Bosnia and Herzegovina. These include an increase in the intensity and frequency of extreme climate events (floods, droughts, violent windstorms, days with hail, prolonged heat waves, extreme temperatures, etc.). In the last two decades, some of these extremes have occurred each year, and in some places multiple extreme events have occurred. Previous research has shown increasing climate variability in all seasons in the territory of Bosnia and Herzegovina. Rapid and intense changes occur over short periods of time – from extremely cold to warm weather, or from periods of extremely heavy rainfall to very dry spells.</w:t>
      </w:r>
      <w:r w:rsidR="00391505" w:rsidRPr="00306F4D">
        <w:rPr>
          <w:rFonts w:ascii="Arial" w:eastAsia="Arial" w:hAnsi="Arial" w:cs="Arial"/>
          <w:sz w:val="20"/>
          <w:szCs w:val="20"/>
          <w:vertAlign w:val="superscript"/>
        </w:rPr>
        <w:footnoteReference w:id="89"/>
      </w:r>
      <w:r w:rsidR="20D99209" w:rsidRPr="00306F4D">
        <w:rPr>
          <w:rFonts w:ascii="Arial" w:eastAsia="Arial" w:hAnsi="Arial" w:cs="Arial"/>
          <w:color w:val="000000" w:themeColor="text1"/>
          <w:sz w:val="20"/>
          <w:szCs w:val="20"/>
          <w:lang w:val="en-GB"/>
        </w:rPr>
        <w:t xml:space="preserve"> </w:t>
      </w:r>
      <w:r w:rsidR="16B6CECF" w:rsidRPr="00306F4D">
        <w:rPr>
          <w:rFonts w:ascii="Arial" w:eastAsia="Arial" w:hAnsi="Arial" w:cs="Arial"/>
          <w:color w:val="000000" w:themeColor="text1"/>
          <w:sz w:val="20"/>
          <w:szCs w:val="20"/>
          <w:lang w:val="en-GB"/>
        </w:rPr>
        <w:t>Water systems are expected to be exposed to the impacts associated with climate change, and the projected changes in precipitation and air temperature are expected to adversely affect the current water resources management system in Bosnia and Herzegovina.</w:t>
      </w:r>
      <w:r w:rsidR="6F1D60B4" w:rsidRPr="00306F4D">
        <w:rPr>
          <w:rFonts w:ascii="Arial" w:eastAsia="Arial" w:hAnsi="Arial" w:cs="Arial"/>
          <w:color w:val="000000" w:themeColor="text1"/>
          <w:sz w:val="20"/>
          <w:szCs w:val="20"/>
          <w:lang w:val="en-GB"/>
        </w:rPr>
        <w:t xml:space="preserve"> In recent decades the country has seen an increase in the frequency of extreme droughts and floods. </w:t>
      </w:r>
      <w:r w:rsidR="1F0058B6" w:rsidRPr="00306F4D">
        <w:rPr>
          <w:rFonts w:ascii="Arial" w:eastAsia="Arial" w:hAnsi="Arial" w:cs="Arial"/>
          <w:sz w:val="20"/>
          <w:szCs w:val="20"/>
          <w:lang w:val="en-GB"/>
        </w:rPr>
        <w:t>Climate change in Bosnia and Herzegovina is having an increasing impact on human health.</w:t>
      </w:r>
      <w:r w:rsidR="621B9615" w:rsidRPr="00306F4D">
        <w:rPr>
          <w:rFonts w:ascii="Arial" w:eastAsia="Arial" w:hAnsi="Arial" w:cs="Arial"/>
          <w:sz w:val="20"/>
          <w:szCs w:val="20"/>
          <w:vertAlign w:val="superscript"/>
          <w:lang w:val="en-GB"/>
        </w:rPr>
        <w:footnoteReference w:id="90"/>
      </w:r>
      <w:r w:rsidR="1F0058B6" w:rsidRPr="00306F4D">
        <w:rPr>
          <w:rFonts w:ascii="Arial" w:eastAsia="Arial" w:hAnsi="Arial" w:cs="Arial"/>
          <w:sz w:val="20"/>
          <w:szCs w:val="20"/>
          <w:lang w:val="en-GB"/>
        </w:rPr>
        <w:t xml:space="preserve"> This impact is </w:t>
      </w:r>
      <w:r w:rsidR="1F0058B6" w:rsidRPr="00306F4D">
        <w:rPr>
          <w:rFonts w:ascii="Arial" w:eastAsia="Arial" w:hAnsi="Arial" w:cs="Arial"/>
          <w:color w:val="000000" w:themeColor="text1"/>
          <w:sz w:val="20"/>
          <w:szCs w:val="20"/>
          <w:lang w:val="en-GB"/>
        </w:rPr>
        <w:t>predominantly manifested through sudden changes in extreme weather conditions. These changes are closely associated with blood pressure oscillations and cardiovascular and neurological problems, especially in vulnerable groups (chronic patients, the elderly, etc.). Moreover, extreme events such as floods may cause the spread of water-borne diseases.</w:t>
      </w:r>
      <w:r w:rsidR="621B9615" w:rsidRPr="00306F4D">
        <w:rPr>
          <w:rFonts w:ascii="Arial" w:eastAsia="Arial" w:hAnsi="Arial" w:cs="Arial"/>
          <w:color w:val="000000" w:themeColor="text1"/>
          <w:sz w:val="20"/>
          <w:szCs w:val="20"/>
          <w:vertAlign w:val="superscript"/>
          <w:lang w:val="en-GB"/>
        </w:rPr>
        <w:footnoteReference w:id="91"/>
      </w:r>
    </w:p>
    <w:p w14:paraId="003C5914" w14:textId="74E6BBA0" w:rsidR="002E52A0" w:rsidRPr="00306F4D" w:rsidRDefault="6AF7931C" w:rsidP="02E2BB75">
      <w:pPr>
        <w:tabs>
          <w:tab w:val="left" w:pos="360"/>
        </w:tabs>
        <w:spacing w:before="120" w:after="240" w:line="276" w:lineRule="auto"/>
        <w:jc w:val="both"/>
        <w:rPr>
          <w:rFonts w:ascii="Arial" w:eastAsia="Arial" w:hAnsi="Arial" w:cs="Arial"/>
          <w:color w:val="0070C0"/>
          <w:sz w:val="20"/>
          <w:szCs w:val="20"/>
          <w:u w:val="single"/>
          <w:lang w:val="en-GB"/>
        </w:rPr>
      </w:pPr>
      <w:r w:rsidRPr="00306F4D">
        <w:rPr>
          <w:rFonts w:ascii="Arial" w:eastAsia="Arial" w:hAnsi="Arial" w:cs="Arial"/>
          <w:b/>
          <w:bCs/>
          <w:color w:val="0070C0"/>
          <w:sz w:val="20"/>
          <w:szCs w:val="20"/>
          <w:u w:val="single"/>
          <w:lang w:val="en-GB"/>
        </w:rPr>
        <w:t>Montenegro</w:t>
      </w:r>
    </w:p>
    <w:p w14:paraId="668BDBF8" w14:textId="3850955F" w:rsidR="002E52A0" w:rsidRPr="00306F4D" w:rsidRDefault="73D48F31" w:rsidP="338C5E83">
      <w:pPr>
        <w:spacing w:before="240" w:after="240" w:line="276" w:lineRule="auto"/>
        <w:jc w:val="both"/>
        <w:rPr>
          <w:rFonts w:ascii="Arial" w:eastAsia="Arial" w:hAnsi="Arial" w:cs="Arial"/>
          <w:sz w:val="20"/>
          <w:szCs w:val="20"/>
        </w:rPr>
      </w:pPr>
      <w:r w:rsidRPr="00306F4D">
        <w:rPr>
          <w:rFonts w:ascii="Arial" w:eastAsia="Arial" w:hAnsi="Arial" w:cs="Arial"/>
          <w:sz w:val="20"/>
          <w:szCs w:val="20"/>
        </w:rPr>
        <w:t>Montenegro is increasingly vulnerable to a range of climate-related hazards that threaten its natural ecosystems, socio-economic sectors, and the well-being of its population. The country’s mountainous terrain, Mediterranean-continental climate, and high biodiversity intensify the complexity of its climate vulnerabilities.</w:t>
      </w:r>
      <w:r w:rsidR="517EAB7F" w:rsidRPr="00306F4D">
        <w:rPr>
          <w:rFonts w:ascii="Arial" w:eastAsia="Arial" w:hAnsi="Arial" w:cs="Arial"/>
          <w:sz w:val="20"/>
          <w:szCs w:val="20"/>
        </w:rPr>
        <w:t xml:space="preserve"> </w:t>
      </w:r>
      <w:r w:rsidRPr="00306F4D">
        <w:rPr>
          <w:rFonts w:ascii="Arial" w:eastAsia="Arial" w:hAnsi="Arial" w:cs="Arial"/>
          <w:sz w:val="20"/>
          <w:szCs w:val="20"/>
        </w:rPr>
        <w:t>One of the most critical and rapidly intensifying risks is the increased frequency, intensity, and duration of heatwaves. Podgorica, the Montenegro capital for instance, now experiences over 70 tropical days annually, with maximum temperatures surpassing 40°C becoming increasingly common—an elevenfold increase compared to historic norms. These temperature extremes have grave implications for public health, energy systems, and labor productivity, especially affecting vulnerable groups such as the elderly, outdoor workers, and people with pre-existing health conditions.</w:t>
      </w:r>
      <w:r w:rsidR="45D5D824" w:rsidRPr="00306F4D">
        <w:rPr>
          <w:rFonts w:ascii="Arial" w:eastAsia="Arial" w:hAnsi="Arial" w:cs="Arial"/>
          <w:sz w:val="20"/>
          <w:szCs w:val="20"/>
        </w:rPr>
        <w:t xml:space="preserve"> </w:t>
      </w:r>
      <w:r w:rsidRPr="00306F4D">
        <w:rPr>
          <w:rFonts w:ascii="Arial" w:eastAsia="Arial" w:hAnsi="Arial" w:cs="Arial"/>
          <w:sz w:val="20"/>
          <w:szCs w:val="20"/>
        </w:rPr>
        <w:t xml:space="preserve">Droughts pose a chronic and expanding risk to agriculture, forestry, and water supply systems. Severe drought events in 2003, 2011, 2017, and 2020 demonstrated Montenegro’s limited capacity to absorb such shocks. These events reduced crop yields, led to livestock mortality, diminished hydropower output, and triggered significant economic losses across rural communities. Future climate patterns indicate that droughts will become more frequent, </w:t>
      </w:r>
      <w:r w:rsidR="67F28CCA" w:rsidRPr="00306F4D">
        <w:rPr>
          <w:rFonts w:ascii="Arial" w:eastAsia="Arial" w:hAnsi="Arial" w:cs="Arial"/>
          <w:sz w:val="20"/>
          <w:szCs w:val="20"/>
        </w:rPr>
        <w:t>longer lasting</w:t>
      </w:r>
      <w:r w:rsidRPr="00306F4D">
        <w:rPr>
          <w:rFonts w:ascii="Arial" w:eastAsia="Arial" w:hAnsi="Arial" w:cs="Arial"/>
          <w:sz w:val="20"/>
          <w:szCs w:val="20"/>
        </w:rPr>
        <w:t>, and spatially widespread.</w:t>
      </w:r>
      <w:r w:rsidR="5AC40B8D" w:rsidRPr="00306F4D">
        <w:rPr>
          <w:rFonts w:ascii="Arial" w:eastAsia="Arial" w:hAnsi="Arial" w:cs="Arial"/>
          <w:sz w:val="20"/>
          <w:szCs w:val="20"/>
        </w:rPr>
        <w:t xml:space="preserve"> </w:t>
      </w:r>
      <w:r w:rsidRPr="00306F4D">
        <w:rPr>
          <w:rFonts w:ascii="Arial" w:eastAsia="Arial" w:hAnsi="Arial" w:cs="Arial"/>
          <w:sz w:val="20"/>
          <w:szCs w:val="20"/>
        </w:rPr>
        <w:t>Flooding and flash floods, driven by erratic and intense precipitation events, increasingly damage infrastructure, disrupt transportation, and contaminate water supplies. Forest fires have become a seasonal hazard, particularly in the south and central parts of the country</w:t>
      </w:r>
      <w:r w:rsidR="2E743AD6" w:rsidRPr="00306F4D">
        <w:rPr>
          <w:rFonts w:ascii="Arial" w:eastAsia="Arial" w:hAnsi="Arial" w:cs="Arial"/>
          <w:sz w:val="20"/>
          <w:szCs w:val="20"/>
        </w:rPr>
        <w:t>, d</w:t>
      </w:r>
      <w:r w:rsidRPr="00306F4D">
        <w:rPr>
          <w:rFonts w:ascii="Arial" w:eastAsia="Arial" w:hAnsi="Arial" w:cs="Arial"/>
          <w:sz w:val="20"/>
          <w:szCs w:val="20"/>
        </w:rPr>
        <w:t xml:space="preserve">riven by prolonged droughts, high temperatures, and strong winds. Sea-level rise, while more gradual, poses a critical long-term threat to Montenegro’s coastal infrastructure and tourism industry. </w:t>
      </w:r>
      <w:r w:rsidR="2C5F1BA7" w:rsidRPr="00306F4D">
        <w:rPr>
          <w:rFonts w:ascii="Arial" w:eastAsia="Arial" w:hAnsi="Arial" w:cs="Arial"/>
          <w:sz w:val="20"/>
          <w:szCs w:val="20"/>
          <w:lang w:val="en-GB"/>
        </w:rPr>
        <w:t xml:space="preserve">As part of the preparation of </w:t>
      </w:r>
      <w:r w:rsidR="0C97D587" w:rsidRPr="00306F4D">
        <w:rPr>
          <w:rFonts w:ascii="Arial" w:eastAsia="Arial" w:hAnsi="Arial" w:cs="Arial"/>
          <w:sz w:val="20"/>
          <w:szCs w:val="20"/>
          <w:lang w:val="en-GB"/>
        </w:rPr>
        <w:t>Montenegro’s</w:t>
      </w:r>
      <w:r w:rsidR="16730C44" w:rsidRPr="00306F4D">
        <w:rPr>
          <w:rFonts w:ascii="Arial" w:eastAsia="Arial" w:hAnsi="Arial" w:cs="Arial"/>
          <w:sz w:val="20"/>
          <w:szCs w:val="20"/>
          <w:lang w:val="en-GB"/>
        </w:rPr>
        <w:t xml:space="preserve"> </w:t>
      </w:r>
      <w:r w:rsidR="16730C44" w:rsidRPr="00306F4D">
        <w:rPr>
          <w:rFonts w:ascii="Arial" w:eastAsia="Arial" w:hAnsi="Arial" w:cs="Arial"/>
          <w:sz w:val="20"/>
          <w:szCs w:val="20"/>
          <w:lang w:val="en-GB"/>
        </w:rPr>
        <w:lastRenderedPageBreak/>
        <w:t xml:space="preserve">first National Adaptation Plan, </w:t>
      </w:r>
      <w:r w:rsidR="0C97D587" w:rsidRPr="00306F4D">
        <w:rPr>
          <w:rFonts w:ascii="Arial" w:eastAsia="Arial" w:hAnsi="Arial" w:cs="Arial"/>
          <w:sz w:val="20"/>
          <w:szCs w:val="20"/>
          <w:lang w:val="en-GB"/>
        </w:rPr>
        <w:t>which is</w:t>
      </w:r>
      <w:r w:rsidR="3973D40B" w:rsidRPr="00306F4D">
        <w:rPr>
          <w:rFonts w:ascii="Arial" w:eastAsia="Arial" w:hAnsi="Arial" w:cs="Arial"/>
          <w:sz w:val="20"/>
          <w:szCs w:val="20"/>
          <w:lang w:val="en-GB"/>
        </w:rPr>
        <w:t xml:space="preserve"> currently in the final phase of </w:t>
      </w:r>
      <w:r w:rsidR="0C97D587" w:rsidRPr="00306F4D">
        <w:rPr>
          <w:rFonts w:ascii="Arial" w:eastAsia="Arial" w:hAnsi="Arial" w:cs="Arial"/>
          <w:sz w:val="20"/>
          <w:szCs w:val="20"/>
          <w:lang w:val="en-GB"/>
        </w:rPr>
        <w:t>adoption by the</w:t>
      </w:r>
      <w:r w:rsidR="3973D40B" w:rsidRPr="00306F4D">
        <w:rPr>
          <w:rFonts w:ascii="Arial" w:eastAsia="Arial" w:hAnsi="Arial" w:cs="Arial"/>
          <w:sz w:val="20"/>
          <w:szCs w:val="20"/>
          <w:lang w:val="en-GB"/>
        </w:rPr>
        <w:t xml:space="preserve"> Government of Montenegro, </w:t>
      </w:r>
      <w:r w:rsidR="27ED76C8" w:rsidRPr="00306F4D">
        <w:rPr>
          <w:rFonts w:ascii="Arial" w:eastAsia="Arial" w:hAnsi="Arial" w:cs="Arial"/>
          <w:sz w:val="20"/>
          <w:szCs w:val="20"/>
          <w:lang w:val="en-GB"/>
        </w:rPr>
        <w:t xml:space="preserve">key priority sectors for climate adaptation </w:t>
      </w:r>
      <w:r w:rsidR="0C97D587" w:rsidRPr="00306F4D">
        <w:rPr>
          <w:rFonts w:ascii="Arial" w:eastAsia="Arial" w:hAnsi="Arial" w:cs="Arial"/>
          <w:sz w:val="20"/>
          <w:szCs w:val="20"/>
          <w:lang w:val="en-GB"/>
        </w:rPr>
        <w:t>have been</w:t>
      </w:r>
      <w:r w:rsidR="7D149BF2" w:rsidRPr="00306F4D">
        <w:rPr>
          <w:rFonts w:ascii="Arial" w:eastAsia="Arial" w:hAnsi="Arial" w:cs="Arial"/>
          <w:sz w:val="20"/>
          <w:szCs w:val="20"/>
          <w:lang w:val="en-GB"/>
        </w:rPr>
        <w:t xml:space="preserve"> identified</w:t>
      </w:r>
      <w:r w:rsidR="27ED76C8" w:rsidRPr="00306F4D">
        <w:rPr>
          <w:rFonts w:ascii="Arial" w:eastAsia="Arial" w:hAnsi="Arial" w:cs="Arial"/>
          <w:sz w:val="20"/>
          <w:szCs w:val="20"/>
          <w:lang w:val="en-GB"/>
        </w:rPr>
        <w:t xml:space="preserve"> based on vulnerability assessments and national consultations. These include </w:t>
      </w:r>
      <w:r w:rsidR="27ED76C8" w:rsidRPr="00306F4D">
        <w:rPr>
          <w:rFonts w:ascii="Arial" w:eastAsia="Arial" w:hAnsi="Arial" w:cs="Arial"/>
          <w:b/>
          <w:bCs/>
          <w:sz w:val="20"/>
          <w:szCs w:val="20"/>
          <w:lang w:val="en-GB"/>
        </w:rPr>
        <w:t>water resources, agriculture, health, and tourism, with cross-cutting priorities</w:t>
      </w:r>
      <w:r w:rsidR="27ED76C8" w:rsidRPr="00306F4D">
        <w:rPr>
          <w:rFonts w:ascii="Arial" w:eastAsia="Arial" w:hAnsi="Arial" w:cs="Arial"/>
          <w:sz w:val="20"/>
          <w:szCs w:val="20"/>
          <w:lang w:val="en-GB"/>
        </w:rPr>
        <w:t xml:space="preserve"> in institutional capacity building, data systems, and gender-sensitive policy integration</w:t>
      </w:r>
      <w:r w:rsidR="3EF0422F" w:rsidRPr="00306F4D">
        <w:rPr>
          <w:rFonts w:ascii="Arial" w:eastAsia="Arial" w:hAnsi="Arial" w:cs="Arial"/>
          <w:sz w:val="20"/>
          <w:szCs w:val="20"/>
          <w:lang w:val="en-GB"/>
        </w:rPr>
        <w:t>.</w:t>
      </w:r>
      <w:r w:rsidR="2700EB8E" w:rsidRPr="00306F4D">
        <w:rPr>
          <w:rFonts w:ascii="Arial" w:eastAsia="Arial" w:hAnsi="Arial" w:cs="Arial"/>
          <w:sz w:val="20"/>
          <w:szCs w:val="20"/>
          <w:vertAlign w:val="superscript"/>
          <w:lang w:val="en-GB"/>
        </w:rPr>
        <w:footnoteReference w:id="92"/>
      </w:r>
      <w:r w:rsidR="27ED76C8" w:rsidRPr="00306F4D">
        <w:rPr>
          <w:rFonts w:ascii="Arial" w:eastAsia="Arial" w:hAnsi="Arial" w:cs="Arial"/>
          <w:sz w:val="20"/>
          <w:szCs w:val="20"/>
          <w:lang w:val="en-GB"/>
        </w:rPr>
        <w:t xml:space="preserve"> </w:t>
      </w:r>
    </w:p>
    <w:p w14:paraId="2C3116C3" w14:textId="7B4889C0" w:rsidR="002E52A0" w:rsidRPr="00306F4D" w:rsidRDefault="3E120864" w:rsidP="02E2BB75">
      <w:pPr>
        <w:spacing w:before="240" w:after="240" w:line="276" w:lineRule="auto"/>
        <w:jc w:val="both"/>
        <w:rPr>
          <w:rFonts w:ascii="Arial" w:eastAsia="Arial" w:hAnsi="Arial" w:cs="Arial"/>
          <w:color w:val="0070C0"/>
          <w:sz w:val="20"/>
          <w:szCs w:val="20"/>
          <w:u w:val="single"/>
          <w:lang w:val="en-GB"/>
        </w:rPr>
      </w:pPr>
      <w:r w:rsidRPr="00306F4D">
        <w:rPr>
          <w:rFonts w:ascii="Arial" w:eastAsia="Arial" w:hAnsi="Arial" w:cs="Arial"/>
          <w:b/>
          <w:bCs/>
          <w:color w:val="0070C0"/>
          <w:sz w:val="20"/>
          <w:szCs w:val="20"/>
          <w:u w:val="single"/>
          <w:lang w:val="en-GB"/>
        </w:rPr>
        <w:t>North Macedonia</w:t>
      </w:r>
    </w:p>
    <w:p w14:paraId="6E0013EC" w14:textId="6D350DA2" w:rsidR="000F2CEA" w:rsidRPr="00306F4D" w:rsidDel="000860CD" w:rsidRDefault="413FA41B" w:rsidP="000F2CEA">
      <w:p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T</w:t>
      </w:r>
      <w:r w:rsidR="47FF4CB9" w:rsidRPr="00306F4D">
        <w:rPr>
          <w:rFonts w:ascii="Arial" w:eastAsia="Arial" w:hAnsi="Arial" w:cs="Arial"/>
          <w:sz w:val="20"/>
          <w:szCs w:val="20"/>
          <w:lang w:val="en-GB"/>
        </w:rPr>
        <w:t xml:space="preserve">he last decade (2011-2020) was the warmest decade since the beginning of meteorological measurements in the country. </w:t>
      </w:r>
      <w:r w:rsidR="7AFA7373" w:rsidRPr="00306F4D">
        <w:rPr>
          <w:rFonts w:ascii="Arial" w:eastAsia="Arial" w:hAnsi="Arial" w:cs="Arial"/>
          <w:sz w:val="20"/>
          <w:szCs w:val="20"/>
          <w:lang w:val="en-GB"/>
        </w:rPr>
        <w:t>T</w:t>
      </w:r>
      <w:r w:rsidR="47FF4CB9" w:rsidRPr="00306F4D">
        <w:rPr>
          <w:rFonts w:ascii="Arial" w:eastAsia="Arial" w:hAnsi="Arial" w:cs="Arial"/>
          <w:sz w:val="20"/>
          <w:szCs w:val="20"/>
          <w:lang w:val="en-GB"/>
        </w:rPr>
        <w:t>he largest change in the annual number of frost days, icing days, summer days and tropical nights compared to the reference period is observed for the same decade. Analysis of precipitation indices shows a change in the precipitation regime with an increase in the frequency of heavy and very heavy precipitation</w:t>
      </w:r>
      <w:r w:rsidR="000F2CEA" w:rsidRPr="00306F4D">
        <w:rPr>
          <w:rFonts w:ascii="Arial" w:eastAsia="Arial" w:hAnsi="Arial" w:cs="Arial"/>
          <w:sz w:val="20"/>
          <w:szCs w:val="20"/>
          <w:vertAlign w:val="superscript"/>
          <w:lang w:val="en-GB"/>
        </w:rPr>
        <w:footnoteReference w:id="93"/>
      </w:r>
      <w:r w:rsidR="47FF4CB9" w:rsidRPr="00306F4D">
        <w:rPr>
          <w:rFonts w:ascii="Arial" w:eastAsia="Arial" w:hAnsi="Arial" w:cs="Arial"/>
          <w:sz w:val="20"/>
          <w:szCs w:val="20"/>
          <w:lang w:val="en-GB"/>
        </w:rPr>
        <w:t>.</w:t>
      </w:r>
      <w:r w:rsidR="3FCC1DC0" w:rsidRPr="00306F4D">
        <w:rPr>
          <w:rFonts w:ascii="Arial" w:eastAsia="Arial" w:hAnsi="Arial" w:cs="Arial"/>
          <w:sz w:val="20"/>
          <w:szCs w:val="20"/>
          <w:lang w:val="en-GB"/>
        </w:rPr>
        <w:t xml:space="preserve"> </w:t>
      </w:r>
      <w:r w:rsidR="47FF4CB9" w:rsidRPr="00306F4D">
        <w:rPr>
          <w:rFonts w:ascii="Arial" w:eastAsia="Arial" w:hAnsi="Arial" w:cs="Arial"/>
          <w:sz w:val="20"/>
          <w:szCs w:val="20"/>
          <w:lang w:val="en-GB"/>
        </w:rPr>
        <w:t>Climate projections</w:t>
      </w:r>
      <w:r w:rsidR="1D60842E" w:rsidRPr="00306F4D">
        <w:rPr>
          <w:rFonts w:ascii="Arial" w:eastAsia="Arial" w:hAnsi="Arial" w:cs="Arial"/>
          <w:sz w:val="20"/>
          <w:szCs w:val="20"/>
          <w:lang w:val="en-GB"/>
        </w:rPr>
        <w:t xml:space="preserve"> </w:t>
      </w:r>
      <w:r w:rsidR="6C313B7D" w:rsidRPr="00306F4D">
        <w:rPr>
          <w:rFonts w:ascii="Arial" w:eastAsia="Arial" w:hAnsi="Arial" w:cs="Arial"/>
          <w:sz w:val="20"/>
          <w:szCs w:val="20"/>
          <w:lang w:val="en-GB"/>
        </w:rPr>
        <w:t xml:space="preserve">also include </w:t>
      </w:r>
      <w:r w:rsidR="000F2CEA" w:rsidRPr="00306F4D">
        <w:rPr>
          <w:rFonts w:ascii="Arial" w:eastAsia="Arial" w:hAnsi="Arial" w:cs="Arial"/>
          <w:sz w:val="20"/>
          <w:szCs w:val="20"/>
          <w:vertAlign w:val="superscript"/>
          <w:lang w:val="en-GB"/>
        </w:rPr>
        <w:footnoteReference w:id="94"/>
      </w:r>
      <w:r w:rsidR="6E08276B" w:rsidRPr="00306F4D">
        <w:rPr>
          <w:rFonts w:ascii="Arial" w:eastAsia="Arial" w:hAnsi="Arial" w:cs="Arial"/>
          <w:sz w:val="20"/>
          <w:szCs w:val="20"/>
          <w:lang w:val="en-GB"/>
        </w:rPr>
        <w:t>further increase in t</w:t>
      </w:r>
      <w:r w:rsidR="47FF4CB9" w:rsidRPr="00306F4D">
        <w:rPr>
          <w:rFonts w:ascii="Arial" w:eastAsia="Arial" w:hAnsi="Arial" w:cs="Arial"/>
          <w:sz w:val="20"/>
          <w:szCs w:val="20"/>
          <w:lang w:val="en-GB"/>
        </w:rPr>
        <w:t xml:space="preserve">emperature </w:t>
      </w:r>
      <w:r w:rsidR="6E08276B" w:rsidRPr="00306F4D">
        <w:rPr>
          <w:rFonts w:ascii="Arial" w:eastAsia="Arial" w:hAnsi="Arial" w:cs="Arial"/>
          <w:sz w:val="20"/>
          <w:szCs w:val="20"/>
          <w:lang w:val="en-GB"/>
        </w:rPr>
        <w:t>with</w:t>
      </w:r>
      <w:r w:rsidR="47FF4CB9" w:rsidRPr="00306F4D">
        <w:rPr>
          <w:rFonts w:ascii="Arial" w:eastAsia="Arial" w:hAnsi="Arial" w:cs="Arial"/>
          <w:sz w:val="20"/>
          <w:szCs w:val="20"/>
          <w:lang w:val="en-GB"/>
        </w:rPr>
        <w:t xml:space="preserve"> </w:t>
      </w:r>
      <w:r w:rsidR="6E08276B" w:rsidRPr="00306F4D">
        <w:rPr>
          <w:rFonts w:ascii="Arial" w:eastAsia="Arial" w:hAnsi="Arial" w:cs="Arial"/>
          <w:sz w:val="20"/>
          <w:szCs w:val="20"/>
          <w:lang w:val="en-GB"/>
        </w:rPr>
        <w:t xml:space="preserve">more temperature extremes </w:t>
      </w:r>
      <w:r w:rsidR="47FF4CB9" w:rsidRPr="00306F4D">
        <w:rPr>
          <w:rFonts w:ascii="Arial" w:eastAsia="Arial" w:hAnsi="Arial" w:cs="Arial"/>
          <w:sz w:val="20"/>
          <w:szCs w:val="20"/>
          <w:lang w:val="en-GB"/>
        </w:rPr>
        <w:t>in summer months</w:t>
      </w:r>
      <w:r w:rsidR="7C1A31AE" w:rsidRPr="00306F4D">
        <w:rPr>
          <w:rFonts w:ascii="Arial" w:eastAsia="Arial" w:hAnsi="Arial" w:cs="Arial"/>
          <w:sz w:val="20"/>
          <w:szCs w:val="20"/>
          <w:lang w:val="en-GB"/>
        </w:rPr>
        <w:t>, l</w:t>
      </w:r>
      <w:r w:rsidR="47FF4CB9" w:rsidRPr="00306F4D">
        <w:rPr>
          <w:rFonts w:ascii="Arial" w:eastAsia="Arial" w:hAnsi="Arial" w:cs="Arial"/>
          <w:sz w:val="20"/>
          <w:szCs w:val="20"/>
          <w:lang w:val="en-GB"/>
        </w:rPr>
        <w:t>ikely increase in precipitation variability</w:t>
      </w:r>
      <w:r w:rsidR="7C1A31AE" w:rsidRPr="00306F4D">
        <w:rPr>
          <w:rFonts w:ascii="Arial" w:eastAsia="Arial" w:hAnsi="Arial" w:cs="Arial"/>
          <w:sz w:val="20"/>
          <w:szCs w:val="20"/>
          <w:lang w:val="en-GB"/>
        </w:rPr>
        <w:t xml:space="preserve">, and in </w:t>
      </w:r>
      <w:r w:rsidR="47FF4CB9" w:rsidRPr="00306F4D">
        <w:rPr>
          <w:rFonts w:ascii="Arial" w:eastAsia="Arial" w:hAnsi="Arial" w:cs="Arial"/>
          <w:sz w:val="20"/>
          <w:szCs w:val="20"/>
          <w:lang w:val="en-GB"/>
        </w:rPr>
        <w:t>frequency and intensity of droughts.</w:t>
      </w:r>
      <w:r w:rsidR="14CEFCFA" w:rsidRPr="00306F4D">
        <w:rPr>
          <w:rFonts w:ascii="Arial" w:eastAsia="Arial" w:hAnsi="Arial" w:cs="Arial"/>
          <w:sz w:val="20"/>
          <w:szCs w:val="20"/>
          <w:lang w:val="en-GB"/>
        </w:rPr>
        <w:t xml:space="preserve"> </w:t>
      </w:r>
      <w:r w:rsidR="7A0CF8C8" w:rsidRPr="00306F4D">
        <w:rPr>
          <w:rFonts w:ascii="Arial" w:eastAsia="Arial" w:hAnsi="Arial" w:cs="Arial"/>
          <w:sz w:val="20"/>
          <w:szCs w:val="20"/>
          <w:lang w:val="en-GB"/>
        </w:rPr>
        <w:t>These changes in climate</w:t>
      </w:r>
      <w:r w:rsidR="6890ADBD" w:rsidRPr="00306F4D">
        <w:rPr>
          <w:rFonts w:ascii="Arial" w:eastAsia="Arial" w:hAnsi="Arial" w:cs="Arial"/>
          <w:sz w:val="20"/>
          <w:szCs w:val="20"/>
          <w:lang w:val="en-GB"/>
        </w:rPr>
        <w:t xml:space="preserve"> lead to more frequent and intense </w:t>
      </w:r>
      <w:r w:rsidR="7A0CF8C8" w:rsidRPr="00306F4D">
        <w:rPr>
          <w:rFonts w:ascii="Arial" w:eastAsia="Arial" w:hAnsi="Arial" w:cs="Arial"/>
          <w:sz w:val="20"/>
          <w:szCs w:val="20"/>
          <w:lang w:val="en-GB"/>
        </w:rPr>
        <w:t xml:space="preserve">extreme </w:t>
      </w:r>
      <w:r w:rsidR="6890ADBD" w:rsidRPr="00306F4D">
        <w:rPr>
          <w:rFonts w:ascii="Arial" w:eastAsia="Arial" w:hAnsi="Arial" w:cs="Arial"/>
          <w:sz w:val="20"/>
          <w:szCs w:val="20"/>
          <w:lang w:val="en-GB"/>
        </w:rPr>
        <w:t xml:space="preserve">weather events, forest fires, droughts, and floods, all of which threaten socio-economic stability, public health, and natural ecosystems. </w:t>
      </w:r>
      <w:r w:rsidR="11499BE2" w:rsidRPr="00306F4D">
        <w:rPr>
          <w:rFonts w:ascii="Arial" w:eastAsia="Arial" w:hAnsi="Arial" w:cs="Arial"/>
          <w:sz w:val="20"/>
          <w:szCs w:val="20"/>
          <w:lang w:val="en-GB"/>
        </w:rPr>
        <w:t>B</w:t>
      </w:r>
      <w:r w:rsidR="6890ADBD" w:rsidRPr="00306F4D">
        <w:rPr>
          <w:rFonts w:ascii="Arial" w:eastAsia="Arial" w:hAnsi="Arial" w:cs="Arial"/>
          <w:sz w:val="20"/>
          <w:szCs w:val="20"/>
          <w:lang w:val="en-GB"/>
        </w:rPr>
        <w:t>oth urban and rural areas are affected</w:t>
      </w:r>
      <w:r w:rsidR="2D91D42B" w:rsidRPr="00306F4D">
        <w:rPr>
          <w:rFonts w:ascii="Arial" w:eastAsia="Arial" w:hAnsi="Arial" w:cs="Arial"/>
          <w:sz w:val="20"/>
          <w:szCs w:val="20"/>
          <w:lang w:val="en-GB"/>
        </w:rPr>
        <w:t>.</w:t>
      </w:r>
      <w:r w:rsidR="11499BE2" w:rsidRPr="00306F4D">
        <w:rPr>
          <w:rFonts w:ascii="Arial" w:eastAsia="Arial" w:hAnsi="Arial" w:cs="Arial"/>
          <w:sz w:val="20"/>
          <w:szCs w:val="20"/>
          <w:lang w:val="en-GB"/>
        </w:rPr>
        <w:t xml:space="preserve"> </w:t>
      </w:r>
      <w:r w:rsidR="2D91D42B" w:rsidRPr="00306F4D">
        <w:rPr>
          <w:rFonts w:ascii="Arial" w:eastAsia="Arial" w:hAnsi="Arial" w:cs="Arial"/>
          <w:sz w:val="20"/>
          <w:szCs w:val="20"/>
          <w:lang w:val="en-GB"/>
        </w:rPr>
        <w:t>U</w:t>
      </w:r>
      <w:r w:rsidR="6890ADBD" w:rsidRPr="00306F4D">
        <w:rPr>
          <w:rFonts w:ascii="Arial" w:eastAsia="Arial" w:hAnsi="Arial" w:cs="Arial"/>
          <w:sz w:val="20"/>
          <w:szCs w:val="20"/>
          <w:lang w:val="en-GB"/>
        </w:rPr>
        <w:t xml:space="preserve">rban </w:t>
      </w:r>
      <w:r w:rsidR="5BFAC1DB" w:rsidRPr="00306F4D">
        <w:rPr>
          <w:rFonts w:ascii="Arial" w:eastAsia="Arial" w:hAnsi="Arial" w:cs="Arial"/>
          <w:sz w:val="20"/>
          <w:szCs w:val="20"/>
          <w:lang w:val="en-GB"/>
        </w:rPr>
        <w:t>centres</w:t>
      </w:r>
      <w:r w:rsidR="6890ADBD" w:rsidRPr="00306F4D">
        <w:rPr>
          <w:rFonts w:ascii="Arial" w:eastAsia="Arial" w:hAnsi="Arial" w:cs="Arial"/>
          <w:sz w:val="20"/>
          <w:szCs w:val="20"/>
          <w:lang w:val="en-GB"/>
        </w:rPr>
        <w:t xml:space="preserve"> face issues related to infrastructure, </w:t>
      </w:r>
      <w:r w:rsidR="1345B8CF" w:rsidRPr="00306F4D">
        <w:rPr>
          <w:rFonts w:ascii="Arial" w:eastAsia="Arial" w:hAnsi="Arial" w:cs="Arial"/>
          <w:sz w:val="20"/>
          <w:szCs w:val="20"/>
          <w:lang w:val="en-GB"/>
        </w:rPr>
        <w:t xml:space="preserve">heatwaves, </w:t>
      </w:r>
      <w:r w:rsidR="6890ADBD" w:rsidRPr="00306F4D">
        <w:rPr>
          <w:rFonts w:ascii="Arial" w:eastAsia="Arial" w:hAnsi="Arial" w:cs="Arial"/>
          <w:sz w:val="20"/>
          <w:szCs w:val="20"/>
          <w:lang w:val="en-GB"/>
        </w:rPr>
        <w:t xml:space="preserve">pollution, and governance. </w:t>
      </w:r>
      <w:r w:rsidR="725DF9D6" w:rsidRPr="00306F4D">
        <w:rPr>
          <w:rFonts w:ascii="Arial" w:eastAsia="Arial" w:hAnsi="Arial" w:cs="Arial"/>
          <w:sz w:val="20"/>
          <w:szCs w:val="20"/>
        </w:rPr>
        <w:t xml:space="preserve">In urban </w:t>
      </w:r>
      <w:proofErr w:type="spellStart"/>
      <w:r w:rsidR="6100F62C" w:rsidRPr="00306F4D">
        <w:rPr>
          <w:rFonts w:ascii="Arial" w:eastAsia="Arial" w:hAnsi="Arial" w:cs="Arial"/>
          <w:sz w:val="20"/>
          <w:szCs w:val="20"/>
        </w:rPr>
        <w:t>centres</w:t>
      </w:r>
      <w:proofErr w:type="spellEnd"/>
      <w:r w:rsidR="725DF9D6" w:rsidRPr="00306F4D">
        <w:rPr>
          <w:rFonts w:ascii="Arial" w:eastAsia="Arial" w:hAnsi="Arial" w:cs="Arial"/>
          <w:sz w:val="20"/>
          <w:szCs w:val="20"/>
        </w:rPr>
        <w:t xml:space="preserve"> air pollution and related public health risks pose a major adaptation challenge.</w:t>
      </w:r>
      <w:r w:rsidR="000F2CEA" w:rsidRPr="00306F4D">
        <w:rPr>
          <w:rFonts w:asciiTheme="minorHAnsi" w:eastAsiaTheme="minorEastAsia" w:hAnsiTheme="minorHAnsi" w:cstheme="minorBidi"/>
          <w:color w:val="000000" w:themeColor="text1"/>
          <w:sz w:val="20"/>
          <w:szCs w:val="20"/>
          <w:vertAlign w:val="superscript"/>
          <w:lang w:val="en-GB"/>
        </w:rPr>
        <w:footnoteReference w:id="95"/>
      </w:r>
      <w:r w:rsidR="7F67D44D" w:rsidRPr="00306F4D">
        <w:rPr>
          <w:rFonts w:ascii="Arial" w:eastAsia="Arial" w:hAnsi="Arial" w:cs="Arial"/>
          <w:sz w:val="20"/>
          <w:szCs w:val="20"/>
          <w:lang w:val="en-GB"/>
        </w:rPr>
        <w:t xml:space="preserve"> </w:t>
      </w:r>
      <w:r w:rsidR="725DF9D6" w:rsidRPr="00306F4D">
        <w:rPr>
          <w:rFonts w:ascii="Arial" w:eastAsia="Arial" w:hAnsi="Arial" w:cs="Arial"/>
          <w:sz w:val="20"/>
          <w:szCs w:val="20"/>
          <w:lang w:val="en-GB"/>
        </w:rPr>
        <w:t xml:space="preserve">Intersectional vulnerabilities are pronounced among </w:t>
      </w:r>
      <w:r w:rsidR="70266B70" w:rsidRPr="00306F4D">
        <w:rPr>
          <w:rFonts w:ascii="Arial" w:eastAsia="Arial" w:hAnsi="Arial" w:cs="Arial"/>
          <w:sz w:val="20"/>
          <w:szCs w:val="20"/>
          <w:lang w:val="en-GB"/>
        </w:rPr>
        <w:t xml:space="preserve">women and vulnerable groups, including </w:t>
      </w:r>
      <w:r w:rsidR="725DF9D6" w:rsidRPr="00306F4D">
        <w:rPr>
          <w:rFonts w:ascii="Arial" w:eastAsia="Arial" w:hAnsi="Arial" w:cs="Arial"/>
          <w:sz w:val="20"/>
          <w:szCs w:val="20"/>
          <w:lang w:val="en-GB"/>
        </w:rPr>
        <w:t xml:space="preserve">Roma women, rural women, and persons with disabilities, who face compounded exclusion due to poor housing, lack of infrastructure, and limited mobility. </w:t>
      </w:r>
      <w:r w:rsidR="2CADA76A" w:rsidRPr="00306F4D">
        <w:rPr>
          <w:rFonts w:ascii="Arial" w:eastAsia="Arial" w:hAnsi="Arial" w:cs="Arial"/>
          <w:sz w:val="20"/>
          <w:szCs w:val="20"/>
          <w:lang w:val="en-GB"/>
        </w:rPr>
        <w:t>Flooding and stormwater management also represent a significant challenge for cities in North Macedonia. In rural areas, where a large portion of the population depends on agriculture for their livelihood, agricultural vulnerability to climate change is the most critical adaptation challenge. Recurrent droughts, record-breaking wildfires, hailstorms, and temperature extremes have reduced crop yields and affected food security. Closely linked to agriculture is the issue of water scarcity. Rural areas increasingly suffer from declining water availability, particularly during the growing season. Biodiversity and ecosystem degradation are also acute in rural landscapes, especially in forested and mountainous regions</w:t>
      </w:r>
      <w:r w:rsidR="0958A93A" w:rsidRPr="00306F4D">
        <w:rPr>
          <w:rFonts w:ascii="Arial" w:eastAsia="Arial" w:hAnsi="Arial" w:cs="Arial"/>
          <w:sz w:val="20"/>
          <w:szCs w:val="20"/>
          <w:lang w:val="en-GB"/>
        </w:rPr>
        <w:t xml:space="preserve"> </w:t>
      </w:r>
      <w:proofErr w:type="gramStart"/>
      <w:r w:rsidR="0958A93A" w:rsidRPr="00306F4D">
        <w:rPr>
          <w:rFonts w:ascii="Arial" w:eastAsia="Arial" w:hAnsi="Arial" w:cs="Arial"/>
          <w:sz w:val="20"/>
          <w:szCs w:val="20"/>
          <w:lang w:val="en-GB"/>
        </w:rPr>
        <w:t>as a result of</w:t>
      </w:r>
      <w:proofErr w:type="gramEnd"/>
      <w:r w:rsidR="0958A93A" w:rsidRPr="00306F4D">
        <w:rPr>
          <w:rFonts w:ascii="Arial" w:eastAsia="Arial" w:hAnsi="Arial" w:cs="Arial"/>
          <w:sz w:val="20"/>
          <w:szCs w:val="20"/>
          <w:lang w:val="en-GB"/>
        </w:rPr>
        <w:t xml:space="preserve"> r</w:t>
      </w:r>
      <w:r w:rsidR="2CADA76A" w:rsidRPr="00306F4D">
        <w:rPr>
          <w:rFonts w:ascii="Arial" w:eastAsia="Arial" w:hAnsi="Arial" w:cs="Arial"/>
          <w:sz w:val="20"/>
          <w:szCs w:val="20"/>
          <w:lang w:val="en-GB"/>
        </w:rPr>
        <w:t>ising temperatures and human activity.</w:t>
      </w:r>
      <w:r w:rsidR="5E26A457" w:rsidRPr="00306F4D">
        <w:rPr>
          <w:rFonts w:ascii="Arial" w:eastAsia="Arial" w:hAnsi="Arial" w:cs="Arial"/>
          <w:sz w:val="20"/>
          <w:szCs w:val="20"/>
          <w:lang w:val="en-GB"/>
        </w:rPr>
        <w:t xml:space="preserve"> </w:t>
      </w:r>
      <w:r w:rsidR="2CADA76A" w:rsidRPr="00306F4D">
        <w:rPr>
          <w:rFonts w:ascii="Arial" w:eastAsia="Arial" w:hAnsi="Arial" w:cs="Arial"/>
          <w:sz w:val="20"/>
          <w:szCs w:val="20"/>
          <w:lang w:val="en-GB"/>
        </w:rPr>
        <w:t xml:space="preserve">Forest fires are becoming more frequent and severe, damaging ecosystems, farmland, and infrastructure, while landslides, often triggered by intense rainfall and enabled by erosion and slope instability, threaten rural settlements and transport routes. </w:t>
      </w:r>
    </w:p>
    <w:p w14:paraId="40432EDB" w14:textId="3585992D" w:rsidR="002E52A0" w:rsidRPr="00306F4D" w:rsidRDefault="009E06A6" w:rsidP="002E52A0">
      <w:pPr>
        <w:spacing w:before="240" w:after="240" w:line="276" w:lineRule="auto"/>
        <w:jc w:val="both"/>
        <w:rPr>
          <w:rFonts w:ascii="Arial" w:eastAsia="Arial" w:hAnsi="Arial" w:cs="Arial"/>
          <w:color w:val="0070C0"/>
          <w:sz w:val="20"/>
          <w:szCs w:val="20"/>
          <w:u w:val="single"/>
          <w:lang w:val="en-GB"/>
        </w:rPr>
      </w:pPr>
      <w:r w:rsidRPr="00306F4D">
        <w:rPr>
          <w:rFonts w:ascii="Arial" w:eastAsia="Arial" w:hAnsi="Arial" w:cs="Arial"/>
          <w:b/>
          <w:color w:val="0070C0"/>
          <w:sz w:val="20"/>
          <w:szCs w:val="20"/>
          <w:u w:val="single"/>
          <w:lang w:val="en-GB"/>
        </w:rPr>
        <w:t>Serbia</w:t>
      </w:r>
    </w:p>
    <w:p w14:paraId="7F7D4244" w14:textId="24774453" w:rsidR="4B6A8152" w:rsidRPr="00306F4D" w:rsidDel="006A6F4D" w:rsidRDefault="3C4B90DA" w:rsidP="00873F4B">
      <w:pPr>
        <w:spacing w:before="240" w:after="240" w:line="257" w:lineRule="auto"/>
        <w:jc w:val="both"/>
        <w:rPr>
          <w:rFonts w:ascii="Arial" w:eastAsia="Arial" w:hAnsi="Arial" w:cs="Arial"/>
          <w:b/>
          <w:color w:val="000000" w:themeColor="text1"/>
          <w:sz w:val="20"/>
          <w:szCs w:val="20"/>
          <w:vertAlign w:val="superscript"/>
          <w:lang w:val="en-GB"/>
        </w:rPr>
      </w:pPr>
      <w:r w:rsidRPr="00306F4D">
        <w:rPr>
          <w:rFonts w:ascii="Arial" w:eastAsia="Arial" w:hAnsi="Arial" w:cs="Arial"/>
          <w:color w:val="000000" w:themeColor="text1"/>
          <w:sz w:val="20"/>
          <w:szCs w:val="20"/>
          <w:lang w:val="en-GB"/>
        </w:rPr>
        <w:t>Serbia has a moderate, warm-humid continental climate and continental precipitation regime, influenced by the Adriatic and Mediterranean Seas</w:t>
      </w:r>
      <w:r w:rsidR="5043323F" w:rsidRPr="00306F4D">
        <w:rPr>
          <w:rFonts w:ascii="Arial" w:eastAsia="Arial" w:hAnsi="Arial" w:cs="Arial"/>
          <w:color w:val="000000" w:themeColor="text1"/>
          <w:sz w:val="20"/>
          <w:szCs w:val="20"/>
          <w:lang w:val="en-GB"/>
        </w:rPr>
        <w:t>.</w:t>
      </w:r>
      <w:r w:rsidR="03B591D9" w:rsidRPr="00306F4D">
        <w:rPr>
          <w:rFonts w:ascii="Arial" w:eastAsia="Arial" w:hAnsi="Arial" w:cs="Arial"/>
          <w:color w:val="000000" w:themeColor="text1"/>
          <w:sz w:val="20"/>
          <w:szCs w:val="20"/>
          <w:vertAlign w:val="superscript"/>
        </w:rPr>
        <w:footnoteReference w:id="96"/>
      </w:r>
      <w:r w:rsidR="36DB6FBE" w:rsidRPr="00306F4D">
        <w:rPr>
          <w:rFonts w:ascii="Arial" w:eastAsia="Arial" w:hAnsi="Arial" w:cs="Arial"/>
          <w:color w:val="000000" w:themeColor="text1"/>
          <w:sz w:val="20"/>
          <w:szCs w:val="20"/>
          <w:lang w:val="en-GB"/>
        </w:rPr>
        <w:t xml:space="preserve"> </w:t>
      </w:r>
      <w:r w:rsidR="46C4EDF5" w:rsidRPr="00306F4D">
        <w:rPr>
          <w:rFonts w:ascii="Arial" w:eastAsia="Arial" w:hAnsi="Arial" w:cs="Arial"/>
          <w:color w:val="000000" w:themeColor="text1"/>
          <w:sz w:val="20"/>
          <w:szCs w:val="20"/>
          <w:lang w:val="en-GB"/>
        </w:rPr>
        <w:t xml:space="preserve">Serbia’s geographic diversity shapes its climate and local context for adaptation, including variations in elevation, proximity to the Adriatic Sea and large river basins, and exposure to winds. </w:t>
      </w:r>
      <w:r w:rsidR="6E4E61D1" w:rsidRPr="00306F4D">
        <w:rPr>
          <w:rFonts w:ascii="Arial" w:eastAsia="Arial" w:hAnsi="Arial" w:cs="Arial"/>
          <w:color w:val="000000" w:themeColor="text1"/>
          <w:sz w:val="20"/>
          <w:szCs w:val="20"/>
          <w:lang w:val="en-GB"/>
        </w:rPr>
        <w:t>In the Serbia</w:t>
      </w:r>
      <w:r w:rsidR="4D52437A" w:rsidRPr="00306F4D">
        <w:rPr>
          <w:rFonts w:ascii="Arial" w:eastAsia="Arial" w:hAnsi="Arial" w:cs="Arial"/>
          <w:color w:val="000000" w:themeColor="text1"/>
          <w:sz w:val="20"/>
          <w:szCs w:val="20"/>
          <w:lang w:val="en-GB"/>
        </w:rPr>
        <w:t>n</w:t>
      </w:r>
      <w:r w:rsidR="6E4E61D1" w:rsidRPr="00306F4D">
        <w:rPr>
          <w:rFonts w:ascii="Arial" w:eastAsia="Arial" w:hAnsi="Arial" w:cs="Arial"/>
          <w:color w:val="000000" w:themeColor="text1"/>
          <w:sz w:val="20"/>
          <w:szCs w:val="20"/>
          <w:lang w:val="en-GB"/>
        </w:rPr>
        <w:t xml:space="preserve"> NAP (2023),</w:t>
      </w:r>
      <w:r w:rsidR="6E4E61D1" w:rsidRPr="00306F4D">
        <w:rPr>
          <w:rFonts w:ascii="Arial" w:eastAsia="Arial" w:hAnsi="Arial" w:cs="Arial"/>
          <w:b/>
          <w:bCs/>
          <w:color w:val="000000" w:themeColor="text1"/>
          <w:sz w:val="20"/>
          <w:szCs w:val="20"/>
          <w:lang w:val="en-GB"/>
        </w:rPr>
        <w:t xml:space="preserve"> </w:t>
      </w:r>
      <w:r w:rsidR="3E252B7B" w:rsidRPr="00306F4D">
        <w:rPr>
          <w:rFonts w:ascii="Arial" w:eastAsia="Arial" w:hAnsi="Arial" w:cs="Arial"/>
          <w:color w:val="000000" w:themeColor="text1"/>
          <w:sz w:val="20"/>
          <w:szCs w:val="20"/>
          <w:lang w:val="en-GB"/>
        </w:rPr>
        <w:t>the government</w:t>
      </w:r>
      <w:r w:rsidR="3E252B7B" w:rsidRPr="00306F4D" w:rsidDel="00AB2746">
        <w:rPr>
          <w:rFonts w:ascii="Arial" w:eastAsia="Arial" w:hAnsi="Arial" w:cs="Arial"/>
          <w:color w:val="000000" w:themeColor="text1"/>
          <w:sz w:val="20"/>
          <w:szCs w:val="20"/>
          <w:lang w:val="en-GB"/>
        </w:rPr>
        <w:t xml:space="preserve"> </w:t>
      </w:r>
      <w:r w:rsidR="3E252B7B" w:rsidRPr="00306F4D">
        <w:rPr>
          <w:rFonts w:ascii="Arial" w:eastAsia="Arial" w:hAnsi="Arial" w:cs="Arial"/>
          <w:color w:val="000000" w:themeColor="text1"/>
          <w:sz w:val="20"/>
          <w:szCs w:val="20"/>
          <w:lang w:val="en-GB"/>
        </w:rPr>
        <w:t>prioritize</w:t>
      </w:r>
      <w:r w:rsidR="3E252B7B" w:rsidRPr="00306F4D" w:rsidDel="002E0ADF">
        <w:rPr>
          <w:rFonts w:ascii="Arial" w:eastAsia="Arial" w:hAnsi="Arial" w:cs="Arial"/>
          <w:color w:val="000000" w:themeColor="text1"/>
          <w:sz w:val="20"/>
          <w:szCs w:val="20"/>
          <w:lang w:val="en-GB"/>
        </w:rPr>
        <w:t>d</w:t>
      </w:r>
      <w:r w:rsidR="3E252B7B" w:rsidRPr="00306F4D" w:rsidDel="00FB32B2">
        <w:rPr>
          <w:rFonts w:ascii="Arial" w:eastAsia="Arial" w:hAnsi="Arial" w:cs="Arial"/>
          <w:color w:val="000000" w:themeColor="text1"/>
          <w:sz w:val="20"/>
          <w:szCs w:val="20"/>
          <w:lang w:val="en-GB"/>
        </w:rPr>
        <w:t xml:space="preserve"> </w:t>
      </w:r>
      <w:r w:rsidR="6E4E61D1" w:rsidRPr="00306F4D" w:rsidDel="002E0ADF">
        <w:rPr>
          <w:rFonts w:ascii="Arial" w:eastAsia="Arial" w:hAnsi="Arial" w:cs="Arial"/>
          <w:color w:val="000000" w:themeColor="text1"/>
          <w:sz w:val="20"/>
          <w:szCs w:val="20"/>
          <w:lang w:val="en-GB"/>
        </w:rPr>
        <w:t>six “climatic impact-drivers”, or climate hazards</w:t>
      </w:r>
      <w:r w:rsidR="3ACBBB57" w:rsidRPr="00306F4D">
        <w:rPr>
          <w:rFonts w:asciiTheme="minorHAnsi" w:eastAsiaTheme="minorEastAsia" w:hAnsiTheme="minorHAnsi" w:cstheme="minorBidi"/>
          <w:color w:val="000000" w:themeColor="text1"/>
          <w:sz w:val="20"/>
          <w:szCs w:val="20"/>
          <w:vertAlign w:val="superscript"/>
          <w:lang w:val="en-GB"/>
        </w:rPr>
        <w:footnoteReference w:id="97"/>
      </w:r>
      <w:r w:rsidR="6E4E61D1" w:rsidRPr="00306F4D">
        <w:rPr>
          <w:rFonts w:ascii="Arial" w:eastAsia="Arial" w:hAnsi="Arial" w:cs="Arial"/>
          <w:color w:val="000000" w:themeColor="text1"/>
          <w:sz w:val="20"/>
          <w:szCs w:val="20"/>
          <w:lang w:val="en-GB"/>
        </w:rPr>
        <w:t>: (1) increased climate variability, (2) increase in temperature and heat waves, (3) change in the annual-precipitation distribution, (4) change in precipitation-intensity distribution, (5) change in droughts, and (6) change in climate aridity/dryness.</w:t>
      </w:r>
      <w:r w:rsidR="6E0220F6" w:rsidRPr="00306F4D">
        <w:rPr>
          <w:rFonts w:ascii="Arial" w:eastAsia="Arial" w:hAnsi="Arial" w:cs="Arial"/>
          <w:color w:val="000000" w:themeColor="text1"/>
          <w:sz w:val="20"/>
          <w:szCs w:val="20"/>
          <w:lang w:val="en-GB"/>
        </w:rPr>
        <w:t xml:space="preserve"> These</w:t>
      </w:r>
      <w:r w:rsidR="6E4E61D1" w:rsidRPr="00306F4D">
        <w:rPr>
          <w:rFonts w:ascii="Arial" w:eastAsia="Arial" w:hAnsi="Arial" w:cs="Arial"/>
          <w:color w:val="000000" w:themeColor="text1"/>
          <w:sz w:val="20"/>
          <w:szCs w:val="20"/>
          <w:lang w:val="en-GB"/>
        </w:rPr>
        <w:t xml:space="preserve"> climatic impact-drivers contribute to one or more of four climate hazard groups, which Serbia identifies as</w:t>
      </w:r>
      <w:r w:rsidR="398EDEDA" w:rsidRPr="00306F4D" w:rsidDel="002259F8">
        <w:rPr>
          <w:rFonts w:ascii="Arial" w:eastAsia="Arial" w:hAnsi="Arial" w:cs="Arial"/>
          <w:color w:val="000000" w:themeColor="text1"/>
          <w:sz w:val="20"/>
          <w:szCs w:val="20"/>
          <w:lang w:val="en-GB"/>
        </w:rPr>
        <w:t>: Too Warm; Too Wet; Too Dry; and Storms</w:t>
      </w:r>
      <w:r w:rsidR="4848A0CF" w:rsidRPr="00306F4D">
        <w:rPr>
          <w:rFonts w:ascii="Arial" w:eastAsia="Arial" w:hAnsi="Arial" w:cs="Arial"/>
          <w:color w:val="000000" w:themeColor="text1"/>
          <w:sz w:val="20"/>
          <w:szCs w:val="20"/>
          <w:lang w:val="en-GB"/>
        </w:rPr>
        <w:t>.</w:t>
      </w:r>
      <w:r w:rsidR="3ACBBB57" w:rsidRPr="00306F4D">
        <w:rPr>
          <w:rFonts w:ascii="Arial" w:eastAsia="Arial" w:hAnsi="Arial" w:cs="Arial"/>
          <w:color w:val="000000" w:themeColor="text1"/>
          <w:sz w:val="20"/>
          <w:szCs w:val="20"/>
          <w:vertAlign w:val="superscript"/>
          <w:lang w:val="en-GB"/>
        </w:rPr>
        <w:footnoteReference w:id="98"/>
      </w:r>
      <w:r w:rsidR="47082695" w:rsidRPr="00306F4D">
        <w:rPr>
          <w:rFonts w:ascii="Arial" w:eastAsia="Arial" w:hAnsi="Arial" w:cs="Arial"/>
          <w:color w:val="000000" w:themeColor="text1"/>
          <w:sz w:val="20"/>
          <w:szCs w:val="20"/>
          <w:lang w:val="en-GB"/>
        </w:rPr>
        <w:t xml:space="preserve">An increase </w:t>
      </w:r>
      <w:r w:rsidR="2225EBAD" w:rsidRPr="00306F4D">
        <w:rPr>
          <w:rFonts w:ascii="Arial" w:eastAsia="Arial" w:hAnsi="Arial" w:cs="Arial"/>
          <w:color w:val="000000" w:themeColor="text1"/>
          <w:sz w:val="20"/>
          <w:szCs w:val="20"/>
          <w:lang w:val="en-GB"/>
        </w:rPr>
        <w:t xml:space="preserve">in </w:t>
      </w:r>
      <w:r w:rsidR="47082695" w:rsidRPr="00306F4D" w:rsidDel="00386CDF">
        <w:rPr>
          <w:rFonts w:ascii="Arial" w:eastAsia="Arial" w:hAnsi="Arial" w:cs="Arial"/>
          <w:color w:val="000000" w:themeColor="text1"/>
          <w:sz w:val="20"/>
          <w:szCs w:val="20"/>
          <w:lang w:val="en-GB"/>
        </w:rPr>
        <w:t xml:space="preserve">the level of aridity of the climate </w:t>
      </w:r>
      <w:r w:rsidR="47082695" w:rsidRPr="00306F4D" w:rsidDel="00386CDF">
        <w:rPr>
          <w:rFonts w:ascii="Arial" w:eastAsia="Arial" w:hAnsi="Arial" w:cs="Arial"/>
          <w:color w:val="000000" w:themeColor="text1"/>
          <w:sz w:val="20"/>
          <w:szCs w:val="20"/>
          <w:lang w:val="en-GB"/>
        </w:rPr>
        <w:lastRenderedPageBreak/>
        <w:t xml:space="preserve">in Serbia is expected, meaning increasingly drier average climate conditions. </w:t>
      </w:r>
      <w:r w:rsidR="47082695" w:rsidRPr="00306F4D">
        <w:rPr>
          <w:rFonts w:ascii="Arial" w:eastAsia="Arial" w:hAnsi="Arial" w:cs="Arial"/>
          <w:color w:val="000000" w:themeColor="text1"/>
          <w:sz w:val="20"/>
          <w:szCs w:val="20"/>
          <w:lang w:val="en-GB"/>
        </w:rPr>
        <w:t xml:space="preserve">Due to the </w:t>
      </w:r>
      <w:proofErr w:type="spellStart"/>
      <w:r w:rsidR="47082695" w:rsidRPr="00306F4D">
        <w:rPr>
          <w:rFonts w:ascii="Arial" w:eastAsia="Arial" w:hAnsi="Arial" w:cs="Arial"/>
          <w:color w:val="000000" w:themeColor="text1"/>
          <w:sz w:val="20"/>
          <w:szCs w:val="20"/>
          <w:lang w:val="en-GB"/>
        </w:rPr>
        <w:t>unfavorable</w:t>
      </w:r>
      <w:proofErr w:type="spellEnd"/>
      <w:r w:rsidR="47082695" w:rsidRPr="00306F4D">
        <w:rPr>
          <w:rFonts w:ascii="Arial" w:eastAsia="Arial" w:hAnsi="Arial" w:cs="Arial"/>
          <w:color w:val="000000" w:themeColor="text1"/>
          <w:sz w:val="20"/>
          <w:szCs w:val="20"/>
          <w:lang w:val="en-GB"/>
        </w:rPr>
        <w:t xml:space="preserve"> distribution of precipitation during the year, in the largest part of the country, except in the high mountains of the western Serbia, the JJA season is “semi-dry”.</w:t>
      </w:r>
      <w:r w:rsidR="47082695" w:rsidRPr="00306F4D" w:rsidDel="00AA39AC">
        <w:rPr>
          <w:rFonts w:ascii="Arial" w:eastAsia="Arial" w:hAnsi="Arial" w:cs="Arial"/>
          <w:color w:val="000000" w:themeColor="text1"/>
          <w:sz w:val="20"/>
          <w:szCs w:val="20"/>
          <w:lang w:val="en-GB"/>
        </w:rPr>
        <w:t xml:space="preserve"> </w:t>
      </w:r>
      <w:r w:rsidR="47082695" w:rsidRPr="00306F4D" w:rsidDel="001A7157">
        <w:rPr>
          <w:rFonts w:ascii="Arial" w:eastAsia="Arial" w:hAnsi="Arial" w:cs="Arial"/>
          <w:color w:val="000000" w:themeColor="text1"/>
          <w:sz w:val="20"/>
          <w:szCs w:val="20"/>
          <w:lang w:val="en-GB"/>
        </w:rPr>
        <w:t>In 2041-2060, on average, Serbia will have a “dry sub-humid” climate, and in RCP8.5 it will be “semi-arid” in 2081-2100. The increased climate variability means more frequent occurrence of years with drier conditions, as well as the afore-mentioned increase in droughts.</w:t>
      </w:r>
      <w:r w:rsidR="00BE6328" w:rsidRPr="00306F4D">
        <w:rPr>
          <w:rFonts w:ascii="Arial" w:eastAsia="Arial" w:hAnsi="Arial" w:cs="Arial"/>
          <w:color w:val="000000" w:themeColor="text1"/>
          <w:sz w:val="20"/>
          <w:szCs w:val="20"/>
          <w:lang w:val="en-GB"/>
        </w:rPr>
        <w:t xml:space="preserve"> Landslides in Serbia are a significant risk to life, livelihoods, and the environment</w:t>
      </w:r>
      <w:r w:rsidR="25FEB590" w:rsidRPr="00306F4D">
        <w:rPr>
          <w:rFonts w:ascii="Arial" w:eastAsia="Arial" w:hAnsi="Arial" w:cs="Arial"/>
          <w:color w:val="000000" w:themeColor="text1"/>
          <w:sz w:val="20"/>
          <w:szCs w:val="20"/>
          <w:lang w:val="en-GB"/>
        </w:rPr>
        <w:t xml:space="preserve"> </w:t>
      </w:r>
      <w:r w:rsidR="5B0511F6" w:rsidRPr="00306F4D">
        <w:rPr>
          <w:rFonts w:ascii="Arial" w:eastAsia="Arial" w:hAnsi="Arial" w:cs="Arial"/>
          <w:color w:val="000000" w:themeColor="text1"/>
          <w:sz w:val="20"/>
          <w:szCs w:val="20"/>
          <w:vertAlign w:val="superscript"/>
          <w:lang w:val="en-GB"/>
        </w:rPr>
        <w:footnoteReference w:id="99"/>
      </w:r>
      <w:r w:rsidR="5CE7F87A" w:rsidRPr="00306F4D">
        <w:rPr>
          <w:rFonts w:ascii="Arial" w:eastAsia="Arial" w:hAnsi="Arial" w:cs="Arial"/>
          <w:color w:val="000000" w:themeColor="text1"/>
          <w:sz w:val="20"/>
          <w:szCs w:val="20"/>
          <w:lang w:val="en-GB"/>
        </w:rPr>
        <w:t>, and are increasing, particularly in the central and eastern parts of the country, due to a combination of factors, including climate change, extreme weather events, particularly heavy precipitation (rain and snow) and floods, and human activities.</w:t>
      </w:r>
      <w:r w:rsidR="6C693C2F" w:rsidRPr="00306F4D" w:rsidDel="000459E0">
        <w:rPr>
          <w:rFonts w:ascii="Arial" w:eastAsia="Arial" w:hAnsi="Arial" w:cs="Arial"/>
          <w:color w:val="000000" w:themeColor="text1"/>
          <w:sz w:val="20"/>
          <w:szCs w:val="20"/>
          <w:lang w:val="en-GB"/>
        </w:rPr>
        <w:t xml:space="preserve"> </w:t>
      </w:r>
      <w:r w:rsidR="6D1205C2" w:rsidRPr="00306F4D">
        <w:rPr>
          <w:rFonts w:ascii="Arial" w:eastAsia="Arial" w:hAnsi="Arial" w:cs="Arial"/>
          <w:color w:val="000000" w:themeColor="text1"/>
          <w:sz w:val="20"/>
          <w:szCs w:val="20"/>
        </w:rPr>
        <w:t>Serbia is prone to landslides triggered by heavy rainfall, snow thaws, and earthquakes</w:t>
      </w:r>
      <w:r w:rsidR="670C512A" w:rsidRPr="00306F4D">
        <w:rPr>
          <w:rFonts w:ascii="Arial" w:eastAsia="Arial" w:hAnsi="Arial" w:cs="Arial"/>
          <w:color w:val="000000" w:themeColor="text1"/>
          <w:sz w:val="20"/>
          <w:szCs w:val="20"/>
        </w:rPr>
        <w:t xml:space="preserve">. </w:t>
      </w:r>
      <w:r w:rsidR="0C850B0A" w:rsidRPr="00306F4D">
        <w:rPr>
          <w:rFonts w:ascii="Arial" w:eastAsia="Arial" w:hAnsi="Arial" w:cs="Arial"/>
          <w:color w:val="000000" w:themeColor="text1"/>
          <w:sz w:val="20"/>
          <w:szCs w:val="20"/>
          <w:lang w:val="en-GB"/>
        </w:rPr>
        <w:t>The climate hazards that threaten human health and safety are increasing and they will continue to increase in the future in Serbia</w:t>
      </w:r>
      <w:r w:rsidR="5270DDA0" w:rsidRPr="00306F4D">
        <w:rPr>
          <w:rFonts w:ascii="Arial" w:eastAsia="Arial" w:hAnsi="Arial" w:cs="Arial"/>
          <w:color w:val="000000" w:themeColor="text1"/>
          <w:sz w:val="20"/>
          <w:szCs w:val="20"/>
          <w:lang w:val="en-GB"/>
        </w:rPr>
        <w:t xml:space="preserve"> to cause</w:t>
      </w:r>
      <w:r w:rsidR="5270DDA0" w:rsidRPr="00306F4D" w:rsidDel="001F2B85">
        <w:rPr>
          <w:rFonts w:ascii="Arial" w:eastAsia="Arial" w:hAnsi="Arial" w:cs="Arial"/>
          <w:color w:val="000000" w:themeColor="text1"/>
          <w:sz w:val="20"/>
          <w:szCs w:val="20"/>
          <w:lang w:val="en-GB"/>
        </w:rPr>
        <w:t xml:space="preserve"> </w:t>
      </w:r>
      <w:r w:rsidR="5270DDA0" w:rsidRPr="00306F4D">
        <w:rPr>
          <w:rFonts w:ascii="Arial" w:eastAsia="Arial" w:hAnsi="Arial" w:cs="Arial"/>
          <w:color w:val="000000" w:themeColor="text1"/>
          <w:sz w:val="20"/>
          <w:szCs w:val="20"/>
          <w:lang w:val="en-GB"/>
        </w:rPr>
        <w:t>w</w:t>
      </w:r>
      <w:r w:rsidR="0C850B0A" w:rsidRPr="00306F4D">
        <w:rPr>
          <w:rFonts w:ascii="Arial" w:eastAsia="Arial" w:hAnsi="Arial" w:cs="Arial"/>
          <w:color w:val="000000" w:themeColor="text1"/>
          <w:sz w:val="20"/>
          <w:szCs w:val="20"/>
          <w:lang w:val="en-GB"/>
        </w:rPr>
        <w:t>orsening of health conditions</w:t>
      </w:r>
      <w:r w:rsidR="5270DDA0" w:rsidRPr="00306F4D">
        <w:rPr>
          <w:rFonts w:ascii="Arial" w:eastAsia="Arial" w:hAnsi="Arial" w:cs="Arial"/>
          <w:color w:val="000000" w:themeColor="text1"/>
          <w:sz w:val="20"/>
          <w:szCs w:val="20"/>
          <w:lang w:val="en-GB"/>
        </w:rPr>
        <w:t xml:space="preserve"> and </w:t>
      </w:r>
      <w:r w:rsidR="0C850B0A" w:rsidRPr="00306F4D">
        <w:rPr>
          <w:rFonts w:ascii="Arial" w:eastAsia="Arial" w:hAnsi="Arial" w:cs="Arial"/>
          <w:color w:val="000000" w:themeColor="text1"/>
          <w:sz w:val="20"/>
          <w:szCs w:val="20"/>
          <w:lang w:val="en-GB"/>
        </w:rPr>
        <w:t>premature deaths.</w:t>
      </w:r>
      <w:r w:rsidR="3ACBBB57" w:rsidRPr="00306F4D">
        <w:rPr>
          <w:rFonts w:ascii="Arial" w:eastAsia="Arial" w:hAnsi="Arial" w:cs="Arial"/>
          <w:color w:val="000000" w:themeColor="text1"/>
          <w:sz w:val="20"/>
          <w:szCs w:val="20"/>
          <w:vertAlign w:val="superscript"/>
          <w:lang w:val="en-GB"/>
        </w:rPr>
        <w:footnoteReference w:id="100"/>
      </w:r>
      <w:r w:rsidR="00873F4B" w:rsidRPr="00306F4D">
        <w:rPr>
          <w:rFonts w:ascii="Arial" w:eastAsia="Arial" w:hAnsi="Arial" w:cs="Arial"/>
          <w:color w:val="000000" w:themeColor="text1"/>
          <w:sz w:val="20"/>
          <w:szCs w:val="20"/>
          <w:lang w:val="en-GB"/>
        </w:rPr>
        <w:t xml:space="preserve"> </w:t>
      </w:r>
      <w:r w:rsidR="0C0C571F" w:rsidRPr="00306F4D">
        <w:rPr>
          <w:rFonts w:ascii="Arial" w:eastAsia="Arial" w:hAnsi="Arial" w:cs="Arial"/>
          <w:color w:val="000000" w:themeColor="text1"/>
          <w:sz w:val="20"/>
          <w:szCs w:val="20"/>
          <w:lang w:val="en-GB"/>
        </w:rPr>
        <w:t>Serbia</w:t>
      </w:r>
      <w:r w:rsidR="4F2BADB8" w:rsidRPr="00306F4D">
        <w:rPr>
          <w:rFonts w:ascii="Arial" w:eastAsia="Arial" w:hAnsi="Arial" w:cs="Arial"/>
          <w:color w:val="000000" w:themeColor="text1"/>
          <w:sz w:val="20"/>
          <w:szCs w:val="20"/>
          <w:lang w:val="en-GB"/>
        </w:rPr>
        <w:t>n</w:t>
      </w:r>
      <w:r w:rsidR="0C0C571F" w:rsidRPr="00306F4D">
        <w:rPr>
          <w:rFonts w:ascii="Arial" w:eastAsia="Arial" w:hAnsi="Arial" w:cs="Arial"/>
          <w:color w:val="000000" w:themeColor="text1"/>
          <w:sz w:val="20"/>
          <w:szCs w:val="20"/>
          <w:lang w:val="en-GB"/>
        </w:rPr>
        <w:t xml:space="preserve"> NAP </w:t>
      </w:r>
      <w:r w:rsidR="12BF4CB6" w:rsidRPr="00306F4D">
        <w:rPr>
          <w:rFonts w:ascii="Arial" w:eastAsia="Arial" w:hAnsi="Arial" w:cs="Arial"/>
          <w:color w:val="000000" w:themeColor="text1"/>
          <w:sz w:val="20"/>
          <w:szCs w:val="20"/>
          <w:lang w:val="en-GB"/>
        </w:rPr>
        <w:t>(</w:t>
      </w:r>
      <w:r w:rsidR="0C0C571F" w:rsidRPr="00306F4D">
        <w:rPr>
          <w:rFonts w:ascii="Arial" w:eastAsia="Arial" w:hAnsi="Arial" w:cs="Arial"/>
          <w:color w:val="000000" w:themeColor="text1"/>
          <w:sz w:val="20"/>
          <w:szCs w:val="20"/>
          <w:lang w:val="en-GB"/>
        </w:rPr>
        <w:t>202</w:t>
      </w:r>
      <w:r w:rsidR="149ABFA7" w:rsidRPr="00306F4D">
        <w:rPr>
          <w:rFonts w:ascii="Arial" w:eastAsia="Arial" w:hAnsi="Arial" w:cs="Arial"/>
          <w:color w:val="000000" w:themeColor="text1"/>
          <w:sz w:val="20"/>
          <w:szCs w:val="20"/>
          <w:lang w:val="en-GB"/>
        </w:rPr>
        <w:t>3</w:t>
      </w:r>
      <w:r w:rsidR="49FBC8B3" w:rsidRPr="00306F4D">
        <w:rPr>
          <w:rFonts w:ascii="Arial" w:eastAsia="Arial" w:hAnsi="Arial" w:cs="Arial"/>
          <w:color w:val="000000" w:themeColor="text1"/>
          <w:sz w:val="20"/>
          <w:szCs w:val="20"/>
          <w:lang w:val="en-GB"/>
        </w:rPr>
        <w:t>)</w:t>
      </w:r>
      <w:r w:rsidR="2B429E2D" w:rsidRPr="00306F4D">
        <w:rPr>
          <w:rFonts w:ascii="Arial" w:eastAsia="Arial" w:hAnsi="Arial" w:cs="Arial"/>
          <w:color w:val="000000" w:themeColor="text1"/>
          <w:sz w:val="20"/>
          <w:szCs w:val="20"/>
          <w:lang w:val="en-GB"/>
        </w:rPr>
        <w:t xml:space="preserve"> </w:t>
      </w:r>
      <w:r w:rsidR="23FD6C37" w:rsidRPr="00306F4D">
        <w:rPr>
          <w:rFonts w:ascii="Arial" w:eastAsia="Arial" w:hAnsi="Arial" w:cs="Arial"/>
          <w:color w:val="000000" w:themeColor="text1"/>
          <w:sz w:val="20"/>
          <w:szCs w:val="20"/>
          <w:lang w:val="en-GB"/>
        </w:rPr>
        <w:t>propose</w:t>
      </w:r>
      <w:r w:rsidR="3ACF150C" w:rsidRPr="00306F4D">
        <w:rPr>
          <w:rFonts w:ascii="Arial" w:eastAsia="Arial" w:hAnsi="Arial" w:cs="Arial"/>
          <w:color w:val="000000" w:themeColor="text1"/>
          <w:sz w:val="20"/>
          <w:szCs w:val="20"/>
          <w:lang w:val="en-GB"/>
        </w:rPr>
        <w:t>s</w:t>
      </w:r>
      <w:r w:rsidR="0C0C571F" w:rsidRPr="00306F4D">
        <w:rPr>
          <w:rFonts w:ascii="Arial" w:eastAsia="Arial" w:hAnsi="Arial" w:cs="Arial"/>
          <w:color w:val="000000" w:themeColor="text1"/>
          <w:sz w:val="20"/>
          <w:szCs w:val="20"/>
          <w:lang w:val="en-GB"/>
        </w:rPr>
        <w:t xml:space="preserve"> 25 priority adaptation measures in eight climate-vulnerable sectors: </w:t>
      </w:r>
      <w:r w:rsidR="0C0C571F" w:rsidRPr="00306F4D">
        <w:rPr>
          <w:rFonts w:ascii="Arial" w:eastAsia="Arial" w:hAnsi="Arial" w:cs="Arial"/>
          <w:b/>
          <w:bCs/>
          <w:color w:val="000000" w:themeColor="text1"/>
          <w:sz w:val="20"/>
          <w:szCs w:val="20"/>
          <w:lang w:val="en-GB"/>
        </w:rPr>
        <w:t>Cross-Cutting Measures (9), Agriculture (6), Forestry (3), Road Infrastructure (1), Urban Planning (2), Energy Sector (2), Health Sector (1), Biodiversity (1)</w:t>
      </w:r>
      <w:r w:rsidR="0C0C571F" w:rsidRPr="00306F4D">
        <w:rPr>
          <w:rFonts w:ascii="Arial" w:eastAsia="Arial" w:hAnsi="Arial" w:cs="Arial"/>
          <w:color w:val="000000" w:themeColor="text1"/>
          <w:sz w:val="20"/>
          <w:szCs w:val="20"/>
          <w:lang w:val="en-GB"/>
        </w:rPr>
        <w:t xml:space="preserve">. </w:t>
      </w:r>
      <w:r w:rsidR="4B6A8152" w:rsidRPr="00306F4D">
        <w:rPr>
          <w:rFonts w:ascii="Arial" w:eastAsia="Arial" w:hAnsi="Arial" w:cs="Arial"/>
          <w:sz w:val="20"/>
          <w:szCs w:val="20"/>
          <w:vertAlign w:val="superscript"/>
        </w:rPr>
        <w:footnoteReference w:id="101"/>
      </w:r>
    </w:p>
    <w:p w14:paraId="79D21668" w14:textId="334C8FE5" w:rsidR="4186447D" w:rsidRPr="00306F4D" w:rsidRDefault="4186447D" w:rsidP="4186447D">
      <w:pPr>
        <w:rPr>
          <w:rStyle w:val="Heading3Char"/>
          <w:rFonts w:ascii="Arial" w:eastAsia="Arial" w:hAnsi="Arial" w:cs="Arial"/>
          <w:b/>
          <w:bCs/>
          <w:sz w:val="20"/>
          <w:szCs w:val="20"/>
          <w:lang w:val="en-GB"/>
        </w:rPr>
      </w:pPr>
      <w:bookmarkStart w:id="37" w:name="_Toc664947214"/>
      <w:bookmarkStart w:id="38" w:name="_Toc556415032"/>
    </w:p>
    <w:p w14:paraId="02F97982" w14:textId="6A21DFEE" w:rsidR="00BDE91E" w:rsidRPr="00306F4D" w:rsidRDefault="3F0DBF5F" w:rsidP="4186447D">
      <w:pPr>
        <w:rPr>
          <w:rStyle w:val="Heading3Char"/>
          <w:rFonts w:ascii="Arial" w:eastAsia="Arial" w:hAnsi="Arial" w:cs="Arial"/>
          <w:b/>
          <w:bCs/>
          <w:sz w:val="20"/>
          <w:szCs w:val="20"/>
          <w:lang w:val="en-GB"/>
        </w:rPr>
      </w:pPr>
      <w:r w:rsidRPr="00306F4D">
        <w:rPr>
          <w:rStyle w:val="Heading3Char"/>
          <w:rFonts w:ascii="Arial" w:eastAsia="Arial" w:hAnsi="Arial" w:cs="Arial"/>
          <w:b/>
          <w:bCs/>
          <w:sz w:val="20"/>
          <w:szCs w:val="20"/>
          <w:lang w:val="en-GB"/>
        </w:rPr>
        <w:t>Socio-Economic Vulnerability of Communities in the Western Balkans to Climate-Induced Risks</w:t>
      </w:r>
    </w:p>
    <w:p w14:paraId="5B2C3C75" w14:textId="26D86E1D" w:rsidR="00C95236" w:rsidRPr="00306F4D" w:rsidRDefault="5EDEB3D6" w:rsidP="02E2BB75">
      <w:pPr>
        <w:jc w:val="both"/>
        <w:rPr>
          <w:rFonts w:ascii="Arial" w:eastAsia="Arial" w:hAnsi="Arial" w:cs="Arial"/>
          <w:sz w:val="20"/>
          <w:szCs w:val="20"/>
        </w:rPr>
      </w:pPr>
      <w:r w:rsidRPr="00306F4D">
        <w:rPr>
          <w:rFonts w:ascii="Arial" w:eastAsia="Arial" w:hAnsi="Arial" w:cs="Arial"/>
          <w:sz w:val="20"/>
          <w:szCs w:val="20"/>
        </w:rPr>
        <w:t>The Western Balkan region is increasingly exposed to climate-induced hazards such as floods, droughts, wildfires, and heatwaves. These events are becoming more frequent and intense due to climate change, threatening lives, livelihoods, and development gains</w:t>
      </w:r>
      <w:bookmarkStart w:id="39" w:name="_Ref202344118"/>
      <w:r w:rsidR="000C24DB" w:rsidRPr="00306F4D">
        <w:rPr>
          <w:rStyle w:val="FootnoteReference"/>
          <w:rFonts w:ascii="Arial" w:eastAsia="Arial" w:hAnsi="Arial" w:cs="Arial"/>
          <w:sz w:val="20"/>
          <w:szCs w:val="20"/>
        </w:rPr>
        <w:footnoteReference w:id="102"/>
      </w:r>
      <w:bookmarkEnd w:id="39"/>
      <w:r w:rsidRPr="00306F4D">
        <w:rPr>
          <w:rFonts w:ascii="Arial" w:eastAsia="Arial" w:hAnsi="Arial" w:cs="Arial"/>
          <w:sz w:val="20"/>
          <w:szCs w:val="20"/>
        </w:rPr>
        <w:t>. Over the past decade, floods alone have affected more than two million people in the region, while wildfires and heatwaves have caused widespread damage and thousands of premature deaths</w:t>
      </w:r>
      <w:r w:rsidR="00287DB7" w:rsidRPr="00306F4D">
        <w:rPr>
          <w:rFonts w:ascii="Arial" w:hAnsi="Arial" w:cs="Arial"/>
          <w:sz w:val="20"/>
          <w:szCs w:val="20"/>
          <w:vertAlign w:val="superscript"/>
        </w:rPr>
        <w:fldChar w:fldCharType="begin"/>
      </w:r>
      <w:r w:rsidR="00287DB7" w:rsidRPr="00306F4D">
        <w:rPr>
          <w:rFonts w:ascii="Arial" w:hAnsi="Arial" w:cs="Arial"/>
          <w:sz w:val="20"/>
          <w:szCs w:val="20"/>
          <w:vertAlign w:val="superscript"/>
        </w:rPr>
        <w:instrText xml:space="preserve"> NOTEREF _Ref202344118 \h  \* MERGEFORMAT </w:instrText>
      </w:r>
      <w:r w:rsidR="00287DB7" w:rsidRPr="00306F4D">
        <w:rPr>
          <w:rFonts w:ascii="Arial" w:hAnsi="Arial" w:cs="Arial"/>
          <w:sz w:val="20"/>
          <w:szCs w:val="20"/>
          <w:vertAlign w:val="superscript"/>
        </w:rPr>
      </w:r>
      <w:r w:rsidR="00287DB7" w:rsidRPr="00306F4D">
        <w:rPr>
          <w:rFonts w:ascii="Arial" w:hAnsi="Arial" w:cs="Arial"/>
          <w:sz w:val="20"/>
          <w:szCs w:val="20"/>
          <w:vertAlign w:val="superscript"/>
        </w:rPr>
        <w:fldChar w:fldCharType="separate"/>
      </w:r>
      <w:r w:rsidR="4F7B1864" w:rsidRPr="00306F4D">
        <w:rPr>
          <w:rFonts w:ascii="Arial" w:hAnsi="Arial" w:cs="Arial"/>
          <w:sz w:val="20"/>
          <w:szCs w:val="20"/>
          <w:vertAlign w:val="superscript"/>
        </w:rPr>
        <w:t>98</w:t>
      </w:r>
      <w:r w:rsidR="00287DB7" w:rsidRPr="00306F4D">
        <w:rPr>
          <w:rFonts w:ascii="Arial" w:hAnsi="Arial" w:cs="Arial"/>
          <w:sz w:val="20"/>
          <w:szCs w:val="20"/>
          <w:vertAlign w:val="superscript"/>
        </w:rPr>
        <w:fldChar w:fldCharType="end"/>
      </w:r>
      <w:r w:rsidRPr="00306F4D">
        <w:rPr>
          <w:rFonts w:ascii="Arial" w:eastAsia="Arial" w:hAnsi="Arial" w:cs="Arial"/>
          <w:sz w:val="20"/>
          <w:szCs w:val="20"/>
        </w:rPr>
        <w:t>. These hazards are intensifying due to climate change, placing significant stress on already vulnerable populations.</w:t>
      </w:r>
    </w:p>
    <w:p w14:paraId="71B26054" w14:textId="31F22113" w:rsidR="441409A5" w:rsidRPr="00306F4D" w:rsidRDefault="098BA8AD" w:rsidP="009F03A3">
      <w:pPr>
        <w:pStyle w:val="Heading2"/>
        <w:rPr>
          <w:rFonts w:ascii="Arial" w:eastAsia="Arial" w:hAnsi="Arial" w:cs="Arial"/>
          <w:b/>
          <w:bCs/>
          <w:color w:val="0070C0"/>
          <w:sz w:val="20"/>
          <w:szCs w:val="20"/>
          <w:u w:val="single"/>
        </w:rPr>
      </w:pPr>
      <w:bookmarkStart w:id="40" w:name="_Toc202893729"/>
      <w:r w:rsidRPr="00306F4D">
        <w:rPr>
          <w:rFonts w:ascii="Arial" w:eastAsia="Arial" w:hAnsi="Arial" w:cs="Arial"/>
          <w:b/>
          <w:bCs/>
          <w:color w:val="0070C0"/>
          <w:sz w:val="20"/>
          <w:szCs w:val="20"/>
          <w:u w:val="single"/>
        </w:rPr>
        <w:t>Vulnerable Populations</w:t>
      </w:r>
      <w:r w:rsidR="41F21479" w:rsidRPr="00306F4D">
        <w:rPr>
          <w:rFonts w:ascii="Arial" w:eastAsia="Arial" w:hAnsi="Arial" w:cs="Arial"/>
          <w:b/>
          <w:bCs/>
          <w:color w:val="0070C0"/>
          <w:sz w:val="20"/>
          <w:szCs w:val="20"/>
          <w:u w:val="single"/>
        </w:rPr>
        <w:t xml:space="preserve"> in the Western Balkans</w:t>
      </w:r>
      <w:bookmarkEnd w:id="40"/>
    </w:p>
    <w:p w14:paraId="2EA8BD3F" w14:textId="701F74B2" w:rsidR="3FECD3EF" w:rsidRPr="00306F4D" w:rsidRDefault="647BEBAE" w:rsidP="4186447D">
      <w:pPr>
        <w:tabs>
          <w:tab w:val="left" w:pos="360"/>
        </w:tabs>
        <w:spacing w:before="120" w:after="240"/>
        <w:jc w:val="both"/>
        <w:rPr>
          <w:rFonts w:ascii="Arial" w:eastAsia="Arial" w:hAnsi="Arial" w:cs="Arial"/>
          <w:color w:val="000000" w:themeColor="text1"/>
          <w:sz w:val="20"/>
          <w:szCs w:val="20"/>
        </w:rPr>
      </w:pPr>
      <w:r w:rsidRPr="00306F4D">
        <w:rPr>
          <w:rFonts w:ascii="Arial" w:eastAsia="Arial" w:hAnsi="Arial" w:cs="Arial"/>
          <w:color w:val="000000" w:themeColor="text1"/>
          <w:sz w:val="20"/>
          <w:szCs w:val="20"/>
        </w:rPr>
        <w:t xml:space="preserve">The people of the Western Balkans region have a high population vulnerability to climate-induced risks because of the region’s socio-economic, demographic, and employment characteristics, and this is critically the case for the region’s vulnerable and marginalized communities, who are a high priority of the Regional Project. </w:t>
      </w:r>
      <w:r w:rsidR="4000C11C" w:rsidRPr="00306F4D">
        <w:rPr>
          <w:rFonts w:ascii="Arial" w:eastAsia="Arial" w:hAnsi="Arial" w:cs="Arial"/>
          <w:color w:val="000000" w:themeColor="text1"/>
          <w:sz w:val="20"/>
          <w:szCs w:val="20"/>
        </w:rPr>
        <w:t xml:space="preserve">Please refer to the </w:t>
      </w:r>
      <w:r w:rsidR="43F8B70F" w:rsidRPr="00306F4D">
        <w:rPr>
          <w:rFonts w:ascii="Arial" w:eastAsia="Arial" w:hAnsi="Arial" w:cs="Arial"/>
          <w:sz w:val="20"/>
          <w:szCs w:val="20"/>
          <w:lang w:val="en-GB"/>
        </w:rPr>
        <w:t>Gender Assessment and Action Plan</w:t>
      </w:r>
      <w:r w:rsidR="4000C11C" w:rsidRPr="00306F4D">
        <w:rPr>
          <w:rFonts w:ascii="Arial" w:eastAsia="Arial" w:hAnsi="Arial" w:cs="Arial"/>
          <w:color w:val="000000" w:themeColor="text1"/>
          <w:sz w:val="20"/>
          <w:szCs w:val="20"/>
        </w:rPr>
        <w:t xml:space="preserve"> (</w:t>
      </w:r>
      <w:r w:rsidR="4000C11C" w:rsidRPr="00306F4D">
        <w:rPr>
          <w:rFonts w:ascii="Arial" w:eastAsia="Arial" w:hAnsi="Arial" w:cs="Arial"/>
          <w:b/>
          <w:bCs/>
          <w:color w:val="000000" w:themeColor="text1"/>
          <w:sz w:val="20"/>
          <w:szCs w:val="20"/>
        </w:rPr>
        <w:t>Annex</w:t>
      </w:r>
      <w:r w:rsidR="43F8B70F" w:rsidRPr="00306F4D">
        <w:rPr>
          <w:rFonts w:ascii="Arial" w:eastAsia="Arial" w:hAnsi="Arial" w:cs="Arial"/>
          <w:b/>
          <w:bCs/>
          <w:color w:val="000000" w:themeColor="text1"/>
          <w:sz w:val="20"/>
          <w:szCs w:val="20"/>
        </w:rPr>
        <w:t xml:space="preserve"> 5</w:t>
      </w:r>
      <w:r w:rsidR="43F8B70F" w:rsidRPr="00306F4D">
        <w:rPr>
          <w:rFonts w:ascii="Arial" w:eastAsia="Arial" w:hAnsi="Arial" w:cs="Arial"/>
          <w:color w:val="000000" w:themeColor="text1"/>
          <w:sz w:val="20"/>
          <w:szCs w:val="20"/>
        </w:rPr>
        <w:t>) for more details.</w:t>
      </w:r>
      <w:r w:rsidR="4000C11C" w:rsidRPr="00306F4D">
        <w:rPr>
          <w:rFonts w:ascii="Arial" w:eastAsia="Arial" w:hAnsi="Arial" w:cs="Arial"/>
          <w:color w:val="000000" w:themeColor="text1"/>
          <w:sz w:val="20"/>
          <w:szCs w:val="20"/>
        </w:rPr>
        <w:t xml:space="preserve"> </w:t>
      </w:r>
    </w:p>
    <w:p w14:paraId="6EFB7C15" w14:textId="6C58111A" w:rsidR="00DD245F" w:rsidRPr="00306F4D" w:rsidRDefault="06EC6202" w:rsidP="4186447D">
      <w:pPr>
        <w:pStyle w:val="ListBullet"/>
        <w:numPr>
          <w:ilvl w:val="0"/>
          <w:numId w:val="0"/>
        </w:numPr>
        <w:jc w:val="both"/>
        <w:rPr>
          <w:rFonts w:ascii="Arial" w:eastAsia="Arial" w:hAnsi="Arial" w:cs="Arial"/>
          <w:sz w:val="20"/>
          <w:szCs w:val="20"/>
        </w:rPr>
      </w:pPr>
      <w:r w:rsidRPr="00306F4D">
        <w:rPr>
          <w:rFonts w:ascii="Arial" w:eastAsia="Arial" w:hAnsi="Arial" w:cs="Arial"/>
          <w:b/>
          <w:bCs/>
          <w:sz w:val="20"/>
          <w:szCs w:val="20"/>
        </w:rPr>
        <w:t>Rural and Agricultural Communities:</w:t>
      </w:r>
      <w:r w:rsidR="6A95A512" w:rsidRPr="00306F4D">
        <w:rPr>
          <w:rFonts w:ascii="Arial" w:eastAsia="Arial" w:hAnsi="Arial" w:cs="Arial"/>
          <w:sz w:val="20"/>
          <w:szCs w:val="20"/>
        </w:rPr>
        <w:t xml:space="preserve"> </w:t>
      </w:r>
      <w:r w:rsidRPr="00306F4D">
        <w:rPr>
          <w:rFonts w:ascii="Arial" w:eastAsia="Arial" w:hAnsi="Arial" w:cs="Arial"/>
          <w:sz w:val="20"/>
          <w:szCs w:val="20"/>
        </w:rPr>
        <w:t>Rural populations, particularly those dependent on agriculture, are among the most climate-vulnerable groups in the Western Balkans. Agriculture employs a significant portion of the workforce in countries like Albania and North Macedonia, yet it remains highly sensitive to climate variability. Droughts and erratic rainfall patterns have led to crop failures, livestock losses, and reduced income, pushing many smallholder farmers into poverty</w:t>
      </w:r>
      <w:bookmarkStart w:id="41" w:name="_Ref202344321"/>
      <w:r w:rsidR="00E1458E" w:rsidRPr="00306F4D">
        <w:rPr>
          <w:rStyle w:val="FootnoteReference"/>
          <w:rFonts w:ascii="Arial" w:eastAsia="Arial" w:hAnsi="Arial" w:cs="Arial"/>
          <w:sz w:val="20"/>
          <w:szCs w:val="20"/>
        </w:rPr>
        <w:footnoteReference w:id="103"/>
      </w:r>
      <w:bookmarkEnd w:id="41"/>
      <w:r w:rsidRPr="00306F4D">
        <w:rPr>
          <w:rFonts w:ascii="Arial" w:eastAsia="Arial" w:hAnsi="Arial" w:cs="Arial"/>
          <w:sz w:val="20"/>
          <w:szCs w:val="20"/>
        </w:rPr>
        <w:t>. Structural issues such as fragmented land ownership, outdated irrigation systems, and limited access to credit further exacerbate vulnerability</w:t>
      </w:r>
      <w:r w:rsidR="00E1458E" w:rsidRPr="00306F4D">
        <w:rPr>
          <w:rFonts w:ascii="Arial" w:hAnsi="Arial" w:cs="Arial"/>
          <w:sz w:val="20"/>
          <w:szCs w:val="20"/>
          <w:vertAlign w:val="superscript"/>
        </w:rPr>
        <w:fldChar w:fldCharType="begin"/>
      </w:r>
      <w:r w:rsidR="00E1458E" w:rsidRPr="00306F4D">
        <w:rPr>
          <w:rFonts w:ascii="Arial" w:hAnsi="Arial" w:cs="Arial"/>
          <w:sz w:val="20"/>
          <w:szCs w:val="20"/>
          <w:vertAlign w:val="superscript"/>
        </w:rPr>
        <w:instrText xml:space="preserve"> NOTEREF _Ref202344321 \h  \* MERGEFORMAT </w:instrText>
      </w:r>
      <w:r w:rsidR="00E1458E" w:rsidRPr="00306F4D">
        <w:rPr>
          <w:rFonts w:ascii="Arial" w:hAnsi="Arial" w:cs="Arial"/>
          <w:sz w:val="20"/>
          <w:szCs w:val="20"/>
          <w:vertAlign w:val="superscript"/>
        </w:rPr>
      </w:r>
      <w:r w:rsidR="00E1458E" w:rsidRPr="00306F4D">
        <w:rPr>
          <w:rFonts w:ascii="Arial" w:hAnsi="Arial" w:cs="Arial"/>
          <w:sz w:val="20"/>
          <w:szCs w:val="20"/>
          <w:vertAlign w:val="superscript"/>
        </w:rPr>
        <w:fldChar w:fldCharType="separate"/>
      </w:r>
      <w:r w:rsidR="04E0A4AF" w:rsidRPr="00306F4D">
        <w:rPr>
          <w:rFonts w:ascii="Arial" w:hAnsi="Arial" w:cs="Arial"/>
          <w:sz w:val="20"/>
          <w:szCs w:val="20"/>
          <w:vertAlign w:val="superscript"/>
        </w:rPr>
        <w:t>99</w:t>
      </w:r>
      <w:r w:rsidR="00E1458E" w:rsidRPr="00306F4D">
        <w:rPr>
          <w:rFonts w:ascii="Arial" w:hAnsi="Arial" w:cs="Arial"/>
          <w:sz w:val="20"/>
          <w:szCs w:val="20"/>
          <w:vertAlign w:val="superscript"/>
        </w:rPr>
        <w:fldChar w:fldCharType="end"/>
      </w:r>
      <w:r w:rsidRPr="00306F4D">
        <w:rPr>
          <w:rFonts w:ascii="Arial" w:eastAsia="Arial" w:hAnsi="Arial" w:cs="Arial"/>
          <w:sz w:val="20"/>
          <w:szCs w:val="20"/>
        </w:rPr>
        <w:t>.</w:t>
      </w:r>
    </w:p>
    <w:p w14:paraId="6EA75702" w14:textId="507370C5" w:rsidR="441409A5" w:rsidRPr="00306F4D" w:rsidRDefault="441409A5" w:rsidP="4186447D">
      <w:pPr>
        <w:pStyle w:val="ListBullet"/>
        <w:numPr>
          <w:ilvl w:val="0"/>
          <w:numId w:val="0"/>
        </w:numPr>
        <w:ind w:left="360"/>
        <w:jc w:val="both"/>
        <w:rPr>
          <w:rFonts w:ascii="Arial" w:eastAsia="Arial" w:hAnsi="Arial" w:cs="Arial"/>
          <w:sz w:val="20"/>
          <w:szCs w:val="20"/>
        </w:rPr>
      </w:pPr>
    </w:p>
    <w:p w14:paraId="236F5968" w14:textId="59E79A91" w:rsidR="00DD245F" w:rsidRPr="00306F4D" w:rsidRDefault="06EC6202" w:rsidP="4186447D">
      <w:pPr>
        <w:pStyle w:val="ListBullet"/>
        <w:numPr>
          <w:ilvl w:val="0"/>
          <w:numId w:val="0"/>
        </w:numPr>
        <w:jc w:val="both"/>
        <w:rPr>
          <w:rFonts w:ascii="Arial" w:eastAsia="Arial" w:hAnsi="Arial" w:cs="Arial"/>
          <w:b/>
          <w:bCs/>
          <w:sz w:val="20"/>
          <w:szCs w:val="20"/>
        </w:rPr>
      </w:pPr>
      <w:r w:rsidRPr="00306F4D">
        <w:rPr>
          <w:rFonts w:ascii="Arial" w:eastAsia="Arial" w:hAnsi="Arial" w:cs="Arial"/>
          <w:b/>
          <w:bCs/>
          <w:sz w:val="20"/>
          <w:szCs w:val="20"/>
        </w:rPr>
        <w:t>Urban Poor and Informal Settlements:</w:t>
      </w:r>
      <w:r w:rsidR="12E69019" w:rsidRPr="00306F4D">
        <w:rPr>
          <w:rFonts w:ascii="Arial" w:eastAsia="Arial" w:hAnsi="Arial" w:cs="Arial"/>
          <w:b/>
          <w:bCs/>
          <w:sz w:val="20"/>
          <w:szCs w:val="20"/>
        </w:rPr>
        <w:t xml:space="preserve"> </w:t>
      </w:r>
      <w:r w:rsidRPr="00306F4D">
        <w:rPr>
          <w:rFonts w:ascii="Arial" w:eastAsia="Arial" w:hAnsi="Arial" w:cs="Arial"/>
          <w:sz w:val="20"/>
          <w:szCs w:val="20"/>
        </w:rPr>
        <w:t>Urbanization in the Western Balkans has led to the expansion of informal settlements, particularly in secondary cities and peri-urban areas. These communities often lack basic infrastructure such as drainage, waste management, and emergency services. As a result, they are disproportionately affected by urban flooding, heatwaves, and landslides. The urban poor typically live in substandard housing with limited access to cooling or healthcare, increasing their exposure to climate-related health risks</w:t>
      </w:r>
      <w:bookmarkStart w:id="42" w:name="_Ref202344541"/>
      <w:r w:rsidR="00065C66" w:rsidRPr="00306F4D">
        <w:rPr>
          <w:rStyle w:val="FootnoteReference"/>
          <w:rFonts w:ascii="Arial" w:eastAsia="Arial" w:hAnsi="Arial" w:cs="Arial"/>
          <w:sz w:val="20"/>
          <w:szCs w:val="20"/>
        </w:rPr>
        <w:footnoteReference w:id="104"/>
      </w:r>
      <w:bookmarkEnd w:id="42"/>
      <w:r w:rsidRPr="00306F4D">
        <w:rPr>
          <w:rFonts w:ascii="Arial" w:eastAsia="Arial" w:hAnsi="Arial" w:cs="Arial"/>
          <w:sz w:val="20"/>
          <w:szCs w:val="20"/>
        </w:rPr>
        <w:t>.</w:t>
      </w:r>
    </w:p>
    <w:p w14:paraId="335EA801" w14:textId="0E04215A" w:rsidR="441409A5" w:rsidRPr="00306F4D" w:rsidRDefault="441409A5" w:rsidP="4186447D">
      <w:pPr>
        <w:pStyle w:val="ListBullet"/>
        <w:numPr>
          <w:ilvl w:val="0"/>
          <w:numId w:val="0"/>
        </w:numPr>
        <w:ind w:left="360"/>
        <w:jc w:val="both"/>
        <w:rPr>
          <w:rFonts w:ascii="Arial" w:eastAsia="Arial" w:hAnsi="Arial" w:cs="Arial"/>
          <w:b/>
          <w:bCs/>
          <w:sz w:val="20"/>
          <w:szCs w:val="20"/>
        </w:rPr>
      </w:pPr>
    </w:p>
    <w:p w14:paraId="188E1689" w14:textId="1FC35820" w:rsidR="00DD245F" w:rsidRPr="00306F4D" w:rsidRDefault="098BA8AD" w:rsidP="4186447D">
      <w:pPr>
        <w:pStyle w:val="ListBullet"/>
        <w:numPr>
          <w:ilvl w:val="0"/>
          <w:numId w:val="0"/>
        </w:numPr>
        <w:jc w:val="both"/>
        <w:rPr>
          <w:rFonts w:ascii="Arial" w:eastAsia="Arial" w:hAnsi="Arial" w:cs="Arial"/>
          <w:sz w:val="20"/>
          <w:szCs w:val="20"/>
        </w:rPr>
      </w:pPr>
      <w:r w:rsidRPr="00306F4D">
        <w:rPr>
          <w:rFonts w:ascii="Arial" w:eastAsia="Arial" w:hAnsi="Arial" w:cs="Arial"/>
          <w:b/>
          <w:bCs/>
          <w:sz w:val="20"/>
          <w:szCs w:val="20"/>
        </w:rPr>
        <w:lastRenderedPageBreak/>
        <w:t>Women and Children:</w:t>
      </w:r>
      <w:r w:rsidR="11A5A86C" w:rsidRPr="00306F4D">
        <w:rPr>
          <w:rFonts w:ascii="Arial" w:eastAsia="Arial" w:hAnsi="Arial" w:cs="Arial"/>
          <w:sz w:val="20"/>
          <w:szCs w:val="20"/>
        </w:rPr>
        <w:t xml:space="preserve"> </w:t>
      </w:r>
      <w:r w:rsidRPr="00306F4D">
        <w:rPr>
          <w:rFonts w:ascii="Arial" w:eastAsia="Arial" w:hAnsi="Arial" w:cs="Arial"/>
          <w:sz w:val="20"/>
          <w:szCs w:val="20"/>
        </w:rPr>
        <w:t xml:space="preserve">Women in the </w:t>
      </w:r>
      <w:r w:rsidR="2811F8AC" w:rsidRPr="00306F4D">
        <w:rPr>
          <w:rFonts w:ascii="Arial" w:eastAsia="Arial" w:hAnsi="Arial" w:cs="Arial"/>
          <w:sz w:val="20"/>
          <w:szCs w:val="20"/>
        </w:rPr>
        <w:t>region</w:t>
      </w:r>
      <w:r w:rsidRPr="00306F4D">
        <w:rPr>
          <w:rFonts w:ascii="Arial" w:eastAsia="Arial" w:hAnsi="Arial" w:cs="Arial"/>
          <w:sz w:val="20"/>
          <w:szCs w:val="20"/>
        </w:rPr>
        <w:t xml:space="preserve"> face systemic barriers to economic participation, land ownership, and decision-making, particularly in rural areas. These gender disparities limit their ability to adapt to climate change. For example, women are more likely to be employed in informal or subsistence agriculture, which is highly climate-sensitive and lacks social protection. Additionally, caregiving responsibilities and limited mobility during disasters increase their exposure to harm</w:t>
      </w:r>
      <w:r w:rsidR="005E6A64" w:rsidRPr="00306F4D">
        <w:rPr>
          <w:rFonts w:ascii="Arial" w:hAnsi="Arial" w:cs="Arial"/>
          <w:sz w:val="20"/>
          <w:szCs w:val="20"/>
          <w:vertAlign w:val="superscript"/>
        </w:rPr>
        <w:fldChar w:fldCharType="begin"/>
      </w:r>
      <w:r w:rsidR="005E6A64" w:rsidRPr="00306F4D">
        <w:rPr>
          <w:rFonts w:ascii="Arial" w:hAnsi="Arial" w:cs="Arial"/>
          <w:sz w:val="20"/>
          <w:szCs w:val="20"/>
          <w:vertAlign w:val="superscript"/>
        </w:rPr>
        <w:instrText xml:space="preserve"> NOTEREF _Ref202344541 \h  \* MERGEFORMAT </w:instrText>
      </w:r>
      <w:r w:rsidR="005E6A64" w:rsidRPr="00306F4D">
        <w:rPr>
          <w:rFonts w:ascii="Arial" w:hAnsi="Arial" w:cs="Arial"/>
          <w:sz w:val="20"/>
          <w:szCs w:val="20"/>
          <w:vertAlign w:val="superscript"/>
        </w:rPr>
      </w:r>
      <w:r w:rsidR="005E6A64" w:rsidRPr="00306F4D">
        <w:rPr>
          <w:rFonts w:ascii="Arial" w:hAnsi="Arial" w:cs="Arial"/>
          <w:sz w:val="20"/>
          <w:szCs w:val="20"/>
          <w:vertAlign w:val="superscript"/>
        </w:rPr>
        <w:fldChar w:fldCharType="separate"/>
      </w:r>
      <w:r w:rsidR="4F70C1F4" w:rsidRPr="00306F4D">
        <w:rPr>
          <w:rFonts w:ascii="Arial" w:hAnsi="Arial" w:cs="Arial"/>
          <w:sz w:val="20"/>
          <w:szCs w:val="20"/>
          <w:vertAlign w:val="superscript"/>
        </w:rPr>
        <w:t>100</w:t>
      </w:r>
      <w:r w:rsidR="005E6A64" w:rsidRPr="00306F4D">
        <w:rPr>
          <w:rFonts w:ascii="Arial" w:hAnsi="Arial" w:cs="Arial"/>
          <w:sz w:val="20"/>
          <w:szCs w:val="20"/>
          <w:vertAlign w:val="superscript"/>
        </w:rPr>
        <w:fldChar w:fldCharType="end"/>
      </w:r>
      <w:r w:rsidRPr="00306F4D">
        <w:rPr>
          <w:rFonts w:ascii="Arial" w:eastAsia="Arial" w:hAnsi="Arial" w:cs="Arial"/>
          <w:sz w:val="20"/>
          <w:szCs w:val="20"/>
        </w:rPr>
        <w:t>. Children, especially in poor households, are also at risk due to malnutrition, disrupted education, and health impacts from extreme weather events.</w:t>
      </w:r>
    </w:p>
    <w:p w14:paraId="15F5675C" w14:textId="7390FBE6" w:rsidR="441409A5" w:rsidRPr="00306F4D" w:rsidRDefault="441409A5" w:rsidP="4186447D">
      <w:pPr>
        <w:pStyle w:val="ListBullet"/>
        <w:numPr>
          <w:ilvl w:val="0"/>
          <w:numId w:val="0"/>
        </w:numPr>
        <w:ind w:left="360"/>
        <w:jc w:val="both"/>
        <w:rPr>
          <w:rFonts w:ascii="Arial" w:eastAsia="Arial" w:hAnsi="Arial" w:cs="Arial"/>
          <w:sz w:val="20"/>
          <w:szCs w:val="20"/>
        </w:rPr>
      </w:pPr>
    </w:p>
    <w:p w14:paraId="7DA0E415" w14:textId="7CE36EBB" w:rsidR="00DD245F" w:rsidRPr="00306F4D" w:rsidRDefault="06EC6202" w:rsidP="4186447D">
      <w:pPr>
        <w:pStyle w:val="ListBullet"/>
        <w:numPr>
          <w:ilvl w:val="0"/>
          <w:numId w:val="0"/>
        </w:numPr>
        <w:jc w:val="both"/>
        <w:rPr>
          <w:rFonts w:ascii="Arial" w:eastAsia="Arial" w:hAnsi="Arial" w:cs="Arial"/>
          <w:sz w:val="20"/>
          <w:szCs w:val="20"/>
        </w:rPr>
      </w:pPr>
      <w:r w:rsidRPr="00306F4D">
        <w:rPr>
          <w:rFonts w:ascii="Arial" w:eastAsia="Arial" w:hAnsi="Arial" w:cs="Arial"/>
          <w:b/>
          <w:bCs/>
          <w:sz w:val="20"/>
          <w:szCs w:val="20"/>
        </w:rPr>
        <w:t>Elderly and Persons with Disabilities:</w:t>
      </w:r>
      <w:r w:rsidR="4AA5DCD6" w:rsidRPr="00306F4D">
        <w:rPr>
          <w:rFonts w:ascii="Arial" w:eastAsia="Arial" w:hAnsi="Arial" w:cs="Arial"/>
          <w:b/>
          <w:bCs/>
          <w:sz w:val="20"/>
          <w:szCs w:val="20"/>
        </w:rPr>
        <w:t xml:space="preserve"> </w:t>
      </w:r>
      <w:r w:rsidRPr="00306F4D">
        <w:rPr>
          <w:rFonts w:ascii="Arial" w:eastAsia="Arial" w:hAnsi="Arial" w:cs="Arial"/>
          <w:sz w:val="20"/>
          <w:szCs w:val="20"/>
        </w:rPr>
        <w:t>The region’s aging population is particularly vulnerable to climate-induced health risks. Elderly individuals are more susceptible to heat stress, respiratory illnesses, and mobility challenges during evacuations. Many live alone or in remote areas with limited access to healthcare and social support. Similarly, persons with disabilities face barriers to accessing early warning systems, shelters, and emergency services, making them highly vulnerable during disasters</w:t>
      </w:r>
      <w:r w:rsidR="00DD245F" w:rsidRPr="00306F4D">
        <w:rPr>
          <w:rStyle w:val="FootnoteReference"/>
        </w:rPr>
        <w:footnoteReference w:id="105"/>
      </w:r>
      <w:r w:rsidRPr="00306F4D">
        <w:rPr>
          <w:rStyle w:val="FootnoteReference"/>
        </w:rPr>
        <w:t>.</w:t>
      </w:r>
    </w:p>
    <w:p w14:paraId="0C1A7160" w14:textId="2FEF923D" w:rsidR="441409A5" w:rsidRPr="00306F4D" w:rsidRDefault="441409A5" w:rsidP="4186447D">
      <w:pPr>
        <w:pStyle w:val="ListBullet"/>
        <w:numPr>
          <w:ilvl w:val="0"/>
          <w:numId w:val="0"/>
        </w:numPr>
        <w:ind w:left="360"/>
        <w:jc w:val="both"/>
        <w:rPr>
          <w:rFonts w:ascii="Arial" w:eastAsia="Arial" w:hAnsi="Arial" w:cs="Arial"/>
          <w:sz w:val="20"/>
          <w:szCs w:val="20"/>
        </w:rPr>
      </w:pPr>
    </w:p>
    <w:p w14:paraId="66865D44" w14:textId="08CD8546" w:rsidR="00DD245F" w:rsidRPr="00306F4D" w:rsidRDefault="098BA8AD" w:rsidP="4186447D">
      <w:pPr>
        <w:pStyle w:val="ListBullet"/>
        <w:numPr>
          <w:ilvl w:val="0"/>
          <w:numId w:val="0"/>
        </w:numPr>
        <w:jc w:val="both"/>
        <w:rPr>
          <w:rFonts w:ascii="Arial" w:eastAsia="Arial" w:hAnsi="Arial" w:cs="Arial"/>
          <w:sz w:val="20"/>
          <w:szCs w:val="20"/>
        </w:rPr>
      </w:pPr>
      <w:r w:rsidRPr="00306F4D">
        <w:rPr>
          <w:rFonts w:ascii="Arial" w:eastAsia="Arial" w:hAnsi="Arial" w:cs="Arial"/>
          <w:b/>
          <w:bCs/>
          <w:sz w:val="20"/>
          <w:szCs w:val="20"/>
        </w:rPr>
        <w:t>Marginalized Ethnic Minorities:</w:t>
      </w:r>
      <w:r w:rsidR="30A72477" w:rsidRPr="00306F4D">
        <w:rPr>
          <w:rFonts w:ascii="Arial" w:eastAsia="Arial" w:hAnsi="Arial" w:cs="Arial"/>
          <w:b/>
          <w:bCs/>
          <w:sz w:val="20"/>
          <w:szCs w:val="20"/>
        </w:rPr>
        <w:t xml:space="preserve"> </w:t>
      </w:r>
      <w:r w:rsidR="41E0826D" w:rsidRPr="00306F4D">
        <w:rPr>
          <w:rFonts w:ascii="Arial" w:eastAsia="Arial" w:hAnsi="Arial" w:cs="Arial"/>
          <w:sz w:val="20"/>
          <w:szCs w:val="20"/>
        </w:rPr>
        <w:t xml:space="preserve">Significant ethnic minorities in the Western Balkans—such as </w:t>
      </w:r>
      <w:proofErr w:type="spellStart"/>
      <w:r w:rsidR="41E0826D" w:rsidRPr="00306F4D">
        <w:rPr>
          <w:rFonts w:ascii="Arial" w:eastAsia="Arial" w:hAnsi="Arial" w:cs="Arial"/>
          <w:sz w:val="20"/>
          <w:szCs w:val="20"/>
        </w:rPr>
        <w:t>Bosniaks</w:t>
      </w:r>
      <w:proofErr w:type="spellEnd"/>
      <w:r w:rsidR="41E0826D" w:rsidRPr="00306F4D">
        <w:rPr>
          <w:rFonts w:ascii="Arial" w:eastAsia="Arial" w:hAnsi="Arial" w:cs="Arial"/>
          <w:sz w:val="20"/>
          <w:szCs w:val="20"/>
        </w:rPr>
        <w:t>, Albanians, Serbs, and Croats—live both in their ethnic homelands and across neighboring states due to historical shifts following the fall of the Ottoman and Austro-Hungarian Empires and the breakup of Yugoslavia. These populations often reside in ethnically mixed or contested areas. Depending on their location, these groups may face discrimination, climate-related vulnerabilities, and social or political constraints. Ethnic tensions, cultural divides, and historical grievances can further intensify their marginalization and exposure to risk.</w:t>
      </w:r>
    </w:p>
    <w:p w14:paraId="1C74FA79" w14:textId="31421550" w:rsidR="00DD245F" w:rsidRPr="00306F4D" w:rsidRDefault="16ACA19C" w:rsidP="4186447D">
      <w:pPr>
        <w:jc w:val="both"/>
        <w:rPr>
          <w:rFonts w:ascii="Arial" w:eastAsia="Arial" w:hAnsi="Arial" w:cs="Arial"/>
          <w:color w:val="auto"/>
          <w:sz w:val="20"/>
          <w:szCs w:val="20"/>
        </w:rPr>
      </w:pPr>
      <w:r w:rsidRPr="00306F4D">
        <w:rPr>
          <w:rFonts w:ascii="Arial" w:eastAsia="Arial" w:hAnsi="Arial" w:cs="Arial"/>
          <w:color w:val="auto"/>
          <w:sz w:val="20"/>
          <w:szCs w:val="20"/>
        </w:rPr>
        <w:t xml:space="preserve">Marginalized ethnic minorities in the region—particularly </w:t>
      </w:r>
      <w:r w:rsidRPr="00306F4D">
        <w:rPr>
          <w:rFonts w:ascii="Arial" w:eastAsia="Arial" w:hAnsi="Arial" w:cs="Arial"/>
          <w:b/>
          <w:bCs/>
          <w:color w:val="auto"/>
          <w:sz w:val="20"/>
          <w:szCs w:val="20"/>
        </w:rPr>
        <w:t xml:space="preserve">Roma, </w:t>
      </w:r>
      <w:proofErr w:type="spellStart"/>
      <w:r w:rsidRPr="00306F4D">
        <w:rPr>
          <w:rFonts w:ascii="Arial" w:eastAsia="Arial" w:hAnsi="Arial" w:cs="Arial"/>
          <w:b/>
          <w:bCs/>
          <w:color w:val="auto"/>
          <w:sz w:val="20"/>
          <w:szCs w:val="20"/>
        </w:rPr>
        <w:t>Ashkali</w:t>
      </w:r>
      <w:proofErr w:type="spellEnd"/>
      <w:r w:rsidRPr="00306F4D">
        <w:rPr>
          <w:rFonts w:ascii="Arial" w:eastAsia="Arial" w:hAnsi="Arial" w:cs="Arial"/>
          <w:b/>
          <w:bCs/>
          <w:color w:val="auto"/>
          <w:sz w:val="20"/>
          <w:szCs w:val="20"/>
        </w:rPr>
        <w:t>, Egyptian</w:t>
      </w:r>
      <w:r w:rsidRPr="00306F4D">
        <w:rPr>
          <w:rFonts w:ascii="Arial" w:eastAsia="Arial" w:hAnsi="Arial" w:cs="Arial"/>
          <w:color w:val="auto"/>
          <w:sz w:val="20"/>
          <w:szCs w:val="20"/>
        </w:rPr>
        <w:t>s, and others—face persistent and severe discrimination, exclusion, and poverty. The Roma, Europe’s largest ethnic minority, are especially affected, with limited access to education, employment, healthcare, housing, and essential services. Despite living near non-Roma communities, they experience significantly worse outcomes due to systemic barriers and a lack of reliable data to inform effective policy responses.</w:t>
      </w:r>
    </w:p>
    <w:p w14:paraId="54292EDB" w14:textId="45F53A0C" w:rsidR="00DD245F" w:rsidRPr="00306F4D" w:rsidRDefault="188A274C" w:rsidP="009F03A3">
      <w:pPr>
        <w:spacing w:before="120" w:after="0"/>
        <w:jc w:val="both"/>
        <w:rPr>
          <w:rFonts w:ascii="Arial" w:eastAsia="Arial" w:hAnsi="Arial" w:cs="Arial"/>
          <w:color w:val="auto"/>
          <w:sz w:val="20"/>
          <w:szCs w:val="20"/>
        </w:rPr>
      </w:pPr>
      <w:r w:rsidRPr="00306F4D">
        <w:rPr>
          <w:rFonts w:ascii="Arial" w:eastAsia="Arial" w:hAnsi="Arial" w:cs="Arial"/>
          <w:color w:val="auto"/>
          <w:sz w:val="20"/>
          <w:szCs w:val="20"/>
        </w:rPr>
        <w:t>These communities struggle with low human and financial capital, weak labor market participation, and limited opportunities for economic advancement. For example, in Serbia, equalizing Roma employment and earnings with the general population could boost GDP by up to 3.5% annually</w:t>
      </w:r>
      <w:r w:rsidR="00DD245F" w:rsidRPr="00306F4D">
        <w:rPr>
          <w:rFonts w:ascii="Arial" w:eastAsia="Arial" w:hAnsi="Arial" w:cs="Arial"/>
          <w:color w:val="auto"/>
          <w:sz w:val="20"/>
          <w:szCs w:val="20"/>
        </w:rPr>
        <w:footnoteReference w:id="106"/>
      </w:r>
      <w:r w:rsidRPr="00306F4D">
        <w:rPr>
          <w:rFonts w:ascii="Arial" w:eastAsia="Arial" w:hAnsi="Arial" w:cs="Arial"/>
          <w:color w:val="auto"/>
          <w:sz w:val="20"/>
          <w:szCs w:val="20"/>
        </w:rPr>
        <w:t>. Youth are particularly affected, with 68% of marginalized Roma aged 15–24 in the Western Balkans classified as NEET (not in employment, education, or training), compared to 34% among non-Roma peers</w:t>
      </w:r>
      <w:r w:rsidR="00DD245F" w:rsidRPr="00306F4D">
        <w:rPr>
          <w:rFonts w:ascii="Arial" w:eastAsia="Arial" w:hAnsi="Arial" w:cs="Arial"/>
          <w:color w:val="auto"/>
          <w:sz w:val="20"/>
          <w:szCs w:val="20"/>
        </w:rPr>
        <w:footnoteReference w:id="107"/>
      </w:r>
      <w:r w:rsidRPr="00306F4D">
        <w:rPr>
          <w:rFonts w:ascii="Arial" w:eastAsia="Arial" w:hAnsi="Arial" w:cs="Arial"/>
          <w:color w:val="auto"/>
          <w:sz w:val="20"/>
          <w:szCs w:val="20"/>
        </w:rPr>
        <w:t>. Addressing these disparities is crucial for both social justice and economic development.</w:t>
      </w:r>
    </w:p>
    <w:p w14:paraId="2E11CD53" w14:textId="4B7D205B" w:rsidR="00DD245F" w:rsidRPr="00306F4D" w:rsidRDefault="22985F14" w:rsidP="009F03A3">
      <w:pPr>
        <w:spacing w:before="120" w:after="0"/>
        <w:jc w:val="both"/>
        <w:rPr>
          <w:rFonts w:ascii="Arial" w:eastAsia="Arial" w:hAnsi="Arial" w:cs="Arial"/>
          <w:color w:val="auto"/>
          <w:sz w:val="20"/>
          <w:szCs w:val="20"/>
        </w:rPr>
      </w:pPr>
      <w:r w:rsidRPr="00306F4D">
        <w:rPr>
          <w:rFonts w:ascii="Arial" w:eastAsia="Arial" w:hAnsi="Arial" w:cs="Arial"/>
          <w:b/>
          <w:bCs/>
          <w:color w:val="auto"/>
          <w:sz w:val="20"/>
          <w:szCs w:val="20"/>
        </w:rPr>
        <w:t>Roma women</w:t>
      </w:r>
      <w:r w:rsidRPr="00306F4D">
        <w:rPr>
          <w:rFonts w:ascii="Arial" w:eastAsia="Arial" w:hAnsi="Arial" w:cs="Arial"/>
          <w:color w:val="auto"/>
          <w:sz w:val="20"/>
          <w:szCs w:val="20"/>
        </w:rPr>
        <w:t xml:space="preserve"> are among the most disadvantaged groups in Europe, facing double discrimination—both as women and as members of the Roma minority. Their access to education, employment, and essential services is significantly worse than that of both non-Roma women and Roma men. This exclusion is reflected in alarming statistics: 78% of Roma women aged 15–24 </w:t>
      </w:r>
      <w:proofErr w:type="gramStart"/>
      <w:r w:rsidRPr="00306F4D">
        <w:rPr>
          <w:rFonts w:ascii="Arial" w:eastAsia="Arial" w:hAnsi="Arial" w:cs="Arial"/>
          <w:color w:val="auto"/>
          <w:sz w:val="20"/>
          <w:szCs w:val="20"/>
        </w:rPr>
        <w:t>are</w:t>
      </w:r>
      <w:proofErr w:type="gramEnd"/>
      <w:r w:rsidRPr="00306F4D">
        <w:rPr>
          <w:rFonts w:ascii="Arial" w:eastAsia="Arial" w:hAnsi="Arial" w:cs="Arial"/>
          <w:color w:val="auto"/>
          <w:sz w:val="20"/>
          <w:szCs w:val="20"/>
        </w:rPr>
        <w:t xml:space="preserve"> not in employment, education, or training (NEET), compared to 59% of Roma men</w:t>
      </w:r>
      <w:r w:rsidR="00DD245F" w:rsidRPr="00306F4D">
        <w:rPr>
          <w:rFonts w:ascii="Arial" w:eastAsia="Arial" w:hAnsi="Arial" w:cs="Arial"/>
          <w:color w:val="auto"/>
          <w:sz w:val="20"/>
          <w:szCs w:val="20"/>
        </w:rPr>
        <w:footnoteReference w:id="108"/>
      </w:r>
      <w:r w:rsidRPr="00306F4D">
        <w:rPr>
          <w:rFonts w:ascii="Arial" w:eastAsia="Arial" w:hAnsi="Arial" w:cs="Arial"/>
          <w:color w:val="auto"/>
          <w:sz w:val="20"/>
          <w:szCs w:val="20"/>
        </w:rPr>
        <w:t>. Unemployment among Roma women is also higher, and their labor force participation remains extremely low.</w:t>
      </w:r>
    </w:p>
    <w:p w14:paraId="479221FF" w14:textId="11A2AA45" w:rsidR="00DD245F" w:rsidRPr="00306F4D" w:rsidRDefault="7C0A498B" w:rsidP="009F03A3">
      <w:pPr>
        <w:spacing w:before="120" w:after="0"/>
        <w:jc w:val="both"/>
        <w:rPr>
          <w:rFonts w:ascii="Arial" w:eastAsia="Arial" w:hAnsi="Arial" w:cs="Arial"/>
          <w:color w:val="auto"/>
          <w:sz w:val="20"/>
          <w:szCs w:val="20"/>
        </w:rPr>
      </w:pPr>
      <w:r w:rsidRPr="00306F4D">
        <w:rPr>
          <w:rFonts w:ascii="Arial" w:eastAsia="Arial" w:hAnsi="Arial" w:cs="Arial"/>
          <w:color w:val="auto"/>
          <w:sz w:val="20"/>
          <w:szCs w:val="20"/>
        </w:rPr>
        <w:t>This marginalization traps Roma women in a cycle of poverty and social exclusion, limiting their ability to contribute to or benefit from economic growth. Given the Roma population's youthfulness, investing in their human capital—especially that of women—is crucial, particularly in the context of Europe’s aging population. Economic inclusion of Roma women could unlock a large, underutilized labor force and help break intergenerational cycles of disadvantage.</w:t>
      </w:r>
    </w:p>
    <w:p w14:paraId="379F72C2" w14:textId="00F9B351" w:rsidR="00DD245F" w:rsidRPr="00306F4D" w:rsidRDefault="4976128E" w:rsidP="009F03A3">
      <w:pPr>
        <w:spacing w:before="120" w:after="0"/>
        <w:jc w:val="both"/>
        <w:rPr>
          <w:rFonts w:ascii="Arial" w:eastAsia="Arial" w:hAnsi="Arial" w:cs="Arial"/>
          <w:color w:val="auto"/>
          <w:sz w:val="20"/>
          <w:szCs w:val="20"/>
        </w:rPr>
      </w:pPr>
      <w:r w:rsidRPr="00306F4D">
        <w:rPr>
          <w:rFonts w:ascii="Arial" w:eastAsia="Arial" w:hAnsi="Arial" w:cs="Arial"/>
          <w:color w:val="auto"/>
          <w:sz w:val="20"/>
          <w:szCs w:val="20"/>
        </w:rPr>
        <w:lastRenderedPageBreak/>
        <w:t xml:space="preserve">The </w:t>
      </w:r>
      <w:r w:rsidRPr="00306F4D">
        <w:rPr>
          <w:rFonts w:ascii="Arial" w:eastAsia="Arial" w:hAnsi="Arial" w:cs="Arial"/>
          <w:b/>
          <w:bCs/>
          <w:color w:val="auto"/>
          <w:sz w:val="20"/>
          <w:szCs w:val="20"/>
        </w:rPr>
        <w:t>Balkan Vlach</w:t>
      </w:r>
      <w:r w:rsidRPr="00306F4D">
        <w:rPr>
          <w:rFonts w:ascii="Arial" w:eastAsia="Arial" w:hAnsi="Arial" w:cs="Arial"/>
          <w:color w:val="auto"/>
          <w:sz w:val="20"/>
          <w:szCs w:val="20"/>
        </w:rPr>
        <w:t>, also known as Aromanians or Wallachians, are a Romance-language-speaking ethnic minority spread across several Balkan countries, including Serbia, Albania, Greece, North Macedonia, Romania, and Bulgaria. Historically pastoral and seasonally nomadic, they lived in remote valleys and mountains and are known for their entrepreneurial and trading skills, as well as a rich oral tradition of folk tales and legends.</w:t>
      </w:r>
    </w:p>
    <w:p w14:paraId="2C7EC0BD" w14:textId="66E6CCFB" w:rsidR="00DD245F" w:rsidRPr="00306F4D" w:rsidRDefault="72D41E4F" w:rsidP="009F03A3">
      <w:pPr>
        <w:spacing w:before="120" w:after="0"/>
        <w:jc w:val="both"/>
        <w:rPr>
          <w:rFonts w:ascii="Arial" w:eastAsia="Arial" w:hAnsi="Arial" w:cs="Arial"/>
          <w:color w:val="auto"/>
          <w:sz w:val="20"/>
          <w:szCs w:val="20"/>
        </w:rPr>
      </w:pPr>
      <w:r w:rsidRPr="00306F4D">
        <w:rPr>
          <w:rFonts w:ascii="Arial" w:eastAsia="Arial" w:hAnsi="Arial" w:cs="Arial"/>
          <w:color w:val="auto"/>
          <w:sz w:val="20"/>
          <w:szCs w:val="20"/>
        </w:rPr>
        <w:t>Despite their distinct cultural identity, the Balkan Vlach face</w:t>
      </w:r>
      <w:r w:rsidR="4E24120F" w:rsidRPr="00306F4D">
        <w:rPr>
          <w:rFonts w:ascii="Arial" w:eastAsia="Arial" w:hAnsi="Arial" w:cs="Arial"/>
          <w:color w:val="auto"/>
          <w:sz w:val="20"/>
          <w:szCs w:val="20"/>
        </w:rPr>
        <w:t>s</w:t>
      </w:r>
      <w:r w:rsidRPr="00306F4D">
        <w:rPr>
          <w:rFonts w:ascii="Arial" w:eastAsia="Arial" w:hAnsi="Arial" w:cs="Arial"/>
          <w:color w:val="auto"/>
          <w:sz w:val="20"/>
          <w:szCs w:val="20"/>
        </w:rPr>
        <w:t xml:space="preserve"> ongoing challenges such as cultural and linguistic subordination, limited political recognition, and socio-economic marginalization. Over time, long-term cohabitation with neighboring groups has led to increasing assimilation, further threatening the preservation of their unique heritage</w:t>
      </w:r>
      <w:r w:rsidR="00DD245F" w:rsidRPr="00306F4D">
        <w:rPr>
          <w:rStyle w:val="FootnoteReference"/>
          <w:rFonts w:asciiTheme="minorHAnsi" w:eastAsiaTheme="minorEastAsia" w:hAnsiTheme="minorHAnsi" w:cstheme="minorBidi"/>
        </w:rPr>
        <w:footnoteReference w:id="109"/>
      </w:r>
      <w:r w:rsidRPr="00306F4D">
        <w:rPr>
          <w:rStyle w:val="FootnoteReference"/>
          <w:rFonts w:asciiTheme="minorHAnsi" w:eastAsiaTheme="minorEastAsia" w:hAnsiTheme="minorHAnsi" w:cstheme="minorBidi"/>
        </w:rPr>
        <w:t>.</w:t>
      </w:r>
    </w:p>
    <w:p w14:paraId="355D9920" w14:textId="5A53C01F" w:rsidR="00DD245F" w:rsidRPr="00306F4D" w:rsidRDefault="105550F1" w:rsidP="009F03A3">
      <w:pPr>
        <w:spacing w:before="120" w:after="0"/>
        <w:jc w:val="both"/>
        <w:rPr>
          <w:rFonts w:ascii="Arial" w:eastAsia="Arial" w:hAnsi="Arial" w:cs="Arial"/>
          <w:sz w:val="20"/>
          <w:szCs w:val="20"/>
        </w:rPr>
      </w:pPr>
      <w:r w:rsidRPr="00306F4D">
        <w:rPr>
          <w:rFonts w:ascii="Arial" w:eastAsia="Arial" w:hAnsi="Arial" w:cs="Arial"/>
          <w:b/>
          <w:bCs/>
          <w:color w:val="000000" w:themeColor="text1"/>
          <w:sz w:val="20"/>
          <w:szCs w:val="20"/>
        </w:rPr>
        <w:t>LGBTQ+ Individuals</w:t>
      </w:r>
      <w:r w:rsidRPr="00306F4D">
        <w:rPr>
          <w:rFonts w:ascii="Arial" w:eastAsia="Arial" w:hAnsi="Arial" w:cs="Arial"/>
          <w:color w:val="000000" w:themeColor="text1"/>
          <w:sz w:val="20"/>
          <w:szCs w:val="20"/>
        </w:rPr>
        <w:t xml:space="preserve">. </w:t>
      </w:r>
      <w:r w:rsidR="6138B13D" w:rsidRPr="00306F4D">
        <w:rPr>
          <w:rFonts w:ascii="Arial" w:eastAsia="Arial" w:hAnsi="Arial" w:cs="Arial"/>
          <w:color w:val="424242"/>
          <w:sz w:val="20"/>
          <w:szCs w:val="20"/>
        </w:rPr>
        <w:t xml:space="preserve">Anti-gender movements in the region are threatening human rights and democracy, especially targeting women and </w:t>
      </w:r>
      <w:r w:rsidR="6138B13D" w:rsidRPr="00306F4D">
        <w:rPr>
          <w:rFonts w:ascii="Arial" w:eastAsia="Arial" w:hAnsi="Arial" w:cs="Arial"/>
          <w:b/>
          <w:bCs/>
          <w:color w:val="424242"/>
          <w:sz w:val="20"/>
          <w:szCs w:val="20"/>
        </w:rPr>
        <w:t xml:space="preserve">LGBTQ+ </w:t>
      </w:r>
      <w:r w:rsidR="4605A6AE" w:rsidRPr="00306F4D">
        <w:rPr>
          <w:rFonts w:ascii="Arial" w:eastAsia="Arial" w:hAnsi="Arial" w:cs="Arial"/>
          <w:b/>
          <w:bCs/>
          <w:color w:val="424242"/>
          <w:sz w:val="20"/>
          <w:szCs w:val="20"/>
        </w:rPr>
        <w:t>individuals</w:t>
      </w:r>
      <w:r w:rsidR="00DD245F" w:rsidRPr="00306F4D">
        <w:rPr>
          <w:rStyle w:val="FootnoteReference"/>
          <w:rFonts w:asciiTheme="minorHAnsi" w:eastAsiaTheme="minorEastAsia" w:hAnsiTheme="minorHAnsi" w:cstheme="minorBidi"/>
        </w:rPr>
        <w:footnoteReference w:id="110"/>
      </w:r>
      <w:r w:rsidR="6138B13D" w:rsidRPr="00306F4D">
        <w:rPr>
          <w:rStyle w:val="FootnoteReference"/>
          <w:rFonts w:asciiTheme="minorHAnsi" w:eastAsiaTheme="minorEastAsia" w:hAnsiTheme="minorHAnsi" w:cstheme="minorBidi"/>
        </w:rPr>
        <w:t>.</w:t>
      </w:r>
      <w:r w:rsidR="6138B13D" w:rsidRPr="00306F4D">
        <w:rPr>
          <w:rFonts w:ascii="Arial" w:eastAsia="Arial" w:hAnsi="Arial" w:cs="Arial"/>
          <w:color w:val="424242"/>
          <w:sz w:val="20"/>
          <w:szCs w:val="20"/>
        </w:rPr>
        <w:t xml:space="preserve"> These movements influence laws and policies that restrict access to basic services and fuel widespread discrimination and violence. Marginalized individuals, especially those facing multiple layers of exclusion (e.g., LGBTQ+ people in rural, low-income areas), are particularly vulnerable. In response, feminist and LGBTQ+ organizations are urged to strengthen alliances, protect inclusive education, and push for intersectional gender perspectives in EU-related processes like the Berlin Process.</w:t>
      </w:r>
    </w:p>
    <w:p w14:paraId="58D7B6FE" w14:textId="63F8325C" w:rsidR="4186447D" w:rsidRPr="00306F4D" w:rsidRDefault="4186447D" w:rsidP="4186447D">
      <w:pPr>
        <w:pStyle w:val="ListBullet"/>
        <w:numPr>
          <w:ilvl w:val="0"/>
          <w:numId w:val="0"/>
        </w:numPr>
        <w:spacing w:after="0"/>
        <w:rPr>
          <w:rFonts w:ascii="Arial" w:hAnsi="Arial" w:cs="Arial"/>
          <w:sz w:val="20"/>
          <w:szCs w:val="20"/>
        </w:rPr>
      </w:pPr>
    </w:p>
    <w:p w14:paraId="29C99724" w14:textId="38AC8A23" w:rsidR="00DD245F" w:rsidRPr="00306F4D" w:rsidRDefault="098BA8AD" w:rsidP="4186447D">
      <w:pPr>
        <w:pStyle w:val="Heading2"/>
        <w:rPr>
          <w:rFonts w:ascii="Arial" w:eastAsia="Arial" w:hAnsi="Arial" w:cs="Arial"/>
          <w:b/>
          <w:bCs/>
          <w:color w:val="0070C0"/>
          <w:sz w:val="20"/>
          <w:szCs w:val="20"/>
          <w:u w:val="single"/>
        </w:rPr>
      </w:pPr>
      <w:bookmarkStart w:id="43" w:name="_Toc202893730"/>
      <w:r w:rsidRPr="00306F4D">
        <w:rPr>
          <w:rFonts w:ascii="Arial" w:eastAsia="Arial" w:hAnsi="Arial" w:cs="Arial"/>
          <w:b/>
          <w:bCs/>
          <w:color w:val="0070C0"/>
          <w:sz w:val="20"/>
          <w:szCs w:val="20"/>
          <w:u w:val="single"/>
        </w:rPr>
        <w:t>Socio-Economic Dimensions of Vulnerability</w:t>
      </w:r>
      <w:bookmarkEnd w:id="43"/>
    </w:p>
    <w:p w14:paraId="09BBB723" w14:textId="05DCC902" w:rsidR="441409A5" w:rsidRPr="00306F4D" w:rsidRDefault="441409A5" w:rsidP="4186447D">
      <w:pPr>
        <w:rPr>
          <w:rFonts w:ascii="Arial" w:eastAsia="Arial" w:hAnsi="Arial" w:cs="Arial"/>
          <w:sz w:val="20"/>
          <w:szCs w:val="20"/>
        </w:rPr>
      </w:pPr>
    </w:p>
    <w:p w14:paraId="71E12863" w14:textId="09390B97" w:rsidR="00DD245F" w:rsidRPr="00306F4D" w:rsidRDefault="06EC6202" w:rsidP="4186447D">
      <w:pPr>
        <w:pStyle w:val="ListNumber"/>
        <w:numPr>
          <w:ilvl w:val="0"/>
          <w:numId w:val="0"/>
        </w:numPr>
        <w:jc w:val="both"/>
        <w:rPr>
          <w:rFonts w:ascii="Arial" w:eastAsia="Arial" w:hAnsi="Arial" w:cs="Arial"/>
          <w:sz w:val="20"/>
          <w:szCs w:val="20"/>
        </w:rPr>
      </w:pPr>
      <w:r w:rsidRPr="00306F4D">
        <w:rPr>
          <w:rFonts w:ascii="Arial" w:eastAsia="Arial" w:hAnsi="Arial" w:cs="Arial"/>
          <w:b/>
          <w:bCs/>
          <w:sz w:val="20"/>
          <w:szCs w:val="20"/>
        </w:rPr>
        <w:t>Poverty and Economic Inequality</w:t>
      </w:r>
      <w:r w:rsidRPr="00306F4D">
        <w:rPr>
          <w:rFonts w:ascii="Arial" w:eastAsia="Arial" w:hAnsi="Arial" w:cs="Arial"/>
          <w:sz w:val="20"/>
          <w:szCs w:val="20"/>
        </w:rPr>
        <w:t>:</w:t>
      </w:r>
      <w:r w:rsidR="1454C973" w:rsidRPr="00306F4D">
        <w:rPr>
          <w:rFonts w:ascii="Arial" w:eastAsia="Arial" w:hAnsi="Arial" w:cs="Arial"/>
          <w:sz w:val="20"/>
          <w:szCs w:val="20"/>
        </w:rPr>
        <w:t xml:space="preserve"> </w:t>
      </w:r>
      <w:r w:rsidRPr="00306F4D">
        <w:rPr>
          <w:rFonts w:ascii="Arial" w:eastAsia="Arial" w:hAnsi="Arial" w:cs="Arial"/>
          <w:sz w:val="20"/>
          <w:szCs w:val="20"/>
        </w:rPr>
        <w:t>Poverty remains a persistent challenge in the Western Balkans, particularly in rural areas and among marginalized groups. Climate shocks such as floods and droughts disproportionately affect low-income households, who often lack savings, insurance, or diversified income sources. In Kosovo and Bosnia and Herzegovina, for example, over 20% of the population lives below the national poverty line, with rural poverty rates even higher</w:t>
      </w:r>
      <w:r w:rsidR="00DD245F" w:rsidRPr="00306F4D">
        <w:rPr>
          <w:rFonts w:ascii="Arial" w:eastAsia="Arial" w:hAnsi="Arial" w:cs="Arial"/>
          <w:sz w:val="20"/>
          <w:szCs w:val="20"/>
          <w:vertAlign w:val="superscript"/>
        </w:rPr>
        <w:footnoteReference w:id="111"/>
      </w:r>
      <w:r w:rsidRPr="00306F4D">
        <w:rPr>
          <w:rFonts w:ascii="Arial" w:eastAsia="Arial" w:hAnsi="Arial" w:cs="Arial"/>
          <w:sz w:val="20"/>
          <w:szCs w:val="20"/>
        </w:rPr>
        <w:t>. Economic inequality also limits access to adaptation resources, reinforcing cycles of vulnerability.</w:t>
      </w:r>
    </w:p>
    <w:p w14:paraId="6D242719" w14:textId="6401C681" w:rsidR="441409A5" w:rsidRPr="00306F4D" w:rsidRDefault="441409A5" w:rsidP="4186447D">
      <w:pPr>
        <w:pStyle w:val="ListNumber"/>
        <w:numPr>
          <w:ilvl w:val="0"/>
          <w:numId w:val="0"/>
        </w:numPr>
        <w:ind w:left="360"/>
        <w:jc w:val="both"/>
        <w:rPr>
          <w:rFonts w:ascii="Arial" w:eastAsia="Arial" w:hAnsi="Arial" w:cs="Arial"/>
          <w:sz w:val="20"/>
          <w:szCs w:val="20"/>
        </w:rPr>
      </w:pPr>
    </w:p>
    <w:p w14:paraId="0FDD450C" w14:textId="0508CEC5" w:rsidR="00DD245F" w:rsidRPr="00306F4D" w:rsidRDefault="06EC6202" w:rsidP="4186447D">
      <w:pPr>
        <w:pStyle w:val="ListNumber"/>
        <w:numPr>
          <w:ilvl w:val="0"/>
          <w:numId w:val="0"/>
        </w:numPr>
        <w:jc w:val="both"/>
        <w:rPr>
          <w:rFonts w:ascii="Arial" w:eastAsia="Arial" w:hAnsi="Arial" w:cs="Arial"/>
          <w:b/>
          <w:bCs/>
          <w:sz w:val="20"/>
          <w:szCs w:val="20"/>
        </w:rPr>
      </w:pPr>
      <w:r w:rsidRPr="00306F4D">
        <w:rPr>
          <w:rFonts w:ascii="Arial" w:eastAsia="Arial" w:hAnsi="Arial" w:cs="Arial"/>
          <w:b/>
          <w:bCs/>
          <w:sz w:val="20"/>
          <w:szCs w:val="20"/>
        </w:rPr>
        <w:t>Employment and Livelihoods:</w:t>
      </w:r>
      <w:r w:rsidR="3178500D" w:rsidRPr="00306F4D">
        <w:rPr>
          <w:rFonts w:ascii="Arial" w:eastAsia="Arial" w:hAnsi="Arial" w:cs="Arial"/>
          <w:b/>
          <w:bCs/>
          <w:sz w:val="20"/>
          <w:szCs w:val="20"/>
        </w:rPr>
        <w:t xml:space="preserve"> </w:t>
      </w:r>
      <w:r w:rsidRPr="00306F4D">
        <w:rPr>
          <w:rFonts w:ascii="Arial" w:eastAsia="Arial" w:hAnsi="Arial" w:cs="Arial"/>
          <w:sz w:val="20"/>
          <w:szCs w:val="20"/>
        </w:rPr>
        <w:t>The region’s economies are heavily reliant on sectors that are highly sensitive to climate change, including agriculture, forestry, and tourism. These sectors provide employment for a large share of the population, especially in rural areas</w:t>
      </w:r>
      <w:r w:rsidR="00DD245F" w:rsidRPr="00306F4D">
        <w:rPr>
          <w:rFonts w:ascii="Arial" w:eastAsia="Arial" w:hAnsi="Arial" w:cs="Arial"/>
          <w:sz w:val="20"/>
          <w:szCs w:val="20"/>
          <w:vertAlign w:val="superscript"/>
        </w:rPr>
        <w:footnoteReference w:id="112"/>
      </w:r>
      <w:r w:rsidRPr="00306F4D">
        <w:rPr>
          <w:rFonts w:ascii="Arial" w:eastAsia="Arial" w:hAnsi="Arial" w:cs="Arial"/>
          <w:sz w:val="20"/>
          <w:szCs w:val="20"/>
          <w:vertAlign w:val="superscript"/>
        </w:rPr>
        <w:t>.</w:t>
      </w:r>
      <w:r w:rsidRPr="00306F4D">
        <w:rPr>
          <w:rFonts w:ascii="Arial" w:eastAsia="Arial" w:hAnsi="Arial" w:cs="Arial"/>
          <w:sz w:val="20"/>
          <w:szCs w:val="20"/>
        </w:rPr>
        <w:t xml:space="preserve"> However, climate-induced disruptions—such as droughts reducing crop yields or wildfires damaging forests—can lead to job losses and income instability.</w:t>
      </w:r>
      <w:r w:rsidR="167C4995" w:rsidRPr="00306F4D">
        <w:rPr>
          <w:rFonts w:ascii="Arial" w:eastAsia="Arial" w:hAnsi="Arial" w:cs="Arial"/>
          <w:sz w:val="20"/>
          <w:szCs w:val="20"/>
        </w:rPr>
        <w:t xml:space="preserve"> In addition, outdoor workers are </w:t>
      </w:r>
      <w:r w:rsidR="68B729EE" w:rsidRPr="00306F4D">
        <w:rPr>
          <w:rFonts w:ascii="Arial" w:eastAsia="Arial" w:hAnsi="Arial" w:cs="Arial"/>
          <w:sz w:val="20"/>
          <w:szCs w:val="20"/>
        </w:rPr>
        <w:t xml:space="preserve">heavily </w:t>
      </w:r>
      <w:r w:rsidR="167C4995" w:rsidRPr="00306F4D">
        <w:rPr>
          <w:rFonts w:ascii="Arial" w:eastAsia="Arial" w:hAnsi="Arial" w:cs="Arial"/>
          <w:sz w:val="20"/>
          <w:szCs w:val="20"/>
        </w:rPr>
        <w:t>affected by heat waves</w:t>
      </w:r>
      <w:r w:rsidR="7267A90C" w:rsidRPr="00306F4D">
        <w:rPr>
          <w:rFonts w:ascii="Arial" w:eastAsia="Arial" w:hAnsi="Arial" w:cs="Arial"/>
          <w:sz w:val="20"/>
          <w:szCs w:val="20"/>
        </w:rPr>
        <w:t>,</w:t>
      </w:r>
      <w:r w:rsidRPr="00306F4D">
        <w:rPr>
          <w:rFonts w:ascii="Arial" w:eastAsia="Arial" w:hAnsi="Arial" w:cs="Arial"/>
          <w:sz w:val="20"/>
          <w:szCs w:val="20"/>
        </w:rPr>
        <w:t xml:space="preserve"> </w:t>
      </w:r>
      <w:proofErr w:type="gramStart"/>
      <w:r w:rsidR="28CAD60A" w:rsidRPr="00306F4D">
        <w:rPr>
          <w:rFonts w:ascii="Arial" w:eastAsia="Arial" w:hAnsi="Arial" w:cs="Arial"/>
          <w:sz w:val="20"/>
          <w:szCs w:val="20"/>
        </w:rPr>
        <w:t>in particular</w:t>
      </w:r>
      <w:proofErr w:type="gramEnd"/>
      <w:r w:rsidR="28CAD60A" w:rsidRPr="00306F4D">
        <w:rPr>
          <w:rFonts w:ascii="Arial" w:eastAsia="Arial" w:hAnsi="Arial" w:cs="Arial"/>
          <w:sz w:val="20"/>
          <w:szCs w:val="20"/>
        </w:rPr>
        <w:t xml:space="preserve"> </w:t>
      </w:r>
      <w:r w:rsidR="6776967B" w:rsidRPr="00306F4D">
        <w:rPr>
          <w:rFonts w:ascii="Arial" w:eastAsia="Arial" w:hAnsi="Arial" w:cs="Arial"/>
          <w:sz w:val="20"/>
          <w:szCs w:val="20"/>
        </w:rPr>
        <w:t xml:space="preserve">those </w:t>
      </w:r>
      <w:r w:rsidR="28CAD60A" w:rsidRPr="00306F4D">
        <w:rPr>
          <w:rFonts w:ascii="Arial" w:eastAsia="Arial" w:hAnsi="Arial" w:cs="Arial"/>
          <w:sz w:val="20"/>
          <w:szCs w:val="20"/>
        </w:rPr>
        <w:t xml:space="preserve">working in construction, transport etc. </w:t>
      </w:r>
      <w:r w:rsidRPr="00306F4D">
        <w:rPr>
          <w:rFonts w:ascii="Arial" w:eastAsia="Arial" w:hAnsi="Arial" w:cs="Arial"/>
          <w:sz w:val="20"/>
          <w:szCs w:val="20"/>
        </w:rPr>
        <w:t>Informal employment is widespread, particularly among women and youth, and often lacks social protection, making workers more vulnerable to climate shocks</w:t>
      </w:r>
      <w:r w:rsidR="00DD245F" w:rsidRPr="00306F4D">
        <w:rPr>
          <w:rFonts w:ascii="Arial" w:eastAsia="Arial" w:hAnsi="Arial" w:cs="Arial"/>
          <w:sz w:val="20"/>
          <w:szCs w:val="20"/>
          <w:vertAlign w:val="superscript"/>
        </w:rPr>
        <w:footnoteReference w:id="113"/>
      </w:r>
      <w:r w:rsidRPr="00306F4D">
        <w:rPr>
          <w:rFonts w:ascii="Arial" w:eastAsia="Arial" w:hAnsi="Arial" w:cs="Arial"/>
          <w:sz w:val="20"/>
          <w:szCs w:val="20"/>
          <w:vertAlign w:val="superscript"/>
        </w:rPr>
        <w:t>.</w:t>
      </w:r>
    </w:p>
    <w:p w14:paraId="20906228" w14:textId="30CEFB55" w:rsidR="441409A5" w:rsidRPr="00306F4D" w:rsidRDefault="441409A5" w:rsidP="4186447D">
      <w:pPr>
        <w:pStyle w:val="ListNumber"/>
        <w:numPr>
          <w:ilvl w:val="0"/>
          <w:numId w:val="0"/>
        </w:numPr>
        <w:ind w:left="360"/>
        <w:jc w:val="both"/>
        <w:rPr>
          <w:rFonts w:ascii="Arial" w:eastAsia="Arial" w:hAnsi="Arial" w:cs="Arial"/>
          <w:b/>
          <w:bCs/>
          <w:sz w:val="20"/>
          <w:szCs w:val="20"/>
        </w:rPr>
      </w:pPr>
    </w:p>
    <w:p w14:paraId="62E008F0" w14:textId="56BC5163" w:rsidR="00DD245F" w:rsidRPr="00306F4D" w:rsidRDefault="06EC6202" w:rsidP="4186447D">
      <w:pPr>
        <w:pStyle w:val="ListNumber"/>
        <w:numPr>
          <w:ilvl w:val="0"/>
          <w:numId w:val="0"/>
        </w:numPr>
        <w:jc w:val="both"/>
        <w:rPr>
          <w:rFonts w:ascii="Arial" w:eastAsia="Arial" w:hAnsi="Arial" w:cs="Arial"/>
          <w:b/>
          <w:bCs/>
          <w:sz w:val="20"/>
          <w:szCs w:val="20"/>
        </w:rPr>
      </w:pPr>
      <w:r w:rsidRPr="00306F4D">
        <w:rPr>
          <w:rFonts w:ascii="Arial" w:eastAsia="Arial" w:hAnsi="Arial" w:cs="Arial"/>
          <w:b/>
          <w:bCs/>
          <w:sz w:val="20"/>
          <w:szCs w:val="20"/>
        </w:rPr>
        <w:t>Health and Infrastructure:</w:t>
      </w:r>
      <w:r w:rsidR="7B5852CA" w:rsidRPr="00306F4D">
        <w:rPr>
          <w:rFonts w:ascii="Arial" w:eastAsia="Arial" w:hAnsi="Arial" w:cs="Arial"/>
          <w:b/>
          <w:bCs/>
          <w:sz w:val="20"/>
          <w:szCs w:val="20"/>
        </w:rPr>
        <w:t xml:space="preserve"> </w:t>
      </w:r>
      <w:r w:rsidRPr="00306F4D">
        <w:rPr>
          <w:rFonts w:ascii="Arial" w:eastAsia="Arial" w:hAnsi="Arial" w:cs="Arial"/>
          <w:sz w:val="20"/>
          <w:szCs w:val="20"/>
        </w:rPr>
        <w:t xml:space="preserve">Climate change is exacerbating public health risks in the Western Balkans. </w:t>
      </w:r>
      <w:r w:rsidR="1DAD3DF9" w:rsidRPr="00306F4D">
        <w:rPr>
          <w:rFonts w:ascii="Arial" w:eastAsia="Arial" w:hAnsi="Arial" w:cs="Arial"/>
          <w:sz w:val="20"/>
          <w:szCs w:val="20"/>
        </w:rPr>
        <w:t>Heat waves</w:t>
      </w:r>
      <w:r w:rsidRPr="00306F4D">
        <w:rPr>
          <w:rFonts w:ascii="Arial" w:eastAsia="Arial" w:hAnsi="Arial" w:cs="Arial"/>
          <w:sz w:val="20"/>
          <w:szCs w:val="20"/>
        </w:rPr>
        <w:t xml:space="preserve"> contribute to cardiovascular and respiratory illnesses, while floods increase the spread of waterborne diseases. Vulnerable populations—such as the elderly, children, and those with pre-existing conditions—are at greatest risk. At the same time, aging infrastructure and under-resourced health systems limit the region’s capacity to respond to climate-related health emergencies</w:t>
      </w:r>
      <w:r w:rsidR="00DD245F" w:rsidRPr="00306F4D">
        <w:rPr>
          <w:rFonts w:ascii="Arial" w:eastAsia="Arial" w:hAnsi="Arial" w:cs="Arial"/>
          <w:sz w:val="20"/>
          <w:szCs w:val="20"/>
          <w:vertAlign w:val="superscript"/>
        </w:rPr>
        <w:footnoteReference w:id="114"/>
      </w:r>
      <w:r w:rsidRPr="00306F4D">
        <w:rPr>
          <w:rFonts w:ascii="Arial" w:eastAsia="Arial" w:hAnsi="Arial" w:cs="Arial"/>
          <w:sz w:val="20"/>
          <w:szCs w:val="20"/>
          <w:vertAlign w:val="superscript"/>
        </w:rPr>
        <w:t>.</w:t>
      </w:r>
    </w:p>
    <w:p w14:paraId="0E351050" w14:textId="07E2564C" w:rsidR="441409A5" w:rsidRPr="00306F4D" w:rsidRDefault="441409A5" w:rsidP="4186447D">
      <w:pPr>
        <w:pStyle w:val="ListNumber"/>
        <w:numPr>
          <w:ilvl w:val="0"/>
          <w:numId w:val="0"/>
        </w:numPr>
        <w:ind w:left="360"/>
        <w:jc w:val="both"/>
        <w:rPr>
          <w:rFonts w:ascii="Arial" w:eastAsia="Arial" w:hAnsi="Arial" w:cs="Arial"/>
          <w:b/>
          <w:bCs/>
          <w:sz w:val="20"/>
          <w:szCs w:val="20"/>
        </w:rPr>
      </w:pPr>
    </w:p>
    <w:p w14:paraId="3C44A034" w14:textId="739AF581" w:rsidR="00DD245F" w:rsidRPr="00306F4D" w:rsidRDefault="06EC6202" w:rsidP="4186447D">
      <w:pPr>
        <w:pStyle w:val="ListNumber"/>
        <w:numPr>
          <w:ilvl w:val="0"/>
          <w:numId w:val="0"/>
        </w:numPr>
        <w:jc w:val="both"/>
        <w:rPr>
          <w:rFonts w:ascii="Arial" w:eastAsia="Arial" w:hAnsi="Arial" w:cs="Arial"/>
          <w:b/>
          <w:bCs/>
          <w:sz w:val="20"/>
          <w:szCs w:val="20"/>
        </w:rPr>
      </w:pPr>
      <w:r w:rsidRPr="00306F4D">
        <w:rPr>
          <w:rFonts w:ascii="Arial" w:eastAsia="Arial" w:hAnsi="Arial" w:cs="Arial"/>
          <w:b/>
          <w:bCs/>
          <w:sz w:val="20"/>
          <w:szCs w:val="20"/>
        </w:rPr>
        <w:t>Education and Human Capital:</w:t>
      </w:r>
      <w:r w:rsidR="0307D344" w:rsidRPr="00306F4D">
        <w:rPr>
          <w:rFonts w:ascii="Arial" w:eastAsia="Arial" w:hAnsi="Arial" w:cs="Arial"/>
          <w:b/>
          <w:bCs/>
          <w:sz w:val="20"/>
          <w:szCs w:val="20"/>
        </w:rPr>
        <w:t xml:space="preserve"> </w:t>
      </w:r>
      <w:r w:rsidRPr="00306F4D">
        <w:rPr>
          <w:rFonts w:ascii="Arial" w:eastAsia="Arial" w:hAnsi="Arial" w:cs="Arial"/>
          <w:sz w:val="20"/>
          <w:szCs w:val="20"/>
        </w:rPr>
        <w:t>Climate change also threatens long-term human development in the region. Disruptions to education due to extreme weather events—such as school closures during floods or heatwaves—</w:t>
      </w:r>
      <w:r w:rsidRPr="00306F4D">
        <w:rPr>
          <w:rFonts w:ascii="Arial" w:eastAsia="Arial" w:hAnsi="Arial" w:cs="Arial"/>
          <w:sz w:val="20"/>
          <w:szCs w:val="20"/>
        </w:rPr>
        <w:lastRenderedPageBreak/>
        <w:t>can have lasting impacts on children’s learning outcomes. Poor nutrition linked to agricultural shocks can impair cognitive development, particularly among young children. These effects are most pronounced among low-income and rural households, perpetuating intergenerational cycles of poverty and vulnerability</w:t>
      </w:r>
      <w:r w:rsidR="00DD245F" w:rsidRPr="00306F4D">
        <w:rPr>
          <w:rFonts w:ascii="Arial" w:eastAsia="Arial" w:hAnsi="Arial" w:cs="Arial"/>
          <w:sz w:val="20"/>
          <w:szCs w:val="20"/>
          <w:vertAlign w:val="superscript"/>
        </w:rPr>
        <w:footnoteReference w:id="115"/>
      </w:r>
      <w:r w:rsidRPr="00306F4D">
        <w:rPr>
          <w:rFonts w:ascii="Arial" w:eastAsia="Arial" w:hAnsi="Arial" w:cs="Arial"/>
          <w:sz w:val="20"/>
          <w:szCs w:val="20"/>
        </w:rPr>
        <w:t>.</w:t>
      </w:r>
    </w:p>
    <w:p w14:paraId="7BD0A1D4" w14:textId="0B76B846" w:rsidR="441409A5" w:rsidRPr="00306F4D" w:rsidRDefault="441409A5" w:rsidP="4186447D">
      <w:pPr>
        <w:pStyle w:val="ListNumber"/>
        <w:numPr>
          <w:ilvl w:val="0"/>
          <w:numId w:val="0"/>
        </w:numPr>
        <w:ind w:left="360"/>
        <w:jc w:val="both"/>
        <w:rPr>
          <w:rFonts w:ascii="Arial" w:eastAsia="Arial" w:hAnsi="Arial" w:cs="Arial"/>
          <w:b/>
          <w:bCs/>
          <w:sz w:val="20"/>
          <w:szCs w:val="20"/>
        </w:rPr>
      </w:pPr>
    </w:p>
    <w:p w14:paraId="5F245E8B" w14:textId="5710E041" w:rsidR="00DD245F" w:rsidRPr="00306F4D" w:rsidRDefault="06EC6202" w:rsidP="4186447D">
      <w:pPr>
        <w:pStyle w:val="ListNumber"/>
        <w:numPr>
          <w:ilvl w:val="0"/>
          <w:numId w:val="0"/>
        </w:numPr>
        <w:jc w:val="both"/>
        <w:rPr>
          <w:rFonts w:ascii="Arial" w:eastAsia="Arial" w:hAnsi="Arial" w:cs="Arial"/>
          <w:b/>
          <w:bCs/>
          <w:sz w:val="20"/>
          <w:szCs w:val="20"/>
        </w:rPr>
      </w:pPr>
      <w:r w:rsidRPr="00306F4D">
        <w:rPr>
          <w:rFonts w:ascii="Arial" w:eastAsia="Arial" w:hAnsi="Arial" w:cs="Arial"/>
          <w:b/>
          <w:bCs/>
          <w:sz w:val="20"/>
          <w:szCs w:val="20"/>
        </w:rPr>
        <w:t>Migration and Demographic Change:</w:t>
      </w:r>
      <w:r w:rsidR="50AA4F25" w:rsidRPr="00306F4D">
        <w:rPr>
          <w:rFonts w:ascii="Arial" w:eastAsia="Arial" w:hAnsi="Arial" w:cs="Arial"/>
          <w:b/>
          <w:bCs/>
          <w:sz w:val="20"/>
          <w:szCs w:val="20"/>
        </w:rPr>
        <w:t xml:space="preserve"> </w:t>
      </w:r>
      <w:r w:rsidRPr="00306F4D">
        <w:rPr>
          <w:rFonts w:ascii="Arial" w:eastAsia="Arial" w:hAnsi="Arial" w:cs="Arial"/>
          <w:sz w:val="20"/>
          <w:szCs w:val="20"/>
        </w:rPr>
        <w:t>Climate-induced stressors are contributing to demographic shifts in the Western Balkans. Rural depopulation is accelerating as young people migrate to urban areas or abroad in search of better opportunities. This out</w:t>
      </w:r>
      <w:r w:rsidR="77336523" w:rsidRPr="00306F4D">
        <w:rPr>
          <w:rFonts w:ascii="Arial" w:eastAsia="Arial" w:hAnsi="Arial" w:cs="Arial"/>
          <w:sz w:val="20"/>
          <w:szCs w:val="20"/>
        </w:rPr>
        <w:t xml:space="preserve"> </w:t>
      </w:r>
      <w:r w:rsidRPr="00306F4D">
        <w:rPr>
          <w:rFonts w:ascii="Arial" w:eastAsia="Arial" w:hAnsi="Arial" w:cs="Arial"/>
          <w:sz w:val="20"/>
          <w:szCs w:val="20"/>
        </w:rPr>
        <w:t>migration reduces the adaptive capacity of rural communities, leaving behind aging populations with limited resources. At the same time, urban areas are struggling to accommodate growing populations, leading to overcrowding and increased pressure on infrastructure and services</w:t>
      </w:r>
      <w:r w:rsidR="00DD245F" w:rsidRPr="00306F4D">
        <w:rPr>
          <w:rFonts w:ascii="Arial" w:eastAsia="Arial" w:hAnsi="Arial" w:cs="Arial"/>
          <w:sz w:val="20"/>
          <w:szCs w:val="20"/>
          <w:vertAlign w:val="superscript"/>
        </w:rPr>
        <w:footnoteReference w:id="116"/>
      </w:r>
      <w:r w:rsidRPr="00306F4D">
        <w:rPr>
          <w:rFonts w:ascii="Arial" w:eastAsia="Arial" w:hAnsi="Arial" w:cs="Arial"/>
          <w:sz w:val="20"/>
          <w:szCs w:val="20"/>
        </w:rPr>
        <w:t>.</w:t>
      </w:r>
    </w:p>
    <w:p w14:paraId="0F26B6E2" w14:textId="1D514D6F" w:rsidR="441409A5" w:rsidRPr="00306F4D" w:rsidRDefault="441409A5" w:rsidP="4186447D">
      <w:pPr>
        <w:pStyle w:val="ListNumber"/>
        <w:numPr>
          <w:ilvl w:val="0"/>
          <w:numId w:val="0"/>
        </w:numPr>
        <w:ind w:left="360"/>
        <w:jc w:val="both"/>
        <w:rPr>
          <w:rFonts w:ascii="Arial" w:eastAsia="Arial" w:hAnsi="Arial" w:cs="Arial"/>
          <w:b/>
          <w:bCs/>
          <w:sz w:val="20"/>
          <w:szCs w:val="20"/>
        </w:rPr>
      </w:pPr>
    </w:p>
    <w:p w14:paraId="7D129013" w14:textId="77B4BAB9" w:rsidR="4186447D" w:rsidRPr="00306F4D" w:rsidRDefault="06EC6202" w:rsidP="00633B52">
      <w:pPr>
        <w:pStyle w:val="ListNumber"/>
        <w:numPr>
          <w:ilvl w:val="0"/>
          <w:numId w:val="0"/>
        </w:numPr>
        <w:jc w:val="both"/>
        <w:rPr>
          <w:rFonts w:ascii="Arial" w:eastAsia="Arial" w:hAnsi="Arial" w:cs="Arial"/>
          <w:b/>
          <w:bCs/>
          <w:sz w:val="20"/>
          <w:szCs w:val="20"/>
        </w:rPr>
      </w:pPr>
      <w:r w:rsidRPr="00306F4D">
        <w:rPr>
          <w:rFonts w:ascii="Arial" w:eastAsia="Arial" w:hAnsi="Arial" w:cs="Arial"/>
          <w:b/>
          <w:bCs/>
          <w:sz w:val="20"/>
          <w:szCs w:val="20"/>
        </w:rPr>
        <w:t>Governance and Institutional Capacity:</w:t>
      </w:r>
      <w:r w:rsidR="1726EE05" w:rsidRPr="00306F4D">
        <w:rPr>
          <w:rFonts w:ascii="Arial" w:eastAsia="Arial" w:hAnsi="Arial" w:cs="Arial"/>
          <w:b/>
          <w:bCs/>
          <w:sz w:val="20"/>
          <w:szCs w:val="20"/>
        </w:rPr>
        <w:t xml:space="preserve"> </w:t>
      </w:r>
      <w:r w:rsidRPr="00306F4D">
        <w:rPr>
          <w:rFonts w:ascii="Arial" w:eastAsia="Arial" w:hAnsi="Arial" w:cs="Arial"/>
          <w:sz w:val="20"/>
          <w:szCs w:val="20"/>
        </w:rPr>
        <w:t xml:space="preserve">Local governments in the Western Balkans often lack the financial and technical capacity to implement effective climate adaptation measures. This is particularly true in smaller municipalities, where planning systems are </w:t>
      </w:r>
      <w:proofErr w:type="gramStart"/>
      <w:r w:rsidRPr="00306F4D">
        <w:rPr>
          <w:rFonts w:ascii="Arial" w:eastAsia="Arial" w:hAnsi="Arial" w:cs="Arial"/>
          <w:sz w:val="20"/>
          <w:szCs w:val="20"/>
        </w:rPr>
        <w:t>under</w:t>
      </w:r>
      <w:r w:rsidR="06B5C2A9" w:rsidRPr="00306F4D">
        <w:rPr>
          <w:rFonts w:ascii="Arial" w:eastAsia="Arial" w:hAnsi="Arial" w:cs="Arial"/>
          <w:sz w:val="20"/>
          <w:szCs w:val="20"/>
        </w:rPr>
        <w:t xml:space="preserve"> </w:t>
      </w:r>
      <w:r w:rsidRPr="00306F4D">
        <w:rPr>
          <w:rFonts w:ascii="Arial" w:eastAsia="Arial" w:hAnsi="Arial" w:cs="Arial"/>
          <w:sz w:val="20"/>
          <w:szCs w:val="20"/>
        </w:rPr>
        <w:t>developed</w:t>
      </w:r>
      <w:proofErr w:type="gramEnd"/>
      <w:r w:rsidRPr="00306F4D">
        <w:rPr>
          <w:rFonts w:ascii="Arial" w:eastAsia="Arial" w:hAnsi="Arial" w:cs="Arial"/>
          <w:sz w:val="20"/>
          <w:szCs w:val="20"/>
        </w:rPr>
        <w:t xml:space="preserve"> and emergency response mechanisms are weak. Limited coordination between national and local authorities further hampers the effectiveness of adaptation efforts. Vulnerable populations are often excluded from decision-making processes, reducing the relevance and equity of climate policies</w:t>
      </w:r>
      <w:r w:rsidR="00DD245F" w:rsidRPr="00306F4D">
        <w:rPr>
          <w:rFonts w:ascii="Arial" w:eastAsia="Arial" w:hAnsi="Arial" w:cs="Arial"/>
          <w:sz w:val="20"/>
          <w:szCs w:val="20"/>
          <w:vertAlign w:val="superscript"/>
        </w:rPr>
        <w:footnoteReference w:id="117"/>
      </w:r>
      <w:r w:rsidR="103EDB1E" w:rsidRPr="00306F4D">
        <w:rPr>
          <w:rFonts w:ascii="Arial" w:eastAsia="Arial" w:hAnsi="Arial" w:cs="Arial"/>
          <w:sz w:val="20"/>
          <w:szCs w:val="20"/>
        </w:rPr>
        <w:t>.</w:t>
      </w:r>
      <w:bookmarkEnd w:id="37"/>
      <w:bookmarkEnd w:id="38"/>
    </w:p>
    <w:p w14:paraId="5E45A1CF" w14:textId="26766FCE" w:rsidR="1165FEC8" w:rsidRPr="00306F4D" w:rsidRDefault="5048F578" w:rsidP="00D40D9B">
      <w:pPr>
        <w:pStyle w:val="Heading2"/>
        <w:rPr>
          <w:rFonts w:ascii="Arial" w:hAnsi="Arial" w:cs="Arial"/>
          <w:b/>
          <w:bCs/>
          <w:sz w:val="20"/>
          <w:szCs w:val="20"/>
          <w:lang w:val="en-GB"/>
        </w:rPr>
      </w:pPr>
      <w:bookmarkStart w:id="44" w:name="_Toc1059269408"/>
      <w:bookmarkStart w:id="45" w:name="_Toc1143401979"/>
      <w:bookmarkStart w:id="46" w:name="_Toc202893731"/>
      <w:r w:rsidRPr="00306F4D">
        <w:rPr>
          <w:rFonts w:ascii="Arial" w:hAnsi="Arial" w:cs="Arial"/>
          <w:b/>
          <w:bCs/>
          <w:sz w:val="20"/>
          <w:szCs w:val="20"/>
          <w:lang w:val="en-GB"/>
        </w:rPr>
        <w:t xml:space="preserve">Innovation Context </w:t>
      </w:r>
      <w:r w:rsidR="0486483B" w:rsidRPr="00306F4D">
        <w:rPr>
          <w:rFonts w:ascii="Arial" w:hAnsi="Arial" w:cs="Arial"/>
          <w:b/>
          <w:bCs/>
          <w:sz w:val="20"/>
          <w:szCs w:val="20"/>
          <w:lang w:val="en-GB"/>
        </w:rPr>
        <w:t>in the Western Balkans</w:t>
      </w:r>
      <w:bookmarkEnd w:id="44"/>
      <w:bookmarkEnd w:id="45"/>
      <w:bookmarkEnd w:id="46"/>
    </w:p>
    <w:p w14:paraId="564413C5" w14:textId="6DED2E04" w:rsidR="003604BB" w:rsidRPr="00306F4D" w:rsidRDefault="75B6B96E" w:rsidP="1575A02F">
      <w:p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The Western Balkans is classified as an "Emerging Innovator" region according to the 2024 European Innovation Scoreboard (EIS)</w:t>
      </w:r>
      <w:r w:rsidR="00716AF6" w:rsidRPr="00306F4D">
        <w:rPr>
          <w:rStyle w:val="FootnoteReference"/>
          <w:rFonts w:ascii="Arial" w:eastAsia="Arial" w:hAnsi="Arial" w:cs="Arial"/>
          <w:sz w:val="20"/>
          <w:szCs w:val="20"/>
          <w:lang w:val="en-GB"/>
        </w:rPr>
        <w:footnoteReference w:id="118"/>
      </w:r>
      <w:r w:rsidRPr="00306F4D">
        <w:rPr>
          <w:rFonts w:ascii="Arial" w:eastAsia="Arial" w:hAnsi="Arial" w:cs="Arial"/>
          <w:sz w:val="20"/>
          <w:szCs w:val="20"/>
          <w:lang w:val="en-GB"/>
        </w:rPr>
        <w:t>. The region presents strong potential for innovation, particularly in the field of climate adaptation, but faces key challenges such as low R&amp;D investment, limited government support for business innovation, and underdeveloped innovation ecosystems. Despite these challenges, the region has a foundation upon which this project can build. By fostering regional collaboration and applying lessons learned from previous initiatives, this project will support innovation, reduce transactional costs, and strengthen the capacity of local actors.</w:t>
      </w:r>
    </w:p>
    <w:p w14:paraId="4AB6D154" w14:textId="087BEC56" w:rsidR="30B78435" w:rsidRPr="00306F4D" w:rsidRDefault="30B78435" w:rsidP="00716AF6">
      <w:pPr>
        <w:spacing w:before="240" w:after="240" w:line="276" w:lineRule="auto"/>
        <w:rPr>
          <w:rFonts w:ascii="Arial" w:eastAsia="Arial" w:hAnsi="Arial" w:cs="Arial"/>
          <w:sz w:val="20"/>
          <w:szCs w:val="20"/>
        </w:rPr>
      </w:pPr>
      <w:r w:rsidRPr="00306F4D">
        <w:rPr>
          <w:rFonts w:ascii="Arial" w:eastAsia="Arial" w:hAnsi="Arial" w:cs="Arial"/>
          <w:b/>
          <w:sz w:val="20"/>
          <w:szCs w:val="20"/>
          <w:lang w:val="en-GB"/>
        </w:rPr>
        <w:t>European Innovation Scoreboard (EIS) Overview:</w:t>
      </w:r>
      <w:r w:rsidRPr="00306F4D">
        <w:rPr>
          <w:rFonts w:ascii="Arial" w:hAnsi="Arial" w:cs="Arial"/>
          <w:sz w:val="20"/>
          <w:szCs w:val="20"/>
        </w:rPr>
        <w:br/>
      </w:r>
      <w:r w:rsidR="72041A18" w:rsidRPr="00306F4D">
        <w:rPr>
          <w:rFonts w:ascii="Arial" w:eastAsia="Arial" w:hAnsi="Arial" w:cs="Arial"/>
          <w:sz w:val="20"/>
          <w:szCs w:val="20"/>
        </w:rPr>
        <w:t>EIS measures innovation across four categories:</w:t>
      </w:r>
    </w:p>
    <w:p w14:paraId="76909FDB" w14:textId="15E1C9A3" w:rsidR="72041A18" w:rsidRPr="00306F4D" w:rsidRDefault="72041A18" w:rsidP="00093F5F">
      <w:pPr>
        <w:pStyle w:val="ListParagraph"/>
        <w:numPr>
          <w:ilvl w:val="0"/>
          <w:numId w:val="39"/>
        </w:numPr>
        <w:spacing w:before="240" w:after="240" w:line="276" w:lineRule="auto"/>
        <w:jc w:val="both"/>
        <w:rPr>
          <w:rFonts w:ascii="Arial" w:eastAsia="Arial" w:hAnsi="Arial" w:cs="Arial"/>
          <w:sz w:val="20"/>
          <w:szCs w:val="20"/>
        </w:rPr>
      </w:pPr>
      <w:r w:rsidRPr="00306F4D">
        <w:rPr>
          <w:rFonts w:ascii="Arial" w:eastAsia="Arial" w:hAnsi="Arial" w:cs="Arial"/>
          <w:b/>
          <w:sz w:val="20"/>
          <w:szCs w:val="20"/>
        </w:rPr>
        <w:t>Framework Conditions</w:t>
      </w:r>
      <w:r w:rsidRPr="00306F4D">
        <w:rPr>
          <w:rFonts w:ascii="Arial" w:eastAsia="Arial" w:hAnsi="Arial" w:cs="Arial"/>
          <w:sz w:val="20"/>
          <w:szCs w:val="20"/>
        </w:rPr>
        <w:t>: Evaluates human resources, research systems, and digitalization capabilities.</w:t>
      </w:r>
    </w:p>
    <w:p w14:paraId="5161AD94" w14:textId="0071A22A" w:rsidR="72041A18" w:rsidRPr="00306F4D" w:rsidRDefault="72041A18" w:rsidP="00093F5F">
      <w:pPr>
        <w:pStyle w:val="ListParagraph"/>
        <w:numPr>
          <w:ilvl w:val="0"/>
          <w:numId w:val="39"/>
        </w:numPr>
        <w:spacing w:before="240" w:after="240" w:line="276" w:lineRule="auto"/>
        <w:jc w:val="both"/>
        <w:rPr>
          <w:rFonts w:ascii="Arial" w:eastAsia="Arial" w:hAnsi="Arial" w:cs="Arial"/>
          <w:sz w:val="20"/>
          <w:szCs w:val="20"/>
        </w:rPr>
      </w:pPr>
      <w:r w:rsidRPr="00306F4D">
        <w:rPr>
          <w:rFonts w:ascii="Arial" w:eastAsia="Arial" w:hAnsi="Arial" w:cs="Arial"/>
          <w:b/>
          <w:sz w:val="20"/>
          <w:szCs w:val="20"/>
        </w:rPr>
        <w:t>Innovation Investments</w:t>
      </w:r>
      <w:r w:rsidRPr="00306F4D">
        <w:rPr>
          <w:rFonts w:ascii="Arial" w:eastAsia="Arial" w:hAnsi="Arial" w:cs="Arial"/>
          <w:sz w:val="20"/>
          <w:szCs w:val="20"/>
        </w:rPr>
        <w:t>: Measures investments made by both public and private sectors in R&amp;D and innovation support.</w:t>
      </w:r>
    </w:p>
    <w:p w14:paraId="53DC9A5B" w14:textId="5B9DC3D2" w:rsidR="72041A18" w:rsidRPr="00306F4D" w:rsidRDefault="72041A18" w:rsidP="00093F5F">
      <w:pPr>
        <w:pStyle w:val="ListParagraph"/>
        <w:numPr>
          <w:ilvl w:val="0"/>
          <w:numId w:val="39"/>
        </w:numPr>
        <w:spacing w:before="240" w:after="240" w:line="276" w:lineRule="auto"/>
        <w:jc w:val="both"/>
        <w:rPr>
          <w:rFonts w:ascii="Arial" w:eastAsia="Arial" w:hAnsi="Arial" w:cs="Arial"/>
          <w:sz w:val="20"/>
          <w:szCs w:val="20"/>
        </w:rPr>
      </w:pPr>
      <w:r w:rsidRPr="00306F4D">
        <w:rPr>
          <w:rFonts w:ascii="Arial" w:eastAsia="Arial" w:hAnsi="Arial" w:cs="Arial"/>
          <w:b/>
          <w:sz w:val="20"/>
          <w:szCs w:val="20"/>
        </w:rPr>
        <w:t>Innovation Activities</w:t>
      </w:r>
      <w:r w:rsidRPr="00306F4D">
        <w:rPr>
          <w:rFonts w:ascii="Arial" w:eastAsia="Arial" w:hAnsi="Arial" w:cs="Arial"/>
          <w:sz w:val="20"/>
          <w:szCs w:val="20"/>
        </w:rPr>
        <w:t>: Focuses on the innovation performance of SMEs, including R&amp;D, intellectual property, and industry linkages.</w:t>
      </w:r>
    </w:p>
    <w:p w14:paraId="77B9164E" w14:textId="7EF18B7E" w:rsidR="72041A18" w:rsidRPr="00306F4D" w:rsidRDefault="72041A18" w:rsidP="00093F5F">
      <w:pPr>
        <w:pStyle w:val="ListParagraph"/>
        <w:numPr>
          <w:ilvl w:val="0"/>
          <w:numId w:val="39"/>
        </w:numPr>
        <w:spacing w:before="240" w:after="240" w:line="276" w:lineRule="auto"/>
        <w:jc w:val="both"/>
        <w:rPr>
          <w:rFonts w:ascii="Arial" w:eastAsia="Arial" w:hAnsi="Arial" w:cs="Arial"/>
          <w:sz w:val="20"/>
          <w:szCs w:val="20"/>
        </w:rPr>
      </w:pPr>
      <w:r w:rsidRPr="00306F4D">
        <w:rPr>
          <w:rFonts w:ascii="Arial" w:eastAsia="Arial" w:hAnsi="Arial" w:cs="Arial"/>
          <w:b/>
          <w:sz w:val="20"/>
          <w:szCs w:val="20"/>
        </w:rPr>
        <w:t>Innovation Impacts</w:t>
      </w:r>
      <w:r w:rsidRPr="00306F4D">
        <w:rPr>
          <w:rFonts w:ascii="Arial" w:eastAsia="Arial" w:hAnsi="Arial" w:cs="Arial"/>
          <w:sz w:val="20"/>
          <w:szCs w:val="20"/>
        </w:rPr>
        <w:t>: Assesses the outcomes of innovation, including employment impacts, sales, and environmental sustainability.</w:t>
      </w:r>
    </w:p>
    <w:p w14:paraId="59A1A5A6" w14:textId="6B140F23" w:rsidR="00B645E6" w:rsidRPr="00306F4D" w:rsidRDefault="72041A18" w:rsidP="00BB07B9">
      <w:pPr>
        <w:spacing w:before="240" w:after="240" w:line="276" w:lineRule="auto"/>
        <w:jc w:val="both"/>
        <w:rPr>
          <w:rFonts w:ascii="Arial" w:eastAsia="Arial" w:hAnsi="Arial" w:cs="Arial"/>
          <w:sz w:val="20"/>
          <w:szCs w:val="20"/>
        </w:rPr>
      </w:pPr>
      <w:r w:rsidRPr="00306F4D">
        <w:rPr>
          <w:rFonts w:ascii="Arial" w:eastAsia="Arial" w:hAnsi="Arial" w:cs="Arial"/>
          <w:sz w:val="20"/>
          <w:szCs w:val="20"/>
        </w:rPr>
        <w:t xml:space="preserve">Each country has strengths in specific areas of innovation, including environment-related technologies and the activities of SMEs. However, challenges persist in areas such as R&amp;D spending, government support for innovation, and the integration of climate adaptation solutions into broader business practices. This project will leverage the region’s existing innovation capacity and aim to overcome these barriers, creating a strong foundation for </w:t>
      </w:r>
      <w:proofErr w:type="gramStart"/>
      <w:r w:rsidRPr="00306F4D">
        <w:rPr>
          <w:rFonts w:ascii="Arial" w:eastAsia="Arial" w:hAnsi="Arial" w:cs="Arial"/>
          <w:sz w:val="20"/>
          <w:szCs w:val="20"/>
        </w:rPr>
        <w:t>locally-led</w:t>
      </w:r>
      <w:proofErr w:type="gramEnd"/>
      <w:r w:rsidRPr="00306F4D">
        <w:rPr>
          <w:rFonts w:ascii="Arial" w:eastAsia="Arial" w:hAnsi="Arial" w:cs="Arial"/>
          <w:sz w:val="20"/>
          <w:szCs w:val="20"/>
        </w:rPr>
        <w:t xml:space="preserve"> climate adaptation solutions.</w:t>
      </w:r>
    </w:p>
    <w:p w14:paraId="1A306372" w14:textId="5B1C3EA2" w:rsidR="00D00A98" w:rsidRPr="00306F4D" w:rsidRDefault="5E98AD9C" w:rsidP="00D94397">
      <w:pPr>
        <w:pStyle w:val="Heading4"/>
        <w:rPr>
          <w:rStyle w:val="Heading3Char"/>
          <w:rFonts w:ascii="Arial" w:eastAsia="Arial" w:hAnsi="Arial" w:cs="Arial"/>
          <w:sz w:val="20"/>
          <w:szCs w:val="20"/>
          <w:lang w:val="en-GB"/>
        </w:rPr>
      </w:pPr>
      <w:bookmarkStart w:id="47" w:name="_Toc1004185430"/>
      <w:bookmarkStart w:id="48" w:name="_Toc49852244"/>
      <w:r w:rsidRPr="00306F4D">
        <w:rPr>
          <w:rStyle w:val="Heading3Char"/>
          <w:rFonts w:ascii="Arial" w:eastAsia="Arial" w:hAnsi="Arial" w:cs="Arial"/>
          <w:sz w:val="20"/>
          <w:szCs w:val="20"/>
          <w:lang w:val="en-GB"/>
        </w:rPr>
        <w:lastRenderedPageBreak/>
        <w:t>Innovation Readiness in the Four Partner Countries</w:t>
      </w:r>
      <w:bookmarkEnd w:id="47"/>
      <w:bookmarkEnd w:id="48"/>
    </w:p>
    <w:p w14:paraId="2EC43442" w14:textId="04AD0A71" w:rsidR="39F1DEB6" w:rsidRPr="00306F4D" w:rsidRDefault="001D332C" w:rsidP="39F1DEB6">
      <w:pPr>
        <w:tabs>
          <w:tab w:val="left" w:pos="360"/>
        </w:tabs>
        <w:spacing w:before="120" w:after="240" w:line="276" w:lineRule="auto"/>
        <w:jc w:val="both"/>
        <w:rPr>
          <w:rFonts w:ascii="Arial" w:eastAsia="Arial" w:hAnsi="Arial" w:cs="Arial"/>
          <w:color w:val="1F3864" w:themeColor="accent1" w:themeShade="80"/>
          <w:sz w:val="20"/>
          <w:szCs w:val="20"/>
          <w:lang w:val="en-GB"/>
        </w:rPr>
      </w:pPr>
      <w:r w:rsidRPr="00306F4D">
        <w:rPr>
          <w:rFonts w:ascii="Arial" w:eastAsia="Arial" w:hAnsi="Arial" w:cs="Arial"/>
          <w:sz w:val="20"/>
          <w:szCs w:val="20"/>
        </w:rPr>
        <w:t xml:space="preserve">According to the </w:t>
      </w:r>
      <w:r w:rsidR="259766F2" w:rsidRPr="00306F4D">
        <w:rPr>
          <w:rFonts w:ascii="Arial" w:eastAsia="Arial" w:hAnsi="Arial" w:cs="Arial"/>
          <w:sz w:val="20"/>
          <w:szCs w:val="20"/>
        </w:rPr>
        <w:t>EIS (2024</w:t>
      </w:r>
      <w:r w:rsidRPr="00306F4D">
        <w:rPr>
          <w:rFonts w:ascii="Arial" w:eastAsia="Arial" w:hAnsi="Arial" w:cs="Arial"/>
          <w:sz w:val="20"/>
          <w:szCs w:val="20"/>
        </w:rPr>
        <w:t xml:space="preserve">), the </w:t>
      </w:r>
      <w:r w:rsidR="259766F2" w:rsidRPr="00306F4D">
        <w:rPr>
          <w:rFonts w:ascii="Arial" w:eastAsia="Arial" w:hAnsi="Arial" w:cs="Arial"/>
          <w:sz w:val="20"/>
          <w:szCs w:val="20"/>
        </w:rPr>
        <w:t xml:space="preserve">four Western Balkan countries </w:t>
      </w:r>
      <w:r w:rsidRPr="00306F4D">
        <w:rPr>
          <w:rFonts w:ascii="Arial" w:eastAsia="Arial" w:hAnsi="Arial" w:cs="Arial"/>
          <w:sz w:val="20"/>
          <w:szCs w:val="20"/>
        </w:rPr>
        <w:t>possess</w:t>
      </w:r>
      <w:r w:rsidR="259766F2" w:rsidRPr="00306F4D">
        <w:rPr>
          <w:rFonts w:ascii="Arial" w:eastAsia="Arial" w:hAnsi="Arial" w:cs="Arial"/>
          <w:sz w:val="20"/>
          <w:szCs w:val="20"/>
        </w:rPr>
        <w:t xml:space="preserve"> a </w:t>
      </w:r>
      <w:r w:rsidRPr="00306F4D">
        <w:rPr>
          <w:rFonts w:ascii="Arial" w:eastAsia="Arial" w:hAnsi="Arial" w:cs="Arial"/>
          <w:sz w:val="20"/>
          <w:szCs w:val="20"/>
        </w:rPr>
        <w:t>strong</w:t>
      </w:r>
      <w:r w:rsidR="259766F2" w:rsidRPr="00306F4D">
        <w:rPr>
          <w:rFonts w:ascii="Arial" w:eastAsia="Arial" w:hAnsi="Arial" w:cs="Arial"/>
          <w:sz w:val="20"/>
          <w:szCs w:val="20"/>
        </w:rPr>
        <w:t xml:space="preserve"> foundation for innovation and </w:t>
      </w:r>
      <w:r w:rsidRPr="00306F4D">
        <w:rPr>
          <w:rFonts w:ascii="Arial" w:eastAsia="Arial" w:hAnsi="Arial" w:cs="Arial"/>
          <w:sz w:val="20"/>
          <w:szCs w:val="20"/>
        </w:rPr>
        <w:t xml:space="preserve">are developing </w:t>
      </w:r>
      <w:r w:rsidR="259766F2" w:rsidRPr="00306F4D">
        <w:rPr>
          <w:rFonts w:ascii="Arial" w:eastAsia="Arial" w:hAnsi="Arial" w:cs="Arial"/>
          <w:sz w:val="20"/>
          <w:szCs w:val="20"/>
        </w:rPr>
        <w:t>an emerging innovation ecosystem</w:t>
      </w:r>
      <w:r w:rsidRPr="00306F4D">
        <w:rPr>
          <w:rFonts w:ascii="Arial" w:eastAsia="Arial" w:hAnsi="Arial" w:cs="Arial"/>
          <w:sz w:val="20"/>
          <w:szCs w:val="20"/>
        </w:rPr>
        <w:t>. The</w:t>
      </w:r>
      <w:r w:rsidR="259766F2" w:rsidRPr="00306F4D">
        <w:rPr>
          <w:rFonts w:ascii="Arial" w:eastAsia="Arial" w:hAnsi="Arial" w:cs="Arial"/>
          <w:sz w:val="20"/>
          <w:szCs w:val="20"/>
        </w:rPr>
        <w:t xml:space="preserve"> Regional Project can </w:t>
      </w:r>
      <w:r w:rsidRPr="00306F4D">
        <w:rPr>
          <w:rFonts w:ascii="Arial" w:eastAsia="Arial" w:hAnsi="Arial" w:cs="Arial"/>
          <w:sz w:val="20"/>
          <w:szCs w:val="20"/>
        </w:rPr>
        <w:t>leverage</w:t>
      </w:r>
      <w:r w:rsidR="259766F2" w:rsidRPr="00306F4D">
        <w:rPr>
          <w:rFonts w:ascii="Arial" w:eastAsia="Arial" w:hAnsi="Arial" w:cs="Arial"/>
          <w:sz w:val="20"/>
          <w:szCs w:val="20"/>
        </w:rPr>
        <w:t xml:space="preserve"> and </w:t>
      </w:r>
      <w:r w:rsidRPr="00306F4D">
        <w:rPr>
          <w:rFonts w:ascii="Arial" w:eastAsia="Arial" w:hAnsi="Arial" w:cs="Arial"/>
          <w:sz w:val="20"/>
          <w:szCs w:val="20"/>
        </w:rPr>
        <w:t>enhance this foundation, advancing and amplifying the efforts of</w:t>
      </w:r>
      <w:r w:rsidR="259766F2" w:rsidRPr="00306F4D">
        <w:rPr>
          <w:rFonts w:ascii="Arial" w:eastAsia="Arial" w:hAnsi="Arial" w:cs="Arial"/>
          <w:sz w:val="20"/>
          <w:szCs w:val="20"/>
        </w:rPr>
        <w:t xml:space="preserve"> </w:t>
      </w:r>
      <w:proofErr w:type="gramStart"/>
      <w:r w:rsidR="259766F2" w:rsidRPr="00306F4D">
        <w:rPr>
          <w:rFonts w:ascii="Arial" w:eastAsia="Arial" w:hAnsi="Arial" w:cs="Arial"/>
          <w:sz w:val="20"/>
          <w:szCs w:val="20"/>
        </w:rPr>
        <w:t>locally-led</w:t>
      </w:r>
      <w:proofErr w:type="gramEnd"/>
      <w:r w:rsidR="259766F2" w:rsidRPr="00306F4D">
        <w:rPr>
          <w:rFonts w:ascii="Arial" w:eastAsia="Arial" w:hAnsi="Arial" w:cs="Arial"/>
          <w:sz w:val="20"/>
          <w:szCs w:val="20"/>
        </w:rPr>
        <w:t>, climate-focused innovators</w:t>
      </w:r>
      <w:r w:rsidR="259766F2" w:rsidRPr="00306F4D">
        <w:rPr>
          <w:rFonts w:ascii="Arial" w:eastAsia="Arial" w:hAnsi="Arial" w:cs="Arial"/>
          <w:color w:val="000000" w:themeColor="text1"/>
          <w:sz w:val="20"/>
          <w:szCs w:val="20"/>
        </w:rPr>
        <w:t xml:space="preserve"> (</w:t>
      </w:r>
      <w:r w:rsidR="259766F2" w:rsidRPr="00306F4D">
        <w:rPr>
          <w:rFonts w:ascii="Arial" w:eastAsia="Arial" w:hAnsi="Arial" w:cs="Arial"/>
          <w:b/>
          <w:color w:val="000000" w:themeColor="text1"/>
          <w:sz w:val="20"/>
          <w:szCs w:val="20"/>
        </w:rPr>
        <w:t xml:space="preserve">Figure </w:t>
      </w:r>
      <w:r w:rsidR="003604BB" w:rsidRPr="00306F4D">
        <w:rPr>
          <w:rFonts w:ascii="Arial" w:eastAsia="Arial" w:hAnsi="Arial" w:cs="Arial"/>
          <w:b/>
          <w:color w:val="000000" w:themeColor="text1"/>
          <w:sz w:val="20"/>
          <w:szCs w:val="20"/>
        </w:rPr>
        <w:t>8</w:t>
      </w:r>
      <w:r w:rsidR="259766F2" w:rsidRPr="00306F4D">
        <w:rPr>
          <w:rFonts w:ascii="Arial" w:eastAsia="Arial" w:hAnsi="Arial" w:cs="Arial"/>
          <w:color w:val="000000" w:themeColor="text1"/>
          <w:sz w:val="20"/>
          <w:szCs w:val="20"/>
        </w:rPr>
        <w:t>).</w:t>
      </w:r>
    </w:p>
    <w:p w14:paraId="271BAF37" w14:textId="1A023A9D" w:rsidR="39F1DEB6" w:rsidRPr="00306F4D" w:rsidRDefault="311B5976" w:rsidP="4D310E9B">
      <w:pPr>
        <w:tabs>
          <w:tab w:val="left" w:pos="360"/>
        </w:tabs>
        <w:spacing w:before="120" w:after="240" w:line="257" w:lineRule="auto"/>
        <w:jc w:val="both"/>
        <w:rPr>
          <w:rFonts w:ascii="Arial" w:hAnsi="Arial" w:cs="Arial"/>
          <w:sz w:val="20"/>
          <w:szCs w:val="20"/>
        </w:rPr>
      </w:pPr>
      <w:r w:rsidRPr="00306F4D">
        <w:rPr>
          <w:rFonts w:ascii="Arial" w:hAnsi="Arial" w:cs="Arial"/>
          <w:noProof/>
          <w:sz w:val="20"/>
          <w:szCs w:val="20"/>
        </w:rPr>
        <w:drawing>
          <wp:anchor distT="0" distB="0" distL="114300" distR="114300" simplePos="0" relativeHeight="251658241" behindDoc="0" locked="0" layoutInCell="1" allowOverlap="1" wp14:anchorId="77668824" wp14:editId="4BA23FB0">
            <wp:simplePos x="0" y="0"/>
            <wp:positionH relativeFrom="column">
              <wp:posOffset>283210</wp:posOffset>
            </wp:positionH>
            <wp:positionV relativeFrom="paragraph">
              <wp:posOffset>32385</wp:posOffset>
            </wp:positionV>
            <wp:extent cx="4069715" cy="3126740"/>
            <wp:effectExtent l="0" t="0" r="0" b="0"/>
            <wp:wrapSquare wrapText="bothSides"/>
            <wp:docPr id="166898942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989425" name=""/>
                    <pic:cNvPicPr/>
                  </pic:nvPicPr>
                  <pic:blipFill>
                    <a:blip r:embed="rId19">
                      <a:extLst>
                        <a:ext uri="{28A0092B-C50C-407E-A947-70E740481C1C}">
                          <a14:useLocalDpi xmlns:a14="http://schemas.microsoft.com/office/drawing/2010/main" val="0"/>
                        </a:ext>
                      </a:extLst>
                    </a:blip>
                    <a:stretch>
                      <a:fillRect/>
                    </a:stretch>
                  </pic:blipFill>
                  <pic:spPr>
                    <a:xfrm>
                      <a:off x="0" y="0"/>
                      <a:ext cx="4069715" cy="3126740"/>
                    </a:xfrm>
                    <a:prstGeom prst="rect">
                      <a:avLst/>
                    </a:prstGeom>
                  </pic:spPr>
                </pic:pic>
              </a:graphicData>
            </a:graphic>
            <wp14:sizeRelH relativeFrom="page">
              <wp14:pctWidth>0</wp14:pctWidth>
            </wp14:sizeRelH>
            <wp14:sizeRelV relativeFrom="page">
              <wp14:pctHeight>0</wp14:pctHeight>
            </wp14:sizeRelV>
          </wp:anchor>
        </w:drawing>
      </w:r>
    </w:p>
    <w:p w14:paraId="73BEDF21" w14:textId="77777777" w:rsidR="00BC3363" w:rsidRPr="00306F4D" w:rsidRDefault="00BC3363" w:rsidP="4D310E9B">
      <w:pPr>
        <w:spacing w:after="120" w:line="257" w:lineRule="auto"/>
        <w:jc w:val="center"/>
        <w:rPr>
          <w:rFonts w:ascii="Arial" w:eastAsia="Arial" w:hAnsi="Arial" w:cs="Arial"/>
          <w:b/>
          <w:color w:val="000000" w:themeColor="text1"/>
          <w:sz w:val="16"/>
          <w:szCs w:val="16"/>
        </w:rPr>
      </w:pPr>
    </w:p>
    <w:p w14:paraId="465E720C" w14:textId="77777777" w:rsidR="00BC3363" w:rsidRPr="00306F4D" w:rsidRDefault="00BC3363" w:rsidP="4D310E9B">
      <w:pPr>
        <w:spacing w:after="120" w:line="257" w:lineRule="auto"/>
        <w:jc w:val="center"/>
        <w:rPr>
          <w:rFonts w:ascii="Arial" w:eastAsia="Arial" w:hAnsi="Arial" w:cs="Arial"/>
          <w:b/>
          <w:color w:val="000000" w:themeColor="text1"/>
          <w:sz w:val="16"/>
          <w:szCs w:val="16"/>
        </w:rPr>
      </w:pPr>
    </w:p>
    <w:p w14:paraId="7C85B43C" w14:textId="77777777" w:rsidR="00BC3363" w:rsidRPr="00306F4D" w:rsidRDefault="00BC3363" w:rsidP="4D310E9B">
      <w:pPr>
        <w:spacing w:after="120" w:line="257" w:lineRule="auto"/>
        <w:jc w:val="center"/>
        <w:rPr>
          <w:rFonts w:ascii="Arial" w:eastAsia="Arial" w:hAnsi="Arial" w:cs="Arial"/>
          <w:b/>
          <w:color w:val="000000" w:themeColor="text1"/>
          <w:sz w:val="16"/>
          <w:szCs w:val="16"/>
        </w:rPr>
      </w:pPr>
    </w:p>
    <w:p w14:paraId="7E937509" w14:textId="77777777" w:rsidR="00BC3363" w:rsidRPr="00306F4D" w:rsidRDefault="00BC3363" w:rsidP="4D310E9B">
      <w:pPr>
        <w:spacing w:after="120" w:line="257" w:lineRule="auto"/>
        <w:jc w:val="center"/>
        <w:rPr>
          <w:rFonts w:ascii="Arial" w:eastAsia="Arial" w:hAnsi="Arial" w:cs="Arial"/>
          <w:b/>
          <w:color w:val="000000" w:themeColor="text1"/>
          <w:sz w:val="16"/>
          <w:szCs w:val="16"/>
        </w:rPr>
      </w:pPr>
    </w:p>
    <w:p w14:paraId="1E69028A" w14:textId="6C1DD1C4" w:rsidR="39F1DEB6" w:rsidRPr="00306F4D" w:rsidRDefault="311B5976" w:rsidP="4D310E9B">
      <w:pPr>
        <w:spacing w:after="120" w:line="257" w:lineRule="auto"/>
        <w:jc w:val="center"/>
        <w:rPr>
          <w:rFonts w:ascii="Arial" w:eastAsia="Arial" w:hAnsi="Arial" w:cs="Arial"/>
          <w:sz w:val="16"/>
          <w:szCs w:val="16"/>
        </w:rPr>
      </w:pPr>
      <w:r w:rsidRPr="00306F4D">
        <w:rPr>
          <w:rFonts w:ascii="Arial" w:eastAsia="Arial" w:hAnsi="Arial" w:cs="Arial"/>
          <w:b/>
          <w:color w:val="000000" w:themeColor="text1"/>
          <w:sz w:val="16"/>
          <w:szCs w:val="16"/>
        </w:rPr>
        <w:t xml:space="preserve">Figure 8. European Innovation Scorecard (EIS 2024), Highlighting the Readiness of the Four Western Balkans Partner Countries, in the Context of the Entire EU, for AF’s Investment in Innovation and </w:t>
      </w:r>
      <w:proofErr w:type="gramStart"/>
      <w:r w:rsidRPr="00306F4D">
        <w:rPr>
          <w:rFonts w:ascii="Arial" w:eastAsia="Arial" w:hAnsi="Arial" w:cs="Arial"/>
          <w:b/>
          <w:color w:val="000000" w:themeColor="text1"/>
          <w:sz w:val="16"/>
          <w:szCs w:val="16"/>
        </w:rPr>
        <w:t>Locally-Led</w:t>
      </w:r>
      <w:proofErr w:type="gramEnd"/>
      <w:r w:rsidRPr="00306F4D">
        <w:rPr>
          <w:rFonts w:ascii="Arial" w:eastAsia="Arial" w:hAnsi="Arial" w:cs="Arial"/>
          <w:b/>
          <w:color w:val="000000" w:themeColor="text1"/>
          <w:sz w:val="16"/>
          <w:szCs w:val="16"/>
        </w:rPr>
        <w:t xml:space="preserve"> Adaptation Acceleration.</w:t>
      </w:r>
    </w:p>
    <w:p w14:paraId="7500A465" w14:textId="77777777" w:rsidR="00BC3363" w:rsidRPr="00306F4D" w:rsidRDefault="00BC3363" w:rsidP="24120396">
      <w:pPr>
        <w:tabs>
          <w:tab w:val="left" w:pos="360"/>
        </w:tabs>
        <w:spacing w:before="120" w:after="240" w:line="276" w:lineRule="auto"/>
        <w:jc w:val="both"/>
        <w:rPr>
          <w:rFonts w:ascii="Arial" w:eastAsia="Arial" w:hAnsi="Arial" w:cs="Arial"/>
          <w:sz w:val="20"/>
          <w:szCs w:val="20"/>
        </w:rPr>
      </w:pPr>
    </w:p>
    <w:p w14:paraId="53CEC386" w14:textId="77777777" w:rsidR="00BC3363" w:rsidRPr="00306F4D" w:rsidRDefault="00BC3363" w:rsidP="24120396">
      <w:pPr>
        <w:tabs>
          <w:tab w:val="left" w:pos="360"/>
        </w:tabs>
        <w:spacing w:before="120" w:after="240" w:line="276" w:lineRule="auto"/>
        <w:jc w:val="both"/>
        <w:rPr>
          <w:rFonts w:ascii="Arial" w:eastAsia="Arial" w:hAnsi="Arial" w:cs="Arial"/>
          <w:sz w:val="20"/>
          <w:szCs w:val="20"/>
        </w:rPr>
      </w:pPr>
    </w:p>
    <w:p w14:paraId="0E025300" w14:textId="77777777" w:rsidR="00BC3363" w:rsidRPr="00306F4D" w:rsidRDefault="00BC3363" w:rsidP="24120396">
      <w:pPr>
        <w:tabs>
          <w:tab w:val="left" w:pos="360"/>
        </w:tabs>
        <w:spacing w:before="120" w:after="240" w:line="276" w:lineRule="auto"/>
        <w:jc w:val="both"/>
        <w:rPr>
          <w:rFonts w:ascii="Arial" w:eastAsia="Arial" w:hAnsi="Arial" w:cs="Arial"/>
          <w:sz w:val="20"/>
          <w:szCs w:val="20"/>
        </w:rPr>
      </w:pPr>
    </w:p>
    <w:p w14:paraId="67218C5E" w14:textId="77777777" w:rsidR="007128BC" w:rsidRPr="00306F4D" w:rsidRDefault="007128BC" w:rsidP="24120396">
      <w:pPr>
        <w:tabs>
          <w:tab w:val="left" w:pos="360"/>
        </w:tabs>
        <w:spacing w:before="120" w:after="240" w:line="276" w:lineRule="auto"/>
        <w:jc w:val="both"/>
        <w:rPr>
          <w:rFonts w:ascii="Arial" w:eastAsia="Arial" w:hAnsi="Arial" w:cs="Arial"/>
          <w:sz w:val="20"/>
          <w:szCs w:val="20"/>
        </w:rPr>
      </w:pPr>
    </w:p>
    <w:p w14:paraId="0B3E4FF2" w14:textId="749DDC83" w:rsidR="24120396" w:rsidRPr="00306F4D" w:rsidRDefault="317E6090" w:rsidP="24120396">
      <w:pPr>
        <w:tabs>
          <w:tab w:val="left" w:pos="360"/>
        </w:tabs>
        <w:spacing w:before="120" w:after="240" w:line="276" w:lineRule="auto"/>
        <w:jc w:val="both"/>
        <w:rPr>
          <w:rFonts w:ascii="Arial" w:eastAsia="Arial" w:hAnsi="Arial" w:cs="Arial"/>
          <w:sz w:val="20"/>
          <w:szCs w:val="20"/>
        </w:rPr>
      </w:pPr>
      <w:r w:rsidRPr="00306F4D">
        <w:rPr>
          <w:rFonts w:ascii="Arial" w:eastAsia="Arial" w:hAnsi="Arial" w:cs="Arial"/>
          <w:sz w:val="20"/>
          <w:szCs w:val="20"/>
        </w:rPr>
        <w:t xml:space="preserve">This section provides a summary of the EIS (2024) assessment for each of the Regional Project's partner countries. Each country exhibits unique strengths, such as in the production, deployment, or use of environmental technologies, positioning them as strong candidates for investment in </w:t>
      </w:r>
      <w:proofErr w:type="gramStart"/>
      <w:r w:rsidRPr="00306F4D">
        <w:rPr>
          <w:rFonts w:ascii="Arial" w:eastAsia="Arial" w:hAnsi="Arial" w:cs="Arial"/>
          <w:sz w:val="20"/>
          <w:szCs w:val="20"/>
        </w:rPr>
        <w:t>locally-led</w:t>
      </w:r>
      <w:proofErr w:type="gramEnd"/>
      <w:r w:rsidRPr="00306F4D">
        <w:rPr>
          <w:rFonts w:ascii="Arial" w:eastAsia="Arial" w:hAnsi="Arial" w:cs="Arial"/>
          <w:sz w:val="20"/>
          <w:szCs w:val="20"/>
        </w:rPr>
        <w:t xml:space="preserve"> adaptation and innovation.</w:t>
      </w:r>
    </w:p>
    <w:p w14:paraId="7CA92BFA" w14:textId="701282EF" w:rsidR="259766F2" w:rsidRPr="00306F4D" w:rsidRDefault="259766F2" w:rsidP="0A2CADAC">
      <w:pPr>
        <w:tabs>
          <w:tab w:val="left" w:pos="360"/>
        </w:tabs>
        <w:spacing w:before="120" w:after="240" w:line="276" w:lineRule="auto"/>
        <w:jc w:val="both"/>
        <w:rPr>
          <w:rFonts w:ascii="Arial" w:eastAsia="Arial" w:hAnsi="Arial" w:cs="Arial"/>
          <w:color w:val="0070C0"/>
          <w:sz w:val="20"/>
          <w:szCs w:val="20"/>
        </w:rPr>
      </w:pPr>
      <w:r w:rsidRPr="00306F4D">
        <w:rPr>
          <w:rFonts w:ascii="Arial" w:eastAsia="Arial" w:hAnsi="Arial" w:cs="Arial"/>
          <w:b/>
          <w:color w:val="0070C0"/>
          <w:sz w:val="20"/>
          <w:szCs w:val="20"/>
          <w:u w:val="single"/>
        </w:rPr>
        <w:t>Bosnia and Herzegovina</w:t>
      </w:r>
    </w:p>
    <w:p w14:paraId="20225EB6" w14:textId="755FA121" w:rsidR="259766F2" w:rsidRPr="00306F4D" w:rsidRDefault="259766F2" w:rsidP="00FC2E4E">
      <w:pPr>
        <w:tabs>
          <w:tab w:val="left" w:pos="360"/>
        </w:tabs>
        <w:spacing w:before="120" w:after="240" w:line="276" w:lineRule="auto"/>
        <w:jc w:val="both"/>
        <w:rPr>
          <w:rFonts w:ascii="Arial" w:eastAsia="Arial" w:hAnsi="Arial" w:cs="Arial"/>
          <w:color w:val="000000" w:themeColor="text1"/>
          <w:sz w:val="20"/>
          <w:szCs w:val="20"/>
        </w:rPr>
      </w:pPr>
      <w:r w:rsidRPr="00306F4D">
        <w:rPr>
          <w:rFonts w:ascii="Arial" w:eastAsia="Arial" w:hAnsi="Arial" w:cs="Arial"/>
          <w:b/>
          <w:color w:val="000000" w:themeColor="text1"/>
          <w:sz w:val="20"/>
          <w:szCs w:val="20"/>
        </w:rPr>
        <w:t xml:space="preserve">EIS Summary. </w:t>
      </w:r>
      <w:r w:rsidRPr="00306F4D">
        <w:rPr>
          <w:rFonts w:ascii="Arial" w:eastAsia="Arial" w:hAnsi="Arial" w:cs="Arial"/>
          <w:color w:val="000000" w:themeColor="text1"/>
          <w:sz w:val="20"/>
          <w:szCs w:val="20"/>
        </w:rPr>
        <w:t>EIS (2024) categorizes Bosnia as an “Emerging Innovator”, the EIS category which comprises countries that score less than 70% of the EU average in the EIS Innovation Framework. EIS calculates an Innovation Index of 36.4 for Bosnia and Innovation Rank of 37, an impressive 2.7 improvement since 2023 and 6.4 improvement since 2017</w:t>
      </w:r>
      <w:r w:rsidR="00391B0F" w:rsidRPr="00306F4D">
        <w:rPr>
          <w:rFonts w:ascii="Arial" w:eastAsia="Arial" w:hAnsi="Arial" w:cs="Arial"/>
          <w:color w:val="000000" w:themeColor="text1"/>
          <w:sz w:val="20"/>
          <w:szCs w:val="20"/>
        </w:rPr>
        <w:t xml:space="preserve"> </w:t>
      </w:r>
      <w:r w:rsidRPr="00306F4D">
        <w:rPr>
          <w:rFonts w:ascii="Arial" w:eastAsia="Arial" w:hAnsi="Arial" w:cs="Arial"/>
          <w:color w:val="000000" w:themeColor="text1"/>
          <w:sz w:val="20"/>
          <w:szCs w:val="20"/>
        </w:rPr>
        <w:t>(</w:t>
      </w:r>
      <w:r w:rsidRPr="00306F4D">
        <w:rPr>
          <w:rFonts w:ascii="Arial" w:eastAsia="Arial" w:hAnsi="Arial" w:cs="Arial"/>
          <w:b/>
          <w:color w:val="000000" w:themeColor="text1"/>
          <w:sz w:val="20"/>
          <w:szCs w:val="20"/>
        </w:rPr>
        <w:t xml:space="preserve">Figure </w:t>
      </w:r>
      <w:r w:rsidR="00E22EB8" w:rsidRPr="00306F4D">
        <w:rPr>
          <w:rFonts w:ascii="Arial" w:eastAsia="Arial" w:hAnsi="Arial" w:cs="Arial"/>
          <w:b/>
          <w:color w:val="000000" w:themeColor="text1"/>
          <w:sz w:val="20"/>
          <w:szCs w:val="20"/>
        </w:rPr>
        <w:t>9</w:t>
      </w:r>
      <w:r w:rsidRPr="00306F4D">
        <w:rPr>
          <w:rFonts w:ascii="Arial" w:eastAsia="Arial" w:hAnsi="Arial" w:cs="Arial"/>
          <w:color w:val="000000" w:themeColor="text1"/>
          <w:sz w:val="20"/>
          <w:szCs w:val="20"/>
        </w:rPr>
        <w:t xml:space="preserve">). This highlights Bosnia’s readiness for an AF investment in </w:t>
      </w:r>
      <w:proofErr w:type="gramStart"/>
      <w:r w:rsidRPr="00306F4D">
        <w:rPr>
          <w:rFonts w:ascii="Arial" w:eastAsia="Arial" w:hAnsi="Arial" w:cs="Arial"/>
          <w:color w:val="000000" w:themeColor="text1"/>
          <w:sz w:val="20"/>
          <w:szCs w:val="20"/>
        </w:rPr>
        <w:t>locally-led</w:t>
      </w:r>
      <w:proofErr w:type="gramEnd"/>
      <w:r w:rsidRPr="00306F4D">
        <w:rPr>
          <w:rFonts w:ascii="Arial" w:eastAsia="Arial" w:hAnsi="Arial" w:cs="Arial"/>
          <w:color w:val="000000" w:themeColor="text1"/>
          <w:sz w:val="20"/>
          <w:szCs w:val="20"/>
        </w:rPr>
        <w:t xml:space="preserve"> adaptation innovation.</w:t>
      </w:r>
    </w:p>
    <w:p w14:paraId="49B35541" w14:textId="534391C2" w:rsidR="259766F2" w:rsidRPr="00306F4D" w:rsidRDefault="259766F2" w:rsidP="00FC2E4E">
      <w:pPr>
        <w:tabs>
          <w:tab w:val="left" w:pos="360"/>
        </w:tabs>
        <w:spacing w:before="120" w:after="240" w:line="276" w:lineRule="auto"/>
        <w:jc w:val="both"/>
        <w:rPr>
          <w:rFonts w:ascii="Arial" w:eastAsia="Arial" w:hAnsi="Arial" w:cs="Arial"/>
          <w:color w:val="000000" w:themeColor="text1"/>
          <w:sz w:val="20"/>
          <w:szCs w:val="20"/>
        </w:rPr>
      </w:pPr>
      <w:r w:rsidRPr="00306F4D">
        <w:rPr>
          <w:rFonts w:ascii="Arial" w:eastAsia="Arial" w:hAnsi="Arial" w:cs="Arial"/>
          <w:color w:val="000000" w:themeColor="text1"/>
          <w:sz w:val="20"/>
          <w:szCs w:val="20"/>
        </w:rPr>
        <w:t xml:space="preserve">That said, Bosnia’s innovation performance still falls short of its potential, at 33.1% of the EU average in 2024 and lower than the Emerging Innovator category average of 48%. This underscores the potential to build on, improve and amplify adaptation innovation in Bosnia through AF’s investment and the Regional Project’s proposed technical assistance, capacity building, incubation, and adaptation acceleration support services. </w:t>
      </w:r>
    </w:p>
    <w:p w14:paraId="6DAFB0D4" w14:textId="04C4C139" w:rsidR="259766F2" w:rsidRPr="00306F4D" w:rsidRDefault="259766F2" w:rsidP="00FC2E4E">
      <w:pPr>
        <w:tabs>
          <w:tab w:val="left" w:pos="360"/>
        </w:tabs>
        <w:spacing w:before="120" w:after="240" w:line="276" w:lineRule="auto"/>
        <w:jc w:val="both"/>
        <w:rPr>
          <w:rFonts w:ascii="Arial" w:eastAsia="Arial" w:hAnsi="Arial" w:cs="Arial"/>
          <w:color w:val="000000" w:themeColor="text1"/>
          <w:sz w:val="20"/>
          <w:szCs w:val="20"/>
        </w:rPr>
      </w:pPr>
      <w:r w:rsidRPr="00306F4D">
        <w:rPr>
          <w:rFonts w:ascii="Arial" w:eastAsia="Arial" w:hAnsi="Arial" w:cs="Arial"/>
          <w:b/>
          <w:color w:val="000000" w:themeColor="text1"/>
          <w:sz w:val="20"/>
          <w:szCs w:val="20"/>
        </w:rPr>
        <w:t>EIS Assessment of Relative Strengths and Weaknesses.</w:t>
      </w:r>
      <w:r w:rsidRPr="00306F4D">
        <w:rPr>
          <w:rFonts w:ascii="Arial" w:eastAsia="Arial" w:hAnsi="Arial" w:cs="Arial"/>
          <w:color w:val="000000" w:themeColor="text1"/>
          <w:sz w:val="20"/>
          <w:szCs w:val="20"/>
        </w:rPr>
        <w:t xml:space="preserve"> According to EIS (2024), Bosnia’s Innovation </w:t>
      </w:r>
      <w:r w:rsidRPr="00306F4D">
        <w:rPr>
          <w:rFonts w:ascii="Arial" w:eastAsia="Arial" w:hAnsi="Arial" w:cs="Arial"/>
          <w:i/>
          <w:color w:val="000000" w:themeColor="text1"/>
          <w:sz w:val="20"/>
          <w:szCs w:val="20"/>
        </w:rPr>
        <w:t>Relative Strengths</w:t>
      </w:r>
      <w:r w:rsidRPr="00306F4D">
        <w:rPr>
          <w:rFonts w:ascii="Arial" w:eastAsia="Arial" w:hAnsi="Arial" w:cs="Arial"/>
          <w:b/>
          <w:color w:val="000000" w:themeColor="text1"/>
          <w:sz w:val="20"/>
          <w:szCs w:val="20"/>
        </w:rPr>
        <w:t xml:space="preserve"> </w:t>
      </w:r>
      <w:r w:rsidRPr="00306F4D">
        <w:rPr>
          <w:rFonts w:ascii="Arial" w:eastAsia="Arial" w:hAnsi="Arial" w:cs="Arial"/>
          <w:color w:val="000000" w:themeColor="text1"/>
          <w:sz w:val="20"/>
          <w:szCs w:val="20"/>
        </w:rPr>
        <w:t xml:space="preserve">include: environment-related technologies, SMEs introducing product innovations, and SMEs introducing business process innovations. </w:t>
      </w:r>
      <w:r w:rsidRPr="00306F4D">
        <w:rPr>
          <w:rFonts w:ascii="Arial" w:eastAsia="Arial" w:hAnsi="Arial" w:cs="Arial"/>
          <w:i/>
          <w:color w:val="000000" w:themeColor="text1"/>
          <w:sz w:val="20"/>
          <w:szCs w:val="20"/>
        </w:rPr>
        <w:t>Relative Weaknesses</w:t>
      </w:r>
      <w:r w:rsidRPr="00306F4D">
        <w:rPr>
          <w:rFonts w:ascii="Arial" w:eastAsia="Arial" w:hAnsi="Arial" w:cs="Arial"/>
          <w:b/>
          <w:color w:val="000000" w:themeColor="text1"/>
          <w:sz w:val="20"/>
          <w:szCs w:val="20"/>
        </w:rPr>
        <w:t xml:space="preserve"> </w:t>
      </w:r>
      <w:proofErr w:type="gramStart"/>
      <w:r w:rsidRPr="00306F4D">
        <w:rPr>
          <w:rFonts w:ascii="Arial" w:eastAsia="Arial" w:hAnsi="Arial" w:cs="Arial"/>
          <w:color w:val="000000" w:themeColor="text1"/>
          <w:sz w:val="20"/>
          <w:szCs w:val="20"/>
        </w:rPr>
        <w:t>include:</w:t>
      </w:r>
      <w:proofErr w:type="gramEnd"/>
      <w:r w:rsidRPr="00306F4D">
        <w:rPr>
          <w:rFonts w:ascii="Arial" w:eastAsia="Arial" w:hAnsi="Arial" w:cs="Arial"/>
          <w:color w:val="000000" w:themeColor="text1"/>
          <w:sz w:val="20"/>
          <w:szCs w:val="20"/>
        </w:rPr>
        <w:t xml:space="preserve"> R&amp;D spending in the public sector, venture capital (VC) spending, and direct and indirect government support of business R&amp;D. </w:t>
      </w:r>
      <w:r w:rsidRPr="00306F4D">
        <w:rPr>
          <w:rFonts w:ascii="Arial" w:eastAsia="Arial" w:hAnsi="Arial" w:cs="Arial"/>
          <w:i/>
          <w:color w:val="000000" w:themeColor="text1"/>
          <w:sz w:val="20"/>
          <w:szCs w:val="20"/>
        </w:rPr>
        <w:t>Strong increases</w:t>
      </w:r>
      <w:r w:rsidRPr="00306F4D">
        <w:rPr>
          <w:rFonts w:ascii="Arial" w:eastAsia="Arial" w:hAnsi="Arial" w:cs="Arial"/>
          <w:color w:val="000000" w:themeColor="text1"/>
          <w:sz w:val="20"/>
          <w:szCs w:val="20"/>
        </w:rPr>
        <w:t xml:space="preserve"> since 2017 include: broadband penetration, international scientific co-publications, and employment in knowledge-intensive activities. </w:t>
      </w:r>
      <w:r w:rsidRPr="00306F4D">
        <w:rPr>
          <w:rFonts w:ascii="Arial" w:eastAsia="Arial" w:hAnsi="Arial" w:cs="Arial"/>
          <w:i/>
          <w:color w:val="000000" w:themeColor="text1"/>
          <w:sz w:val="20"/>
          <w:szCs w:val="20"/>
        </w:rPr>
        <w:t>Strong decreases</w:t>
      </w:r>
      <w:r w:rsidRPr="00306F4D">
        <w:rPr>
          <w:rFonts w:ascii="Arial" w:eastAsia="Arial" w:hAnsi="Arial" w:cs="Arial"/>
          <w:color w:val="000000" w:themeColor="text1"/>
          <w:sz w:val="20"/>
          <w:szCs w:val="20"/>
        </w:rPr>
        <w:t xml:space="preserve"> since 2017 include: population with tertiary education, population involved in lifelong learning, and R&amp;D expenditure in the public sector. Strong increases since 2023 include: broadband </w:t>
      </w:r>
      <w:r w:rsidRPr="00306F4D">
        <w:rPr>
          <w:rFonts w:ascii="Arial" w:eastAsia="Arial" w:hAnsi="Arial" w:cs="Arial"/>
          <w:color w:val="000000" w:themeColor="text1"/>
          <w:sz w:val="20"/>
          <w:szCs w:val="20"/>
        </w:rPr>
        <w:lastRenderedPageBreak/>
        <w:t>penetration, employment in knowledge-intensive activities, and resource productivity. Strong decreases since 2023 include: scientific publications among the top 10% most cited, trademark applications, and knowledge-intensive services exports.</w:t>
      </w:r>
    </w:p>
    <w:p w14:paraId="2193B8E3" w14:textId="07615327" w:rsidR="259766F2" w:rsidRPr="00306F4D" w:rsidRDefault="259766F2" w:rsidP="519B2ABC">
      <w:pPr>
        <w:tabs>
          <w:tab w:val="left" w:pos="360"/>
        </w:tabs>
        <w:spacing w:before="120" w:after="240" w:line="276" w:lineRule="auto"/>
        <w:jc w:val="both"/>
        <w:rPr>
          <w:rFonts w:ascii="Arial" w:eastAsia="Arial" w:hAnsi="Arial" w:cs="Arial"/>
          <w:color w:val="000000" w:themeColor="text1"/>
          <w:sz w:val="20"/>
          <w:szCs w:val="20"/>
        </w:rPr>
      </w:pPr>
      <w:r w:rsidRPr="00306F4D">
        <w:rPr>
          <w:rFonts w:ascii="Arial" w:eastAsia="Arial" w:hAnsi="Arial" w:cs="Arial"/>
          <w:b/>
          <w:color w:val="0070C0"/>
          <w:sz w:val="20"/>
          <w:szCs w:val="20"/>
          <w:u w:val="single"/>
        </w:rPr>
        <w:t>Montenegro</w:t>
      </w:r>
    </w:p>
    <w:p w14:paraId="7A5CD610" w14:textId="26120EA3" w:rsidR="259766F2" w:rsidRPr="00306F4D" w:rsidRDefault="259766F2" w:rsidP="00FC2E4E">
      <w:pPr>
        <w:tabs>
          <w:tab w:val="left" w:pos="360"/>
        </w:tabs>
        <w:spacing w:before="120" w:after="240" w:line="276" w:lineRule="auto"/>
        <w:jc w:val="both"/>
        <w:rPr>
          <w:rFonts w:ascii="Arial" w:eastAsia="Arial" w:hAnsi="Arial" w:cs="Arial"/>
          <w:color w:val="000000" w:themeColor="text1"/>
          <w:sz w:val="20"/>
          <w:szCs w:val="20"/>
        </w:rPr>
      </w:pPr>
      <w:r w:rsidRPr="00306F4D">
        <w:rPr>
          <w:rFonts w:ascii="Arial" w:eastAsia="Arial" w:hAnsi="Arial" w:cs="Arial"/>
          <w:b/>
          <w:color w:val="000000" w:themeColor="text1"/>
          <w:sz w:val="20"/>
          <w:szCs w:val="20"/>
        </w:rPr>
        <w:t>EIS Summary.</w:t>
      </w:r>
      <w:r w:rsidRPr="00306F4D">
        <w:rPr>
          <w:rFonts w:ascii="Arial" w:eastAsia="Arial" w:hAnsi="Arial" w:cs="Arial"/>
          <w:color w:val="000000" w:themeColor="text1"/>
          <w:sz w:val="20"/>
          <w:szCs w:val="20"/>
        </w:rPr>
        <w:t xml:space="preserve"> EIS (2024) categorizes Montenegro as an “Emerging Innovator”, the EIS category which comprises countries that score less than 70% of the EU average in the EIS Innovation Framework. EIS calculates an Innovation Index of 36.4 for Montenegro and Innovation Rank of 37, an impressive 2.7 improvement since 2023 and 6.4 improvement since 2017</w:t>
      </w:r>
      <w:r w:rsidR="008E2D54" w:rsidRPr="00306F4D">
        <w:rPr>
          <w:rFonts w:ascii="Arial" w:eastAsia="Arial" w:hAnsi="Arial" w:cs="Arial"/>
          <w:color w:val="000000" w:themeColor="text1"/>
          <w:sz w:val="20"/>
          <w:szCs w:val="20"/>
        </w:rPr>
        <w:t xml:space="preserve"> </w:t>
      </w:r>
      <w:r w:rsidRPr="00306F4D">
        <w:rPr>
          <w:rFonts w:ascii="Arial" w:eastAsia="Arial" w:hAnsi="Arial" w:cs="Arial"/>
          <w:color w:val="000000" w:themeColor="text1"/>
          <w:sz w:val="20"/>
          <w:szCs w:val="20"/>
        </w:rPr>
        <w:t>(</w:t>
      </w:r>
      <w:r w:rsidRPr="00306F4D">
        <w:rPr>
          <w:rFonts w:ascii="Arial" w:eastAsia="Arial" w:hAnsi="Arial" w:cs="Arial"/>
          <w:b/>
          <w:color w:val="000000" w:themeColor="text1"/>
          <w:sz w:val="20"/>
          <w:szCs w:val="20"/>
        </w:rPr>
        <w:t xml:space="preserve">Figure </w:t>
      </w:r>
      <w:r w:rsidR="00E22EB8" w:rsidRPr="00306F4D">
        <w:rPr>
          <w:rFonts w:ascii="Arial" w:eastAsia="Arial" w:hAnsi="Arial" w:cs="Arial"/>
          <w:b/>
          <w:color w:val="000000" w:themeColor="text1"/>
          <w:sz w:val="20"/>
          <w:szCs w:val="20"/>
        </w:rPr>
        <w:t>9</w:t>
      </w:r>
      <w:r w:rsidRPr="00306F4D">
        <w:rPr>
          <w:rFonts w:ascii="Arial" w:eastAsia="Arial" w:hAnsi="Arial" w:cs="Arial"/>
          <w:b/>
          <w:color w:val="000000" w:themeColor="text1"/>
          <w:sz w:val="20"/>
          <w:szCs w:val="20"/>
        </w:rPr>
        <w:t>)</w:t>
      </w:r>
      <w:r w:rsidRPr="00306F4D">
        <w:rPr>
          <w:rFonts w:ascii="Arial" w:eastAsia="Arial" w:hAnsi="Arial" w:cs="Arial"/>
          <w:color w:val="000000" w:themeColor="text1"/>
          <w:sz w:val="20"/>
          <w:szCs w:val="20"/>
        </w:rPr>
        <w:t xml:space="preserve">. This highlights Montenegro’s readiness for an AF investment in </w:t>
      </w:r>
      <w:proofErr w:type="gramStart"/>
      <w:r w:rsidRPr="00306F4D">
        <w:rPr>
          <w:rFonts w:ascii="Arial" w:eastAsia="Arial" w:hAnsi="Arial" w:cs="Arial"/>
          <w:color w:val="000000" w:themeColor="text1"/>
          <w:sz w:val="20"/>
          <w:szCs w:val="20"/>
        </w:rPr>
        <w:t>locally-led</w:t>
      </w:r>
      <w:proofErr w:type="gramEnd"/>
      <w:r w:rsidRPr="00306F4D">
        <w:rPr>
          <w:rFonts w:ascii="Arial" w:eastAsia="Arial" w:hAnsi="Arial" w:cs="Arial"/>
          <w:color w:val="000000" w:themeColor="text1"/>
          <w:sz w:val="20"/>
          <w:szCs w:val="20"/>
        </w:rPr>
        <w:t xml:space="preserve"> adaptation innovation.</w:t>
      </w:r>
    </w:p>
    <w:p w14:paraId="7C4C5C07" w14:textId="1B5F5ADD" w:rsidR="259766F2" w:rsidRPr="00306F4D" w:rsidRDefault="259766F2" w:rsidP="00FC2E4E">
      <w:pPr>
        <w:tabs>
          <w:tab w:val="left" w:pos="360"/>
        </w:tabs>
        <w:spacing w:before="120" w:after="240" w:line="276" w:lineRule="auto"/>
        <w:jc w:val="both"/>
        <w:rPr>
          <w:rFonts w:ascii="Arial" w:eastAsia="Arial" w:hAnsi="Arial" w:cs="Arial"/>
          <w:color w:val="000000" w:themeColor="text1"/>
          <w:sz w:val="20"/>
          <w:szCs w:val="20"/>
        </w:rPr>
      </w:pPr>
      <w:r w:rsidRPr="00306F4D">
        <w:rPr>
          <w:rFonts w:ascii="Arial" w:eastAsia="Arial" w:hAnsi="Arial" w:cs="Arial"/>
          <w:color w:val="000000" w:themeColor="text1"/>
          <w:sz w:val="20"/>
          <w:szCs w:val="20"/>
        </w:rPr>
        <w:t>That said, Montenegro’s innovation performance still falls short of its potential, at 33.1% of the EU average in 2024 and lower than the Emerging Innovator category average of 48%. This underscores the potential to build on, improve and amplify adaptation innovation in Montenegro through AF’s investment and the Regional Project’s proposed technical assistance, capacity building, incubation, and adaptation acceleration support services.</w:t>
      </w:r>
    </w:p>
    <w:p w14:paraId="04F394EF" w14:textId="0E5315B8" w:rsidR="00F00383" w:rsidRPr="00306F4D" w:rsidRDefault="259766F2" w:rsidP="00FC2E4E">
      <w:pPr>
        <w:tabs>
          <w:tab w:val="left" w:pos="360"/>
        </w:tabs>
        <w:spacing w:before="120" w:after="240" w:line="276" w:lineRule="auto"/>
        <w:jc w:val="both"/>
        <w:rPr>
          <w:rFonts w:ascii="Arial" w:eastAsia="Arial" w:hAnsi="Arial" w:cs="Arial"/>
          <w:color w:val="000000" w:themeColor="text1"/>
          <w:sz w:val="20"/>
          <w:szCs w:val="20"/>
        </w:rPr>
      </w:pPr>
      <w:r w:rsidRPr="00306F4D">
        <w:rPr>
          <w:rFonts w:ascii="Arial" w:eastAsia="Arial" w:hAnsi="Arial" w:cs="Arial"/>
          <w:b/>
          <w:color w:val="000000" w:themeColor="text1"/>
          <w:sz w:val="20"/>
          <w:szCs w:val="20"/>
        </w:rPr>
        <w:t>EIS Assessment of Relative Innovation Strengths and Weaknesses.</w:t>
      </w:r>
      <w:r w:rsidRPr="00306F4D">
        <w:rPr>
          <w:rFonts w:ascii="Arial" w:eastAsia="Arial" w:hAnsi="Arial" w:cs="Arial"/>
          <w:color w:val="000000" w:themeColor="text1"/>
          <w:sz w:val="20"/>
          <w:szCs w:val="20"/>
        </w:rPr>
        <w:t xml:space="preserve"> According to EIS (2024), Montenegro’s Innovation </w:t>
      </w:r>
      <w:r w:rsidRPr="00306F4D">
        <w:rPr>
          <w:rFonts w:ascii="Arial" w:eastAsia="Arial" w:hAnsi="Arial" w:cs="Arial"/>
          <w:i/>
          <w:color w:val="000000" w:themeColor="text1"/>
          <w:sz w:val="20"/>
          <w:szCs w:val="20"/>
        </w:rPr>
        <w:t>Relative Strengths</w:t>
      </w:r>
      <w:r w:rsidRPr="00306F4D">
        <w:rPr>
          <w:rFonts w:ascii="Arial" w:eastAsia="Arial" w:hAnsi="Arial" w:cs="Arial"/>
          <w:color w:val="000000" w:themeColor="text1"/>
          <w:sz w:val="20"/>
          <w:szCs w:val="20"/>
        </w:rPr>
        <w:t xml:space="preserve"> include: SMEs introducing product innovations, innovative SMEs collaborating with others, and SMEs introducing business process innovations. </w:t>
      </w:r>
      <w:r w:rsidRPr="00306F4D">
        <w:rPr>
          <w:rFonts w:ascii="Arial" w:eastAsia="Arial" w:hAnsi="Arial" w:cs="Arial"/>
          <w:i/>
          <w:color w:val="000000" w:themeColor="text1"/>
          <w:sz w:val="20"/>
          <w:szCs w:val="20"/>
        </w:rPr>
        <w:t>Relative Weaknesses</w:t>
      </w:r>
      <w:r w:rsidRPr="00306F4D">
        <w:rPr>
          <w:rFonts w:ascii="Arial" w:eastAsia="Arial" w:hAnsi="Arial" w:cs="Arial"/>
          <w:color w:val="000000" w:themeColor="text1"/>
          <w:sz w:val="20"/>
          <w:szCs w:val="20"/>
        </w:rPr>
        <w:t xml:space="preserve"> </w:t>
      </w:r>
      <w:proofErr w:type="gramStart"/>
      <w:r w:rsidRPr="00306F4D">
        <w:rPr>
          <w:rFonts w:ascii="Arial" w:eastAsia="Arial" w:hAnsi="Arial" w:cs="Arial"/>
          <w:color w:val="000000" w:themeColor="text1"/>
          <w:sz w:val="20"/>
          <w:szCs w:val="20"/>
        </w:rPr>
        <w:t>include:</w:t>
      </w:r>
      <w:proofErr w:type="gramEnd"/>
      <w:r w:rsidRPr="00306F4D">
        <w:rPr>
          <w:rFonts w:ascii="Arial" w:eastAsia="Arial" w:hAnsi="Arial" w:cs="Arial"/>
          <w:color w:val="000000" w:themeColor="text1"/>
          <w:sz w:val="20"/>
          <w:szCs w:val="20"/>
        </w:rPr>
        <w:t xml:space="preserve"> direct and indirect government support of business R&amp;D, design applications, and new Ph.D. graduates. </w:t>
      </w:r>
      <w:r w:rsidRPr="00306F4D">
        <w:rPr>
          <w:rFonts w:ascii="Arial" w:eastAsia="Arial" w:hAnsi="Arial" w:cs="Arial"/>
          <w:i/>
          <w:color w:val="000000" w:themeColor="text1"/>
          <w:sz w:val="20"/>
          <w:szCs w:val="20"/>
        </w:rPr>
        <w:t>Strong increases</w:t>
      </w:r>
      <w:r w:rsidRPr="00306F4D">
        <w:rPr>
          <w:rFonts w:ascii="Arial" w:eastAsia="Arial" w:hAnsi="Arial" w:cs="Arial"/>
          <w:color w:val="000000" w:themeColor="text1"/>
          <w:sz w:val="20"/>
          <w:szCs w:val="20"/>
        </w:rPr>
        <w:t xml:space="preserve"> since 2017 include: broadband penetration, environment-related technologies, and international scientific co-publications. </w:t>
      </w:r>
      <w:r w:rsidRPr="00306F4D">
        <w:rPr>
          <w:rFonts w:ascii="Arial" w:eastAsia="Arial" w:hAnsi="Arial" w:cs="Arial"/>
          <w:i/>
          <w:color w:val="000000" w:themeColor="text1"/>
          <w:sz w:val="20"/>
          <w:szCs w:val="20"/>
        </w:rPr>
        <w:t>Strong decreases</w:t>
      </w:r>
      <w:r w:rsidRPr="00306F4D">
        <w:rPr>
          <w:rFonts w:ascii="Arial" w:eastAsia="Arial" w:hAnsi="Arial" w:cs="Arial"/>
          <w:color w:val="000000" w:themeColor="text1"/>
          <w:sz w:val="20"/>
          <w:szCs w:val="20"/>
        </w:rPr>
        <w:t xml:space="preserve"> since 2017 include: foreign Ph.D. students as a % of all Ph.D. students, job-to-job mobility of HRST,</w:t>
      </w:r>
      <w:r w:rsidRPr="00306F4D">
        <w:rPr>
          <w:rFonts w:ascii="Arial" w:eastAsia="Arial" w:hAnsi="Arial" w:cs="Arial"/>
          <w:color w:val="000000" w:themeColor="text1"/>
          <w:sz w:val="20"/>
          <w:szCs w:val="20"/>
          <w:vertAlign w:val="superscript"/>
        </w:rPr>
        <w:t>6</w:t>
      </w:r>
      <w:r w:rsidRPr="00306F4D">
        <w:rPr>
          <w:rFonts w:ascii="Arial" w:eastAsia="Arial" w:hAnsi="Arial" w:cs="Arial"/>
          <w:color w:val="000000" w:themeColor="text1"/>
          <w:sz w:val="20"/>
          <w:szCs w:val="20"/>
        </w:rPr>
        <w:t xml:space="preserve"> and PCT</w:t>
      </w:r>
      <w:r w:rsidRPr="00306F4D">
        <w:rPr>
          <w:rFonts w:ascii="Arial" w:eastAsia="Arial" w:hAnsi="Arial" w:cs="Arial"/>
          <w:color w:val="000000" w:themeColor="text1"/>
          <w:sz w:val="20"/>
          <w:szCs w:val="20"/>
          <w:vertAlign w:val="superscript"/>
        </w:rPr>
        <w:t>7</w:t>
      </w:r>
      <w:r w:rsidRPr="00306F4D">
        <w:rPr>
          <w:rFonts w:ascii="Arial" w:eastAsia="Arial" w:hAnsi="Arial" w:cs="Arial"/>
          <w:color w:val="000000" w:themeColor="text1"/>
          <w:sz w:val="20"/>
          <w:szCs w:val="20"/>
        </w:rPr>
        <w:t xml:space="preserve"> patent applications. Strong increases since 2023 include: broadband penetration, scientific publications among the top 10% most cited, and PCT patent applications. Strong decreases since 2023 include: enterprises providing ICT training, trademark applications, and public-private co-publications.</w:t>
      </w:r>
    </w:p>
    <w:p w14:paraId="27301ED5" w14:textId="46DEBAE3" w:rsidR="259766F2" w:rsidRPr="00306F4D" w:rsidRDefault="259766F2" w:rsidP="519B2ABC">
      <w:pPr>
        <w:tabs>
          <w:tab w:val="left" w:pos="360"/>
        </w:tabs>
        <w:spacing w:before="120" w:after="240" w:line="276" w:lineRule="auto"/>
        <w:jc w:val="both"/>
        <w:rPr>
          <w:rFonts w:ascii="Arial" w:eastAsia="Arial" w:hAnsi="Arial" w:cs="Arial"/>
          <w:color w:val="000000" w:themeColor="text1"/>
          <w:sz w:val="20"/>
          <w:szCs w:val="20"/>
        </w:rPr>
      </w:pPr>
      <w:r w:rsidRPr="00306F4D">
        <w:rPr>
          <w:rFonts w:ascii="Arial" w:eastAsia="Arial" w:hAnsi="Arial" w:cs="Arial"/>
          <w:b/>
          <w:color w:val="0070C0"/>
          <w:sz w:val="20"/>
          <w:szCs w:val="20"/>
          <w:u w:val="single"/>
        </w:rPr>
        <w:t>North Macedonia</w:t>
      </w:r>
    </w:p>
    <w:p w14:paraId="2D0C5DF1" w14:textId="788BE87D" w:rsidR="259766F2" w:rsidRPr="00306F4D" w:rsidRDefault="259766F2" w:rsidP="00FC2E4E">
      <w:pPr>
        <w:tabs>
          <w:tab w:val="left" w:pos="360"/>
        </w:tabs>
        <w:spacing w:before="120" w:after="240" w:line="276" w:lineRule="auto"/>
        <w:jc w:val="both"/>
        <w:rPr>
          <w:rFonts w:ascii="Arial" w:eastAsia="Arial" w:hAnsi="Arial" w:cs="Arial"/>
          <w:color w:val="000000" w:themeColor="text1"/>
          <w:sz w:val="20"/>
          <w:szCs w:val="20"/>
        </w:rPr>
      </w:pPr>
      <w:r w:rsidRPr="00306F4D">
        <w:rPr>
          <w:rFonts w:ascii="Arial" w:eastAsia="Arial" w:hAnsi="Arial" w:cs="Arial"/>
          <w:b/>
          <w:color w:val="000000" w:themeColor="text1"/>
          <w:sz w:val="20"/>
          <w:szCs w:val="20"/>
        </w:rPr>
        <w:t xml:space="preserve">EIS Summary. </w:t>
      </w:r>
      <w:r w:rsidRPr="00306F4D">
        <w:rPr>
          <w:rFonts w:ascii="Arial" w:eastAsia="Arial" w:hAnsi="Arial" w:cs="Arial"/>
          <w:color w:val="000000" w:themeColor="text1"/>
          <w:sz w:val="20"/>
          <w:szCs w:val="20"/>
        </w:rPr>
        <w:t>EIS (2024) categorizes North Macedonia as an “Emerging Innovator”, the EIS category which comprises countries that score less than 70% of the EU average in the EIS Innovation Framework. EIS calculates an Innovation Index of 49.6 for North Macedonia and Innovation Rank of 34, an impressive 3.9 improvement since 2023 and 11.9 improvement since 2017 (</w:t>
      </w:r>
      <w:r w:rsidRPr="00306F4D">
        <w:rPr>
          <w:rFonts w:ascii="Arial" w:eastAsia="Arial" w:hAnsi="Arial" w:cs="Arial"/>
          <w:b/>
          <w:color w:val="000000" w:themeColor="text1"/>
          <w:sz w:val="20"/>
          <w:szCs w:val="20"/>
        </w:rPr>
        <w:t xml:space="preserve">Figure </w:t>
      </w:r>
      <w:r w:rsidR="00E22EB8" w:rsidRPr="00306F4D">
        <w:rPr>
          <w:rFonts w:ascii="Arial" w:eastAsia="Arial" w:hAnsi="Arial" w:cs="Arial"/>
          <w:b/>
          <w:color w:val="000000" w:themeColor="text1"/>
          <w:sz w:val="20"/>
          <w:szCs w:val="20"/>
        </w:rPr>
        <w:t>10</w:t>
      </w:r>
      <w:r w:rsidRPr="00306F4D">
        <w:rPr>
          <w:rFonts w:ascii="Arial" w:eastAsia="Arial" w:hAnsi="Arial" w:cs="Arial"/>
          <w:color w:val="000000" w:themeColor="text1"/>
          <w:sz w:val="20"/>
          <w:szCs w:val="20"/>
        </w:rPr>
        <w:t xml:space="preserve">). This highlights North Macedonia’s readiness for an AF investment in </w:t>
      </w:r>
      <w:proofErr w:type="gramStart"/>
      <w:r w:rsidRPr="00306F4D">
        <w:rPr>
          <w:rFonts w:ascii="Arial" w:eastAsia="Arial" w:hAnsi="Arial" w:cs="Arial"/>
          <w:color w:val="000000" w:themeColor="text1"/>
          <w:sz w:val="20"/>
          <w:szCs w:val="20"/>
        </w:rPr>
        <w:t>locally-led</w:t>
      </w:r>
      <w:proofErr w:type="gramEnd"/>
      <w:r w:rsidRPr="00306F4D">
        <w:rPr>
          <w:rFonts w:ascii="Arial" w:eastAsia="Arial" w:hAnsi="Arial" w:cs="Arial"/>
          <w:color w:val="000000" w:themeColor="text1"/>
          <w:sz w:val="20"/>
          <w:szCs w:val="20"/>
        </w:rPr>
        <w:t xml:space="preserve"> adaptation innovation.</w:t>
      </w:r>
    </w:p>
    <w:p w14:paraId="25949C96" w14:textId="1F5A7A99" w:rsidR="259766F2" w:rsidRPr="00306F4D" w:rsidRDefault="259766F2" w:rsidP="00FC2E4E">
      <w:pPr>
        <w:tabs>
          <w:tab w:val="left" w:pos="360"/>
        </w:tabs>
        <w:spacing w:before="120" w:after="240" w:line="276" w:lineRule="auto"/>
        <w:jc w:val="both"/>
        <w:rPr>
          <w:rFonts w:ascii="Arial" w:eastAsia="Arial" w:hAnsi="Arial" w:cs="Arial"/>
          <w:color w:val="000000" w:themeColor="text1"/>
          <w:sz w:val="20"/>
          <w:szCs w:val="20"/>
        </w:rPr>
      </w:pPr>
      <w:r w:rsidRPr="00306F4D">
        <w:rPr>
          <w:rFonts w:ascii="Arial" w:eastAsia="Arial" w:hAnsi="Arial" w:cs="Arial"/>
          <w:color w:val="000000" w:themeColor="text1"/>
          <w:sz w:val="20"/>
          <w:szCs w:val="20"/>
        </w:rPr>
        <w:t>That said, North Macedonia’s innovation performance still falls short of its potential, at 45.1% of the EU average in 2024 and lower than the Emerging Innovator category average of 48%. This underscores the potential to build on, improve and amplify adaptation innovation in North Macedonia through AF’s investment and the Regional Project’s proposed technical assistance, capacity building, incubation, and adaptation acceleration support services.</w:t>
      </w:r>
    </w:p>
    <w:p w14:paraId="081F5F19" w14:textId="2225C686" w:rsidR="5389C2A0" w:rsidRPr="00306F4D" w:rsidRDefault="259766F2" w:rsidP="5389C2A0">
      <w:pPr>
        <w:tabs>
          <w:tab w:val="left" w:pos="360"/>
        </w:tabs>
        <w:spacing w:before="120" w:after="240" w:line="276" w:lineRule="auto"/>
        <w:jc w:val="both"/>
        <w:rPr>
          <w:rFonts w:ascii="Arial" w:eastAsia="Arial" w:hAnsi="Arial" w:cs="Arial"/>
          <w:color w:val="000000" w:themeColor="text1"/>
          <w:sz w:val="20"/>
          <w:szCs w:val="20"/>
        </w:rPr>
      </w:pPr>
      <w:r w:rsidRPr="00306F4D">
        <w:rPr>
          <w:rFonts w:ascii="Arial" w:eastAsia="Arial" w:hAnsi="Arial" w:cs="Arial"/>
          <w:b/>
          <w:color w:val="000000" w:themeColor="text1"/>
          <w:sz w:val="20"/>
          <w:szCs w:val="20"/>
        </w:rPr>
        <w:t>EIS Assessment of Relative Strengths and Weaknesses.</w:t>
      </w:r>
      <w:r w:rsidRPr="00306F4D">
        <w:rPr>
          <w:rFonts w:ascii="Arial" w:eastAsia="Arial" w:hAnsi="Arial" w:cs="Arial"/>
          <w:color w:val="000000" w:themeColor="text1"/>
          <w:sz w:val="20"/>
          <w:szCs w:val="20"/>
        </w:rPr>
        <w:t xml:space="preserve"> According to EIS (2024), North Macedonia’s Innovation </w:t>
      </w:r>
      <w:r w:rsidRPr="00306F4D">
        <w:rPr>
          <w:rFonts w:ascii="Arial" w:eastAsia="Arial" w:hAnsi="Arial" w:cs="Arial"/>
          <w:i/>
          <w:color w:val="000000" w:themeColor="text1"/>
          <w:sz w:val="20"/>
          <w:szCs w:val="20"/>
        </w:rPr>
        <w:t>Relative Strengths</w:t>
      </w:r>
      <w:r w:rsidRPr="00306F4D">
        <w:rPr>
          <w:rFonts w:ascii="Arial" w:eastAsia="Arial" w:hAnsi="Arial" w:cs="Arial"/>
          <w:color w:val="000000" w:themeColor="text1"/>
          <w:sz w:val="20"/>
          <w:szCs w:val="20"/>
        </w:rPr>
        <w:t xml:space="preserve"> include: number of foreign Ph.D. students as a % of all Ph.D. students, environment-related technologies, and non-R&amp;D innovation expenditures. </w:t>
      </w:r>
      <w:r w:rsidRPr="00306F4D">
        <w:rPr>
          <w:rFonts w:ascii="Arial" w:eastAsia="Arial" w:hAnsi="Arial" w:cs="Arial"/>
          <w:i/>
          <w:color w:val="000000" w:themeColor="text1"/>
          <w:sz w:val="20"/>
          <w:szCs w:val="20"/>
        </w:rPr>
        <w:t>Relative Weaknesses</w:t>
      </w:r>
      <w:r w:rsidRPr="00306F4D">
        <w:rPr>
          <w:rFonts w:ascii="Arial" w:eastAsia="Arial" w:hAnsi="Arial" w:cs="Arial"/>
          <w:color w:val="000000" w:themeColor="text1"/>
          <w:sz w:val="20"/>
          <w:szCs w:val="20"/>
        </w:rPr>
        <w:t xml:space="preserve"> </w:t>
      </w:r>
      <w:proofErr w:type="gramStart"/>
      <w:r w:rsidRPr="00306F4D">
        <w:rPr>
          <w:rFonts w:ascii="Arial" w:eastAsia="Arial" w:hAnsi="Arial" w:cs="Arial"/>
          <w:color w:val="000000" w:themeColor="text1"/>
          <w:sz w:val="20"/>
          <w:szCs w:val="20"/>
        </w:rPr>
        <w:t>include:</w:t>
      </w:r>
      <w:proofErr w:type="gramEnd"/>
      <w:r w:rsidRPr="00306F4D">
        <w:rPr>
          <w:rFonts w:ascii="Arial" w:eastAsia="Arial" w:hAnsi="Arial" w:cs="Arial"/>
          <w:color w:val="000000" w:themeColor="text1"/>
          <w:sz w:val="20"/>
          <w:szCs w:val="20"/>
        </w:rPr>
        <w:t xml:space="preserve"> design applications, R&amp;D spending in the business sector, and direct and indirect government support of business R&amp;D. </w:t>
      </w:r>
      <w:r w:rsidRPr="00306F4D">
        <w:rPr>
          <w:rFonts w:ascii="Arial" w:eastAsia="Arial" w:hAnsi="Arial" w:cs="Arial"/>
          <w:i/>
          <w:color w:val="000000" w:themeColor="text1"/>
          <w:sz w:val="20"/>
          <w:szCs w:val="20"/>
        </w:rPr>
        <w:t>Strong increases</w:t>
      </w:r>
      <w:r w:rsidRPr="00306F4D">
        <w:rPr>
          <w:rFonts w:ascii="Arial" w:eastAsia="Arial" w:hAnsi="Arial" w:cs="Arial"/>
          <w:color w:val="000000" w:themeColor="text1"/>
          <w:sz w:val="20"/>
          <w:szCs w:val="20"/>
        </w:rPr>
        <w:t xml:space="preserve"> since 2017 include: job-to-job mobility of HRST, number of foreign Ph.D. students as a % of all Ph.D. students, environment-related technologies. </w:t>
      </w:r>
      <w:r w:rsidRPr="00306F4D">
        <w:rPr>
          <w:rFonts w:ascii="Arial" w:eastAsia="Arial" w:hAnsi="Arial" w:cs="Arial"/>
          <w:i/>
          <w:color w:val="000000" w:themeColor="text1"/>
          <w:sz w:val="20"/>
          <w:szCs w:val="20"/>
        </w:rPr>
        <w:t>Strong decreases</w:t>
      </w:r>
      <w:r w:rsidRPr="00306F4D">
        <w:rPr>
          <w:rFonts w:ascii="Arial" w:eastAsia="Arial" w:hAnsi="Arial" w:cs="Arial"/>
          <w:color w:val="000000" w:themeColor="text1"/>
          <w:sz w:val="20"/>
          <w:szCs w:val="20"/>
        </w:rPr>
        <w:t xml:space="preserve"> since 2017 include: R&amp;D expenditure in the public sector, enterprises providing ICT training, population involved in lifelong learning. Strong increases since 2023 include: environment-related technologies, resource productivity, new Ph.D. graduates. Strong decreases since 2023 include: job-to-job mobility of HRST, enterprises providing ICT training, public-private co-publications.</w:t>
      </w:r>
    </w:p>
    <w:p w14:paraId="1792E8D8" w14:textId="7B5101AE" w:rsidR="259766F2" w:rsidRPr="00306F4D" w:rsidRDefault="259766F2" w:rsidP="519B2ABC">
      <w:pPr>
        <w:tabs>
          <w:tab w:val="left" w:pos="360"/>
        </w:tabs>
        <w:spacing w:before="120" w:after="240" w:line="276" w:lineRule="auto"/>
        <w:jc w:val="both"/>
        <w:rPr>
          <w:rFonts w:ascii="Arial" w:eastAsia="Arial" w:hAnsi="Arial" w:cs="Arial"/>
          <w:color w:val="000000" w:themeColor="text1"/>
          <w:sz w:val="20"/>
          <w:szCs w:val="20"/>
        </w:rPr>
      </w:pPr>
      <w:r w:rsidRPr="00306F4D">
        <w:rPr>
          <w:rFonts w:ascii="Arial" w:eastAsia="Arial" w:hAnsi="Arial" w:cs="Arial"/>
          <w:b/>
          <w:color w:val="0070C0"/>
          <w:sz w:val="20"/>
          <w:szCs w:val="20"/>
          <w:u w:val="single"/>
        </w:rPr>
        <w:lastRenderedPageBreak/>
        <w:t>Serbia</w:t>
      </w:r>
    </w:p>
    <w:p w14:paraId="461FE211" w14:textId="0A54FB2C" w:rsidR="259766F2" w:rsidRPr="00306F4D" w:rsidRDefault="259766F2" w:rsidP="00FC2E4E">
      <w:pPr>
        <w:tabs>
          <w:tab w:val="left" w:pos="360"/>
        </w:tabs>
        <w:spacing w:before="120" w:after="240" w:line="276" w:lineRule="auto"/>
        <w:jc w:val="both"/>
        <w:rPr>
          <w:rFonts w:ascii="Arial" w:eastAsia="Arial" w:hAnsi="Arial" w:cs="Arial"/>
          <w:color w:val="000000" w:themeColor="text1"/>
          <w:sz w:val="20"/>
          <w:szCs w:val="20"/>
        </w:rPr>
      </w:pPr>
      <w:r w:rsidRPr="00306F4D">
        <w:rPr>
          <w:rFonts w:ascii="Arial" w:eastAsia="Arial" w:hAnsi="Arial" w:cs="Arial"/>
          <w:b/>
          <w:color w:val="000000" w:themeColor="text1"/>
          <w:sz w:val="20"/>
          <w:szCs w:val="20"/>
        </w:rPr>
        <w:t xml:space="preserve">EIS Summary. </w:t>
      </w:r>
      <w:r w:rsidRPr="00306F4D">
        <w:rPr>
          <w:rFonts w:ascii="Arial" w:eastAsia="Arial" w:hAnsi="Arial" w:cs="Arial"/>
          <w:color w:val="000000" w:themeColor="text1"/>
          <w:sz w:val="20"/>
          <w:szCs w:val="20"/>
        </w:rPr>
        <w:t>EIS (2024) categorizes Serbia as an “Emerging Innovator”, the EIS category which comprises countries that score less than 70% of the EU average in the EIS Innovation Framework. EIS calculates an Innovation Index of 49.6 for Serbia and Innovation Rank of 34, an impressive 3.9 improvement since 2023 and 11.9 improvement since 2017 (</w:t>
      </w:r>
      <w:r w:rsidRPr="00306F4D">
        <w:rPr>
          <w:rFonts w:ascii="Arial" w:eastAsia="Arial" w:hAnsi="Arial" w:cs="Arial"/>
          <w:b/>
          <w:color w:val="000000" w:themeColor="text1"/>
          <w:sz w:val="20"/>
          <w:szCs w:val="20"/>
        </w:rPr>
        <w:t xml:space="preserve">Figure </w:t>
      </w:r>
      <w:r w:rsidR="00E22EB8" w:rsidRPr="00306F4D">
        <w:rPr>
          <w:rFonts w:ascii="Arial" w:eastAsia="Arial" w:hAnsi="Arial" w:cs="Arial"/>
          <w:b/>
          <w:color w:val="000000" w:themeColor="text1"/>
          <w:sz w:val="20"/>
          <w:szCs w:val="20"/>
        </w:rPr>
        <w:t>10</w:t>
      </w:r>
      <w:r w:rsidRPr="00306F4D">
        <w:rPr>
          <w:rFonts w:ascii="Arial" w:eastAsia="Arial" w:hAnsi="Arial" w:cs="Arial"/>
          <w:color w:val="000000" w:themeColor="text1"/>
          <w:sz w:val="20"/>
          <w:szCs w:val="20"/>
        </w:rPr>
        <w:t>). This highlights Serbia’s readiness for an AF investment in innovation</w:t>
      </w:r>
      <w:r w:rsidR="007C05AC" w:rsidRPr="00306F4D">
        <w:rPr>
          <w:rFonts w:ascii="Arial" w:eastAsia="Arial" w:hAnsi="Arial" w:cs="Arial"/>
          <w:color w:val="000000" w:themeColor="text1"/>
          <w:sz w:val="20"/>
          <w:szCs w:val="20"/>
        </w:rPr>
        <w:t xml:space="preserve"> for adaptation</w:t>
      </w:r>
      <w:r w:rsidRPr="00306F4D">
        <w:rPr>
          <w:rFonts w:ascii="Arial" w:eastAsia="Arial" w:hAnsi="Arial" w:cs="Arial"/>
          <w:color w:val="000000" w:themeColor="text1"/>
          <w:sz w:val="20"/>
          <w:szCs w:val="20"/>
        </w:rPr>
        <w:t>.</w:t>
      </w:r>
    </w:p>
    <w:p w14:paraId="25AF114F" w14:textId="06F72FA6" w:rsidR="259766F2" w:rsidRPr="00306F4D" w:rsidRDefault="259766F2" w:rsidP="00FC2E4E">
      <w:pPr>
        <w:tabs>
          <w:tab w:val="left" w:pos="360"/>
        </w:tabs>
        <w:spacing w:before="120" w:after="240" w:line="276" w:lineRule="auto"/>
        <w:jc w:val="both"/>
        <w:rPr>
          <w:rFonts w:ascii="Arial" w:eastAsia="Arial" w:hAnsi="Arial" w:cs="Arial"/>
          <w:color w:val="000000" w:themeColor="text1"/>
          <w:sz w:val="20"/>
          <w:szCs w:val="20"/>
        </w:rPr>
      </w:pPr>
      <w:r w:rsidRPr="00306F4D">
        <w:rPr>
          <w:rFonts w:ascii="Arial" w:eastAsia="Arial" w:hAnsi="Arial" w:cs="Arial"/>
          <w:color w:val="000000" w:themeColor="text1"/>
          <w:sz w:val="20"/>
          <w:szCs w:val="20"/>
        </w:rPr>
        <w:t>That said, Serbia’s innovation performance still falls short of its potential, at 45.1% of the EU average in 2024 and lower than the Emerging Innovator category average of 48%. This underscores the potential to build on, improve and amplify adaptation innovation in Serbia through AF’s investment and the Regional Project’s proposed technical assistance, capacity building, incubation, and adaptation acceleration support services.</w:t>
      </w:r>
    </w:p>
    <w:p w14:paraId="4CEEDE87" w14:textId="7FEC96DE" w:rsidR="259766F2" w:rsidRPr="00306F4D" w:rsidRDefault="259766F2" w:rsidP="00FC2E4E">
      <w:pPr>
        <w:tabs>
          <w:tab w:val="left" w:pos="360"/>
        </w:tabs>
        <w:spacing w:before="120" w:after="240" w:line="276" w:lineRule="auto"/>
        <w:jc w:val="both"/>
        <w:rPr>
          <w:rFonts w:ascii="Arial" w:eastAsia="Arial" w:hAnsi="Arial" w:cs="Arial"/>
          <w:color w:val="000000" w:themeColor="text1"/>
          <w:sz w:val="20"/>
          <w:szCs w:val="20"/>
        </w:rPr>
      </w:pPr>
      <w:r w:rsidRPr="00306F4D">
        <w:rPr>
          <w:rFonts w:ascii="Arial" w:eastAsia="Arial" w:hAnsi="Arial" w:cs="Arial"/>
          <w:b/>
          <w:color w:val="000000" w:themeColor="text1"/>
          <w:sz w:val="20"/>
          <w:szCs w:val="20"/>
        </w:rPr>
        <w:t>EIS Assessment of Relative Strengths and Weaknesses.</w:t>
      </w:r>
      <w:r w:rsidRPr="00306F4D">
        <w:rPr>
          <w:rFonts w:ascii="Arial" w:eastAsia="Arial" w:hAnsi="Arial" w:cs="Arial"/>
          <w:color w:val="000000" w:themeColor="text1"/>
          <w:sz w:val="20"/>
          <w:szCs w:val="20"/>
        </w:rPr>
        <w:t xml:space="preserve"> According to EIS (2024), Serbia’s Innovation </w:t>
      </w:r>
      <w:r w:rsidRPr="00306F4D">
        <w:rPr>
          <w:rFonts w:ascii="Arial" w:eastAsia="Arial" w:hAnsi="Arial" w:cs="Arial"/>
          <w:i/>
          <w:color w:val="000000" w:themeColor="text1"/>
          <w:sz w:val="20"/>
          <w:szCs w:val="20"/>
        </w:rPr>
        <w:t>Relative Strengths</w:t>
      </w:r>
      <w:r w:rsidRPr="00306F4D">
        <w:rPr>
          <w:rFonts w:ascii="Arial" w:eastAsia="Arial" w:hAnsi="Arial" w:cs="Arial"/>
          <w:color w:val="000000" w:themeColor="text1"/>
          <w:sz w:val="20"/>
          <w:szCs w:val="20"/>
        </w:rPr>
        <w:t xml:space="preserve"> include: non-R&amp;D innovation expenditures, SMEs introducing product innovations, and innovation expenditures per person employed. </w:t>
      </w:r>
      <w:r w:rsidRPr="00306F4D">
        <w:rPr>
          <w:rFonts w:ascii="Arial" w:eastAsia="Arial" w:hAnsi="Arial" w:cs="Arial"/>
          <w:i/>
          <w:color w:val="000000" w:themeColor="text1"/>
          <w:sz w:val="20"/>
          <w:szCs w:val="20"/>
        </w:rPr>
        <w:t>Relative Weaknesses</w:t>
      </w:r>
      <w:r w:rsidRPr="00306F4D">
        <w:rPr>
          <w:rFonts w:ascii="Arial" w:eastAsia="Arial" w:hAnsi="Arial" w:cs="Arial"/>
          <w:color w:val="000000" w:themeColor="text1"/>
          <w:sz w:val="20"/>
          <w:szCs w:val="20"/>
        </w:rPr>
        <w:t xml:space="preserve"> </w:t>
      </w:r>
      <w:proofErr w:type="gramStart"/>
      <w:r w:rsidRPr="00306F4D">
        <w:rPr>
          <w:rFonts w:ascii="Arial" w:eastAsia="Arial" w:hAnsi="Arial" w:cs="Arial"/>
          <w:color w:val="000000" w:themeColor="text1"/>
          <w:sz w:val="20"/>
          <w:szCs w:val="20"/>
        </w:rPr>
        <w:t>include:</w:t>
      </w:r>
      <w:proofErr w:type="gramEnd"/>
      <w:r w:rsidRPr="00306F4D">
        <w:rPr>
          <w:rFonts w:ascii="Arial" w:eastAsia="Arial" w:hAnsi="Arial" w:cs="Arial"/>
          <w:color w:val="000000" w:themeColor="text1"/>
          <w:sz w:val="20"/>
          <w:szCs w:val="20"/>
        </w:rPr>
        <w:t xml:space="preserve"> design applications, air emissions by fine particulates, and resource productivity. </w:t>
      </w:r>
      <w:r w:rsidRPr="00306F4D">
        <w:rPr>
          <w:rFonts w:ascii="Arial" w:eastAsia="Arial" w:hAnsi="Arial" w:cs="Arial"/>
          <w:i/>
          <w:color w:val="000000" w:themeColor="text1"/>
          <w:sz w:val="20"/>
          <w:szCs w:val="20"/>
        </w:rPr>
        <w:t>Strong increases</w:t>
      </w:r>
      <w:r w:rsidRPr="00306F4D">
        <w:rPr>
          <w:rFonts w:ascii="Arial" w:eastAsia="Arial" w:hAnsi="Arial" w:cs="Arial"/>
          <w:color w:val="000000" w:themeColor="text1"/>
          <w:sz w:val="20"/>
          <w:szCs w:val="20"/>
        </w:rPr>
        <w:t xml:space="preserve"> since 2017 include: broadband penetration, SMEs introducing product innovations, and SMEs introducing business process innovations. </w:t>
      </w:r>
      <w:r w:rsidRPr="00306F4D">
        <w:rPr>
          <w:rFonts w:ascii="Arial" w:eastAsia="Arial" w:hAnsi="Arial" w:cs="Arial"/>
          <w:i/>
          <w:color w:val="000000" w:themeColor="text1"/>
          <w:sz w:val="20"/>
          <w:szCs w:val="20"/>
        </w:rPr>
        <w:t>Strong decreases</w:t>
      </w:r>
      <w:r w:rsidRPr="00306F4D">
        <w:rPr>
          <w:rFonts w:ascii="Arial" w:eastAsia="Arial" w:hAnsi="Arial" w:cs="Arial"/>
          <w:color w:val="000000" w:themeColor="text1"/>
          <w:sz w:val="20"/>
          <w:szCs w:val="20"/>
        </w:rPr>
        <w:t xml:space="preserve"> since 2017 include: innovation expenditures per person employed, enterprises providing ICT training, and environment-related technologies. Strong increases since 2023 include: SMEs introducing product innovations, SMEs introducing business process innovations, and enterprises providing ICT training. Strong decreases since 2023 include: environment-related technologies, job-to-job mobility of HRST, and PCT patent applications.</w:t>
      </w:r>
    </w:p>
    <w:p w14:paraId="68502DA2" w14:textId="50F48686" w:rsidR="259766F2" w:rsidRPr="00306F4D" w:rsidRDefault="418AF59F" w:rsidP="00FC2E4E">
      <w:pPr>
        <w:tabs>
          <w:tab w:val="left" w:pos="360"/>
        </w:tabs>
        <w:spacing w:after="0" w:line="276" w:lineRule="auto"/>
        <w:jc w:val="center"/>
        <w:rPr>
          <w:rFonts w:ascii="Arial" w:eastAsia="Arial" w:hAnsi="Arial" w:cs="Arial"/>
          <w:color w:val="000000" w:themeColor="text1"/>
          <w:sz w:val="20"/>
          <w:szCs w:val="20"/>
          <w:lang w:val="en-GB"/>
        </w:rPr>
      </w:pPr>
      <w:r w:rsidRPr="00306F4D">
        <w:rPr>
          <w:noProof/>
        </w:rPr>
        <w:lastRenderedPageBreak/>
        <w:drawing>
          <wp:inline distT="0" distB="0" distL="0" distR="0" wp14:anchorId="5D6E91ED" wp14:editId="1493F87F">
            <wp:extent cx="6296620" cy="6478252"/>
            <wp:effectExtent l="12700" t="12700" r="15875" b="12065"/>
            <wp:docPr id="569575207" name="Picture 569575207" descr="Picture 458977384,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575207"/>
                    <pic:cNvPicPr/>
                  </pic:nvPicPr>
                  <pic:blipFill>
                    <a:blip r:embed="rId20">
                      <a:extLst>
                        <a:ext uri="{28A0092B-C50C-407E-A947-70E740481C1C}">
                          <a14:useLocalDpi xmlns:a14="http://schemas.microsoft.com/office/drawing/2010/main" val="0"/>
                        </a:ext>
                      </a:extLst>
                    </a:blip>
                    <a:stretch>
                      <a:fillRect/>
                    </a:stretch>
                  </pic:blipFill>
                  <pic:spPr>
                    <a:xfrm>
                      <a:off x="0" y="0"/>
                      <a:ext cx="6370120" cy="6553872"/>
                    </a:xfrm>
                    <a:prstGeom prst="rect">
                      <a:avLst/>
                    </a:prstGeom>
                    <a:ln>
                      <a:solidFill>
                        <a:schemeClr val="bg1"/>
                      </a:solidFill>
                    </a:ln>
                  </pic:spPr>
                </pic:pic>
              </a:graphicData>
            </a:graphic>
          </wp:inline>
        </w:drawing>
      </w:r>
    </w:p>
    <w:p w14:paraId="17A45C14" w14:textId="6AF4ED70" w:rsidR="259766F2" w:rsidRPr="00306F4D" w:rsidRDefault="259766F2" w:rsidP="00FC2E4E">
      <w:pPr>
        <w:spacing w:after="120" w:line="276" w:lineRule="auto"/>
        <w:ind w:left="270"/>
        <w:jc w:val="center"/>
        <w:rPr>
          <w:rFonts w:ascii="Arial" w:eastAsia="Arial" w:hAnsi="Arial" w:cs="Arial"/>
          <w:color w:val="000000" w:themeColor="text1"/>
          <w:sz w:val="16"/>
          <w:szCs w:val="16"/>
          <w:lang w:val="en-GB"/>
        </w:rPr>
      </w:pPr>
      <w:r w:rsidRPr="00306F4D">
        <w:rPr>
          <w:rFonts w:ascii="Arial" w:eastAsia="Arial" w:hAnsi="Arial" w:cs="Arial"/>
          <w:b/>
          <w:color w:val="000000" w:themeColor="text1"/>
          <w:sz w:val="16"/>
          <w:szCs w:val="16"/>
        </w:rPr>
        <w:t xml:space="preserve">Figure </w:t>
      </w:r>
      <w:r w:rsidR="00E22EB8" w:rsidRPr="00306F4D">
        <w:rPr>
          <w:rFonts w:ascii="Arial" w:eastAsia="Arial" w:hAnsi="Arial" w:cs="Arial"/>
          <w:b/>
          <w:color w:val="000000" w:themeColor="text1"/>
          <w:sz w:val="16"/>
          <w:szCs w:val="16"/>
        </w:rPr>
        <w:t>9</w:t>
      </w:r>
      <w:r w:rsidRPr="00306F4D">
        <w:rPr>
          <w:rFonts w:ascii="Arial" w:eastAsia="Arial" w:hAnsi="Arial" w:cs="Arial"/>
          <w:b/>
          <w:color w:val="000000" w:themeColor="text1"/>
          <w:sz w:val="16"/>
          <w:szCs w:val="16"/>
        </w:rPr>
        <w:t>. European Innovation Scorecard (EIS) (2024). Bosnia and Herzegovina and Montenegro</w:t>
      </w:r>
    </w:p>
    <w:p w14:paraId="09D7074E" w14:textId="1A2FC0EC" w:rsidR="6EB7EF44" w:rsidRPr="00306F4D" w:rsidRDefault="6EB7EF44" w:rsidP="00FC2E4E">
      <w:pPr>
        <w:tabs>
          <w:tab w:val="left" w:pos="360"/>
        </w:tabs>
        <w:spacing w:before="120" w:after="240" w:line="276" w:lineRule="auto"/>
        <w:jc w:val="both"/>
        <w:rPr>
          <w:rFonts w:ascii="Arial" w:eastAsia="Arial" w:hAnsi="Arial" w:cs="Arial"/>
          <w:color w:val="000000" w:themeColor="text1"/>
          <w:sz w:val="20"/>
          <w:szCs w:val="20"/>
          <w:lang w:val="en-GB"/>
        </w:rPr>
      </w:pPr>
    </w:p>
    <w:p w14:paraId="5030B734" w14:textId="77777777" w:rsidR="006C2CFE" w:rsidRPr="00306F4D" w:rsidRDefault="259766F2" w:rsidP="00FC2E4E">
      <w:pPr>
        <w:spacing w:after="120" w:line="276" w:lineRule="auto"/>
        <w:ind w:left="270"/>
        <w:jc w:val="center"/>
        <w:rPr>
          <w:rFonts w:ascii="Arial" w:eastAsia="Arial" w:hAnsi="Arial" w:cs="Arial"/>
          <w:b/>
          <w:color w:val="000000" w:themeColor="text1"/>
          <w:sz w:val="16"/>
          <w:szCs w:val="16"/>
        </w:rPr>
      </w:pPr>
      <w:r w:rsidRPr="00306F4D">
        <w:rPr>
          <w:rFonts w:ascii="Arial" w:hAnsi="Arial" w:cs="Arial"/>
          <w:noProof/>
          <w:sz w:val="20"/>
          <w:szCs w:val="20"/>
        </w:rPr>
        <w:lastRenderedPageBreak/>
        <w:drawing>
          <wp:inline distT="0" distB="0" distL="0" distR="0" wp14:anchorId="59E4C351" wp14:editId="03E48A53">
            <wp:extent cx="5485510" cy="5599790"/>
            <wp:effectExtent l="12700" t="12700" r="13970" b="13970"/>
            <wp:docPr id="430926013" name="Picture 430926013" descr="Picture 1467620395,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926013"/>
                    <pic:cNvPicPr/>
                  </pic:nvPicPr>
                  <pic:blipFill>
                    <a:blip r:embed="rId21">
                      <a:extLst>
                        <a:ext uri="{28A0092B-C50C-407E-A947-70E740481C1C}">
                          <a14:useLocalDpi xmlns:a14="http://schemas.microsoft.com/office/drawing/2010/main" val="0"/>
                        </a:ext>
                      </a:extLst>
                    </a:blip>
                    <a:stretch>
                      <a:fillRect/>
                    </a:stretch>
                  </pic:blipFill>
                  <pic:spPr>
                    <a:xfrm>
                      <a:off x="0" y="0"/>
                      <a:ext cx="5513797" cy="5628666"/>
                    </a:xfrm>
                    <a:prstGeom prst="rect">
                      <a:avLst/>
                    </a:prstGeom>
                    <a:ln>
                      <a:solidFill>
                        <a:schemeClr val="bg1">
                          <a:lumMod val="50000"/>
                        </a:schemeClr>
                      </a:solidFill>
                    </a:ln>
                  </pic:spPr>
                </pic:pic>
              </a:graphicData>
            </a:graphic>
          </wp:inline>
        </w:drawing>
      </w:r>
    </w:p>
    <w:p w14:paraId="20E26C06" w14:textId="1686E5F5" w:rsidR="259766F2" w:rsidRPr="00306F4D" w:rsidRDefault="259766F2" w:rsidP="00FC2E4E">
      <w:pPr>
        <w:spacing w:after="120" w:line="276" w:lineRule="auto"/>
        <w:ind w:left="270"/>
        <w:jc w:val="center"/>
        <w:rPr>
          <w:rFonts w:ascii="Arial" w:eastAsia="Arial" w:hAnsi="Arial" w:cs="Arial"/>
          <w:sz w:val="20"/>
          <w:szCs w:val="20"/>
          <w:lang w:val="en-GB"/>
        </w:rPr>
      </w:pPr>
      <w:r w:rsidRPr="00306F4D">
        <w:rPr>
          <w:rFonts w:ascii="Arial" w:eastAsia="Arial" w:hAnsi="Arial" w:cs="Arial"/>
          <w:b/>
          <w:color w:val="000000" w:themeColor="text1"/>
          <w:sz w:val="16"/>
          <w:szCs w:val="16"/>
        </w:rPr>
        <w:t xml:space="preserve">Figure </w:t>
      </w:r>
      <w:r w:rsidR="00E22EB8" w:rsidRPr="00306F4D">
        <w:rPr>
          <w:rFonts w:ascii="Arial" w:eastAsia="Arial" w:hAnsi="Arial" w:cs="Arial"/>
          <w:b/>
          <w:color w:val="000000" w:themeColor="text1"/>
          <w:sz w:val="16"/>
          <w:szCs w:val="16"/>
        </w:rPr>
        <w:t>10</w:t>
      </w:r>
      <w:r w:rsidRPr="00306F4D">
        <w:rPr>
          <w:rFonts w:ascii="Arial" w:eastAsia="Arial" w:hAnsi="Arial" w:cs="Arial"/>
          <w:b/>
          <w:color w:val="000000" w:themeColor="text1"/>
          <w:sz w:val="16"/>
          <w:szCs w:val="16"/>
        </w:rPr>
        <w:t>. European Innovation Scorecard (EIS) (2024). North Macedonia and Serbia</w:t>
      </w:r>
      <w:r w:rsidRPr="00306F4D">
        <w:rPr>
          <w:rFonts w:ascii="Arial" w:eastAsia="Arial" w:hAnsi="Arial" w:cs="Arial"/>
          <w:sz w:val="16"/>
          <w:szCs w:val="16"/>
          <w:lang w:val="en-GB"/>
        </w:rPr>
        <w:t xml:space="preserve"> </w:t>
      </w:r>
    </w:p>
    <w:p w14:paraId="22D04C7B" w14:textId="3C8760B4" w:rsidR="00941F1A" w:rsidRPr="00306F4D" w:rsidRDefault="30B78435" w:rsidP="0028010E">
      <w:p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 xml:space="preserve">The EIS assessment underscores the potential to build on existing innovation ecosystems in these countries, offering a strong foundation for the Regional Project. The project aims to accelerate climate adaptation innovations by providing </w:t>
      </w:r>
      <w:r w:rsidR="00AD5FBC" w:rsidRPr="00306F4D">
        <w:rPr>
          <w:rFonts w:ascii="Arial" w:eastAsia="Arial" w:hAnsi="Arial" w:cs="Arial"/>
          <w:sz w:val="20"/>
          <w:szCs w:val="20"/>
          <w:lang w:val="en-GB"/>
        </w:rPr>
        <w:t>catalytic funding to local innovators</w:t>
      </w:r>
      <w:r w:rsidRPr="00306F4D">
        <w:rPr>
          <w:rFonts w:ascii="Arial" w:eastAsia="Arial" w:hAnsi="Arial" w:cs="Arial"/>
          <w:sz w:val="20"/>
          <w:szCs w:val="20"/>
          <w:lang w:val="en-GB"/>
        </w:rPr>
        <w:t>, strengthening regional collaboration, and supporting capacity-building and incubation for</w:t>
      </w:r>
      <w:r w:rsidR="00DF70EE" w:rsidRPr="00306F4D">
        <w:rPr>
          <w:rFonts w:ascii="Arial" w:eastAsia="Arial" w:hAnsi="Arial" w:cs="Arial"/>
          <w:sz w:val="20"/>
          <w:szCs w:val="20"/>
          <w:lang w:val="en-GB"/>
        </w:rPr>
        <w:t xml:space="preserve"> local NGOs, CSOs and</w:t>
      </w:r>
      <w:r w:rsidRPr="00306F4D">
        <w:rPr>
          <w:rFonts w:ascii="Arial" w:eastAsia="Arial" w:hAnsi="Arial" w:cs="Arial"/>
          <w:sz w:val="20"/>
          <w:szCs w:val="20"/>
          <w:lang w:val="en-GB"/>
        </w:rPr>
        <w:t xml:space="preserve"> small businesse</w:t>
      </w:r>
      <w:r w:rsidR="00DF70EE" w:rsidRPr="00306F4D">
        <w:rPr>
          <w:rFonts w:ascii="Arial" w:eastAsia="Arial" w:hAnsi="Arial" w:cs="Arial"/>
          <w:sz w:val="20"/>
          <w:szCs w:val="20"/>
          <w:lang w:val="en-GB"/>
        </w:rPr>
        <w:t>s</w:t>
      </w:r>
      <w:r w:rsidRPr="00306F4D">
        <w:rPr>
          <w:rFonts w:ascii="Arial" w:eastAsia="Arial" w:hAnsi="Arial" w:cs="Arial"/>
          <w:sz w:val="20"/>
          <w:szCs w:val="20"/>
          <w:lang w:val="en-GB"/>
        </w:rPr>
        <w:t>.</w:t>
      </w:r>
    </w:p>
    <w:p w14:paraId="6B62B687" w14:textId="687E4394" w:rsidR="3B916348" w:rsidRPr="00306F4D" w:rsidRDefault="004F7126" w:rsidP="00896584">
      <w:pPr>
        <w:pStyle w:val="Heading2"/>
        <w:rPr>
          <w:rStyle w:val="Heading3Char"/>
          <w:rFonts w:ascii="Arial" w:eastAsia="Arial" w:hAnsi="Arial" w:cs="Arial"/>
          <w:b/>
          <w:bCs/>
          <w:sz w:val="20"/>
          <w:szCs w:val="20"/>
          <w:lang w:val="en-GB"/>
        </w:rPr>
      </w:pPr>
      <w:bookmarkStart w:id="49" w:name="_Toc202893732"/>
      <w:r w:rsidRPr="00306F4D">
        <w:rPr>
          <w:rStyle w:val="Heading3Char"/>
          <w:rFonts w:ascii="Arial" w:eastAsia="Arial" w:hAnsi="Arial" w:cs="Arial"/>
          <w:b/>
          <w:bCs/>
          <w:sz w:val="20"/>
          <w:szCs w:val="20"/>
          <w:lang w:val="en-GB"/>
        </w:rPr>
        <w:t xml:space="preserve">Urgency of Adaptation </w:t>
      </w:r>
      <w:r w:rsidR="6720E04E" w:rsidRPr="00306F4D">
        <w:rPr>
          <w:rStyle w:val="Heading3Char"/>
          <w:rFonts w:ascii="Arial" w:eastAsia="Arial" w:hAnsi="Arial" w:cs="Arial"/>
          <w:b/>
          <w:bCs/>
          <w:sz w:val="20"/>
          <w:szCs w:val="20"/>
          <w:lang w:val="en-GB"/>
        </w:rPr>
        <w:t xml:space="preserve">Investments </w:t>
      </w:r>
      <w:r w:rsidRPr="00306F4D">
        <w:rPr>
          <w:rStyle w:val="Heading3Char"/>
          <w:rFonts w:ascii="Arial" w:eastAsia="Arial" w:hAnsi="Arial" w:cs="Arial"/>
          <w:b/>
          <w:bCs/>
          <w:sz w:val="20"/>
          <w:szCs w:val="20"/>
          <w:lang w:val="en-GB"/>
        </w:rPr>
        <w:t>at the Local Level</w:t>
      </w:r>
      <w:bookmarkEnd w:id="49"/>
    </w:p>
    <w:p w14:paraId="2290A4AF" w14:textId="5A43334B" w:rsidR="3B916348" w:rsidRPr="00306F4D" w:rsidRDefault="085854B4" w:rsidP="4186447D">
      <w:pPr>
        <w:spacing w:after="240" w:line="276" w:lineRule="auto"/>
        <w:jc w:val="both"/>
        <w:rPr>
          <w:rFonts w:ascii="Arial" w:eastAsia="Arial" w:hAnsi="Arial" w:cs="Arial"/>
          <w:color w:val="auto"/>
          <w:sz w:val="20"/>
          <w:szCs w:val="20"/>
        </w:rPr>
      </w:pPr>
      <w:r w:rsidRPr="00306F4D">
        <w:rPr>
          <w:rFonts w:ascii="Arial" w:eastAsia="Arial" w:hAnsi="Arial" w:cs="Arial"/>
          <w:sz w:val="20"/>
          <w:szCs w:val="20"/>
        </w:rPr>
        <w:t>The World Bank estimates that an initial, comprehensive adaptation investment package in the Western Balkans could reach up</w:t>
      </w:r>
      <w:r w:rsidRPr="00306F4D">
        <w:rPr>
          <w:rFonts w:ascii="Arial" w:eastAsia="Arial" w:hAnsi="Arial" w:cs="Arial"/>
          <w:color w:val="auto"/>
          <w:sz w:val="20"/>
          <w:szCs w:val="20"/>
        </w:rPr>
        <w:t xml:space="preserve"> to US$37.2 billion</w:t>
      </w:r>
      <w:r w:rsidR="3B916348" w:rsidRPr="00306F4D">
        <w:rPr>
          <w:rStyle w:val="FootnoteReference"/>
          <w:rFonts w:ascii="Arial" w:eastAsia="Arial" w:hAnsi="Arial" w:cs="Arial"/>
          <w:color w:val="auto"/>
          <w:sz w:val="20"/>
          <w:szCs w:val="20"/>
        </w:rPr>
        <w:footnoteReference w:id="119"/>
      </w:r>
      <w:r w:rsidRPr="00306F4D">
        <w:rPr>
          <w:rFonts w:ascii="Arial" w:eastAsia="Arial" w:hAnsi="Arial" w:cs="Arial"/>
          <w:color w:val="auto"/>
          <w:sz w:val="20"/>
          <w:szCs w:val="20"/>
        </w:rPr>
        <w:t xml:space="preserve">, including for the Regional Project‘s four partner countries: US$6.8 billion for </w:t>
      </w:r>
      <w:r w:rsidRPr="00306F4D">
        <w:rPr>
          <w:rFonts w:ascii="Arial" w:eastAsia="Arial" w:hAnsi="Arial" w:cs="Arial"/>
          <w:b/>
          <w:bCs/>
          <w:color w:val="auto"/>
          <w:sz w:val="20"/>
          <w:szCs w:val="20"/>
        </w:rPr>
        <w:lastRenderedPageBreak/>
        <w:t>Bosnia and Herzegovina</w:t>
      </w:r>
      <w:r w:rsidRPr="00306F4D">
        <w:rPr>
          <w:rFonts w:ascii="Arial" w:eastAsia="Arial" w:hAnsi="Arial" w:cs="Arial"/>
          <w:color w:val="auto"/>
          <w:sz w:val="20"/>
          <w:szCs w:val="20"/>
        </w:rPr>
        <w:t xml:space="preserve">, or 0.6–1 percent of GDP per year until 2050; US$5.7 billion for </w:t>
      </w:r>
      <w:r w:rsidRPr="00306F4D">
        <w:rPr>
          <w:rFonts w:ascii="Arial" w:eastAsia="Arial" w:hAnsi="Arial" w:cs="Arial"/>
          <w:b/>
          <w:bCs/>
          <w:color w:val="auto"/>
          <w:sz w:val="20"/>
          <w:szCs w:val="20"/>
        </w:rPr>
        <w:t>Montenegro</w:t>
      </w:r>
      <w:r w:rsidRPr="00306F4D">
        <w:rPr>
          <w:rFonts w:ascii="Arial" w:eastAsia="Arial" w:hAnsi="Arial" w:cs="Arial"/>
          <w:color w:val="auto"/>
          <w:sz w:val="20"/>
          <w:szCs w:val="20"/>
        </w:rPr>
        <w:t xml:space="preserve">, or 1.5-2.3 percent of GDP per year until 2050; US$6.4 billion for </w:t>
      </w:r>
      <w:r w:rsidRPr="00306F4D">
        <w:rPr>
          <w:rFonts w:ascii="Arial" w:eastAsia="Arial" w:hAnsi="Arial" w:cs="Arial"/>
          <w:b/>
          <w:bCs/>
          <w:color w:val="auto"/>
          <w:sz w:val="20"/>
          <w:szCs w:val="20"/>
        </w:rPr>
        <w:t>North Macedonia</w:t>
      </w:r>
      <w:r w:rsidRPr="00306F4D">
        <w:rPr>
          <w:rFonts w:ascii="Arial" w:eastAsia="Arial" w:hAnsi="Arial" w:cs="Arial"/>
          <w:color w:val="auto"/>
          <w:sz w:val="20"/>
          <w:szCs w:val="20"/>
        </w:rPr>
        <w:t xml:space="preserve">, or 0.8-1.2 percent of GDP per year until 2050; and US$9.5 billion for </w:t>
      </w:r>
      <w:r w:rsidRPr="00306F4D">
        <w:rPr>
          <w:rFonts w:ascii="Arial" w:eastAsia="Arial" w:hAnsi="Arial" w:cs="Arial"/>
          <w:b/>
          <w:bCs/>
          <w:color w:val="auto"/>
          <w:sz w:val="20"/>
          <w:szCs w:val="20"/>
        </w:rPr>
        <w:t>Serbia</w:t>
      </w:r>
      <w:r w:rsidRPr="00306F4D">
        <w:rPr>
          <w:rFonts w:ascii="Arial" w:eastAsia="Arial" w:hAnsi="Arial" w:cs="Arial"/>
          <w:color w:val="auto"/>
          <w:sz w:val="20"/>
          <w:szCs w:val="20"/>
        </w:rPr>
        <w:t xml:space="preserve">, or 0.4-0.6 percent of GDP per year until 2050 </w:t>
      </w:r>
      <w:r w:rsidRPr="00306F4D">
        <w:rPr>
          <w:rFonts w:ascii="Arial" w:eastAsia="Arial" w:hAnsi="Arial" w:cs="Arial"/>
          <w:sz w:val="20"/>
          <w:szCs w:val="20"/>
        </w:rPr>
        <w:t>Globally, UNDP highlights a significant funding gap for climate change adaptation, with costs projected to range from US$140 billion to US$300 billion per year by 2030 and as high as US</w:t>
      </w:r>
      <w:r w:rsidR="3B916348" w:rsidRPr="00306F4D">
        <w:rPr>
          <w:rStyle w:val="FootnoteReference"/>
          <w:rFonts w:ascii="Arial" w:eastAsia="Arial" w:hAnsi="Arial" w:cs="Arial"/>
          <w:sz w:val="20"/>
          <w:szCs w:val="20"/>
        </w:rPr>
        <w:footnoteReference w:id="120"/>
      </w:r>
      <w:r w:rsidRPr="00306F4D">
        <w:rPr>
          <w:rFonts w:ascii="Arial" w:eastAsia="Arial" w:hAnsi="Arial" w:cs="Arial"/>
          <w:sz w:val="20"/>
          <w:szCs w:val="20"/>
        </w:rPr>
        <w:t>￼</w:t>
      </w:r>
      <w:r w:rsidR="3B916348" w:rsidRPr="00306F4D">
        <w:rPr>
          <w:rStyle w:val="FootnoteReference"/>
          <w:rFonts w:ascii="Arial" w:eastAsia="Arial" w:hAnsi="Arial" w:cs="Arial"/>
          <w:sz w:val="20"/>
          <w:szCs w:val="20"/>
        </w:rPr>
        <w:footnoteReference w:id="121"/>
      </w:r>
      <w:r w:rsidRPr="00306F4D">
        <w:rPr>
          <w:rFonts w:ascii="Arial" w:eastAsia="Arial" w:hAnsi="Arial" w:cs="Arial"/>
          <w:sz w:val="20"/>
          <w:szCs w:val="20"/>
        </w:rPr>
        <w:t>. In the Western Balkans, each country may need to invest up to US$2 billion by 2030 alone. Front-loading and accelerating adaptation investments and innovation within the next five years will help mitigate long-term costs and the impacts of climate-related shocks. Such actions are expected to deliver substantial economic benefits, including avoided losses, accelerated economic growth, and amplified social and environmental co-benefits, with an estimated return on investment of up to 400%.</w:t>
      </w:r>
      <w:r w:rsidRPr="00306F4D">
        <w:rPr>
          <w:rFonts w:ascii="Arial" w:eastAsia="Arial" w:hAnsi="Arial" w:cs="Arial"/>
          <w:color w:val="auto"/>
          <w:sz w:val="20"/>
          <w:szCs w:val="20"/>
        </w:rPr>
        <w:t xml:space="preserve"> However, these adaptation investments are just one part of the fiscal burden. In addition, to achieve economy-wide Net Zero, the countries of the Western Balkans would need to invest an additional US$89.4 billion, or 1.9 percent of GDP on average per year until 2050, compared to a reference scenario, most of which would be to transition the power sectors of each country and </w:t>
      </w:r>
      <w:proofErr w:type="spellStart"/>
      <w:r w:rsidRPr="00306F4D">
        <w:rPr>
          <w:rFonts w:ascii="Arial" w:eastAsia="Arial" w:hAnsi="Arial" w:cs="Arial"/>
          <w:color w:val="auto"/>
          <w:sz w:val="20"/>
          <w:szCs w:val="20"/>
        </w:rPr>
        <w:t>scal</w:t>
      </w:r>
      <w:proofErr w:type="spellEnd"/>
      <w:r w:rsidR="3B916348" w:rsidRPr="00306F4D">
        <w:rPr>
          <w:rFonts w:ascii="Arial" w:eastAsia="Arial" w:hAnsi="Arial" w:cs="Arial"/>
          <w:color w:val="auto"/>
          <w:sz w:val="20"/>
          <w:szCs w:val="20"/>
          <w:vertAlign w:val="superscript"/>
        </w:rPr>
        <w:footnoteReference w:id="122"/>
      </w:r>
      <w:r w:rsidRPr="00306F4D">
        <w:rPr>
          <w:rFonts w:ascii="Arial" w:eastAsia="Arial" w:hAnsi="Arial" w:cs="Arial"/>
          <w:color w:val="auto"/>
          <w:sz w:val="20"/>
          <w:szCs w:val="20"/>
        </w:rPr>
        <w:t xml:space="preserve"> solar, wind, and hydro generation capacities.</w:t>
      </w:r>
      <w:r w:rsidR="379653B6" w:rsidRPr="00306F4D">
        <w:rPr>
          <w:rFonts w:ascii="Arial" w:eastAsia="Arial" w:hAnsi="Arial" w:cs="Arial"/>
          <w:color w:val="auto"/>
          <w:sz w:val="20"/>
          <w:szCs w:val="20"/>
        </w:rPr>
        <w:t xml:space="preserve"> </w:t>
      </w:r>
      <w:r w:rsidRPr="00306F4D">
        <w:rPr>
          <w:rFonts w:ascii="Arial" w:eastAsia="Arial" w:hAnsi="Arial" w:cs="Arial"/>
          <w:b/>
          <w:bCs/>
          <w:color w:val="auto"/>
          <w:sz w:val="20"/>
          <w:szCs w:val="20"/>
        </w:rPr>
        <w:t>North Macedonia</w:t>
      </w:r>
      <w:r w:rsidRPr="00306F4D">
        <w:rPr>
          <w:rFonts w:ascii="Arial" w:eastAsia="Arial" w:hAnsi="Arial" w:cs="Arial"/>
          <w:color w:val="auto"/>
          <w:sz w:val="20"/>
          <w:szCs w:val="20"/>
        </w:rPr>
        <w:t xml:space="preserve">, for example, would need to invest an additional US$1.7 billion by 2030 and US$5.6 billion by 2050, equivalent to about 2.6 percent of GDP per year. </w:t>
      </w:r>
      <w:r w:rsidRPr="00306F4D">
        <w:rPr>
          <w:rFonts w:ascii="Arial" w:eastAsia="Arial" w:hAnsi="Arial" w:cs="Arial"/>
          <w:b/>
          <w:bCs/>
          <w:color w:val="auto"/>
          <w:sz w:val="20"/>
          <w:szCs w:val="20"/>
        </w:rPr>
        <w:t xml:space="preserve">Serbia </w:t>
      </w:r>
      <w:r w:rsidRPr="00306F4D">
        <w:rPr>
          <w:rFonts w:ascii="Arial" w:eastAsia="Arial" w:hAnsi="Arial" w:cs="Arial"/>
          <w:color w:val="auto"/>
          <w:sz w:val="20"/>
          <w:szCs w:val="20"/>
        </w:rPr>
        <w:t xml:space="preserve">would need to invest an additional US$10.4 billion by 2050, equivalent to 1.6 percent of GDP per year. </w:t>
      </w:r>
      <w:r w:rsidRPr="00306F4D">
        <w:rPr>
          <w:rFonts w:ascii="Arial" w:eastAsia="Arial" w:hAnsi="Arial" w:cs="Arial"/>
          <w:b/>
          <w:bCs/>
          <w:color w:val="auto"/>
          <w:sz w:val="20"/>
          <w:szCs w:val="20"/>
        </w:rPr>
        <w:t xml:space="preserve">Montenegro </w:t>
      </w:r>
      <w:r w:rsidRPr="00306F4D">
        <w:rPr>
          <w:rFonts w:ascii="Arial" w:eastAsia="Arial" w:hAnsi="Arial" w:cs="Arial"/>
          <w:color w:val="auto"/>
          <w:sz w:val="20"/>
          <w:szCs w:val="20"/>
        </w:rPr>
        <w:t xml:space="preserve">would need to invest an additional US$235 million until 2050, equivalent to 0.2 percent of GDP per year. </w:t>
      </w:r>
      <w:r w:rsidRPr="00306F4D">
        <w:rPr>
          <w:rFonts w:ascii="Arial" w:eastAsia="Arial" w:hAnsi="Arial" w:cs="Arial"/>
          <w:b/>
          <w:bCs/>
          <w:color w:val="auto"/>
          <w:sz w:val="20"/>
          <w:szCs w:val="20"/>
        </w:rPr>
        <w:t>Bosnia and Herzegovina</w:t>
      </w:r>
      <w:r w:rsidRPr="00306F4D">
        <w:rPr>
          <w:rFonts w:ascii="Arial" w:eastAsia="Arial" w:hAnsi="Arial" w:cs="Arial"/>
          <w:color w:val="auto"/>
          <w:sz w:val="20"/>
          <w:szCs w:val="20"/>
        </w:rPr>
        <w:t xml:space="preserve"> would need to invest an additional US$0.5 billion by 2030 and US$5.8 billion by 2050, equivalent to 1.8 percent of GDP per year.</w:t>
      </w:r>
    </w:p>
    <w:p w14:paraId="521C0ABE" w14:textId="628D2D68" w:rsidR="3B916348" w:rsidRPr="00306F4D" w:rsidRDefault="085854B4" w:rsidP="4186447D">
      <w:pPr>
        <w:spacing w:before="240" w:after="240" w:line="276" w:lineRule="auto"/>
        <w:jc w:val="both"/>
        <w:rPr>
          <w:rFonts w:ascii="Arial" w:eastAsia="Arial" w:hAnsi="Arial" w:cs="Arial"/>
          <w:sz w:val="20"/>
          <w:szCs w:val="20"/>
        </w:rPr>
      </w:pPr>
      <w:r w:rsidRPr="00306F4D">
        <w:rPr>
          <w:rFonts w:ascii="Arial" w:eastAsia="Arial" w:hAnsi="Arial" w:cs="Arial"/>
          <w:sz w:val="20"/>
          <w:szCs w:val="20"/>
        </w:rPr>
        <w:t>Climate adaptation innovations bring numerous benefits beyond the immediate impact on climate resilience. For example, the transition to net-zero could reduce air pollution-related mortality by 15% by 2050, potentially saving thousands of lives</w:t>
      </w:r>
      <w:r w:rsidR="3B916348" w:rsidRPr="00306F4D">
        <w:rPr>
          <w:rStyle w:val="FootnoteReference"/>
          <w:rFonts w:ascii="Arial" w:eastAsia="Arial" w:hAnsi="Arial" w:cs="Arial"/>
          <w:sz w:val="20"/>
          <w:szCs w:val="20"/>
        </w:rPr>
        <w:footnoteReference w:id="123"/>
      </w:r>
      <w:r w:rsidRPr="00306F4D">
        <w:rPr>
          <w:rFonts w:ascii="Arial" w:eastAsia="Arial" w:hAnsi="Arial" w:cs="Arial"/>
          <w:sz w:val="20"/>
          <w:szCs w:val="20"/>
        </w:rPr>
        <w:t>. Additionally, early-warning systems offer substantial benefits in terms of preventing mortality and hospitalization, with the benefits often outweighing the implementation costs by hundreds or even thousands of times</w:t>
      </w:r>
      <w:r w:rsidR="3B916348" w:rsidRPr="00306F4D">
        <w:rPr>
          <w:rStyle w:val="FootnoteReference"/>
          <w:rFonts w:ascii="Arial" w:eastAsia="Arial" w:hAnsi="Arial" w:cs="Arial"/>
          <w:sz w:val="20"/>
          <w:szCs w:val="20"/>
        </w:rPr>
        <w:footnoteReference w:id="124"/>
      </w:r>
      <w:r w:rsidRPr="00306F4D">
        <w:rPr>
          <w:rFonts w:ascii="Arial" w:eastAsia="Arial" w:hAnsi="Arial" w:cs="Arial"/>
          <w:sz w:val="20"/>
          <w:szCs w:val="20"/>
        </w:rPr>
        <w:t xml:space="preserve">. Water and flood management, along with nature-based solutions, can stimulate local economic development. However, a key missing component is </w:t>
      </w:r>
      <w:proofErr w:type="gramStart"/>
      <w:r w:rsidRPr="00306F4D">
        <w:rPr>
          <w:rFonts w:ascii="Arial" w:eastAsia="Arial" w:hAnsi="Arial" w:cs="Arial"/>
          <w:sz w:val="20"/>
          <w:szCs w:val="20"/>
        </w:rPr>
        <w:t>locally-led</w:t>
      </w:r>
      <w:proofErr w:type="gramEnd"/>
      <w:r w:rsidRPr="00306F4D">
        <w:rPr>
          <w:rFonts w:ascii="Arial" w:eastAsia="Arial" w:hAnsi="Arial" w:cs="Arial"/>
          <w:sz w:val="20"/>
          <w:szCs w:val="20"/>
        </w:rPr>
        <w:t xml:space="preserve"> adaptation and innovation at the community level, supported by national, regional, and global expertise, to scale successful climate adaptation practices, tools, and technologies. This project aims to address this critical gap.</w:t>
      </w:r>
    </w:p>
    <w:p w14:paraId="20282484" w14:textId="6BC63F97" w:rsidR="3B916348" w:rsidRPr="00306F4D" w:rsidRDefault="085854B4" w:rsidP="4186447D">
      <w:pPr>
        <w:spacing w:before="240" w:after="240" w:line="276" w:lineRule="auto"/>
        <w:jc w:val="both"/>
        <w:rPr>
          <w:rFonts w:ascii="Arial" w:eastAsia="Arial" w:hAnsi="Arial" w:cs="Arial"/>
          <w:sz w:val="20"/>
          <w:szCs w:val="20"/>
        </w:rPr>
      </w:pPr>
      <w:r w:rsidRPr="00306F4D">
        <w:rPr>
          <w:rFonts w:ascii="Arial" w:eastAsia="Arial" w:hAnsi="Arial" w:cs="Arial"/>
          <w:sz w:val="20"/>
          <w:szCs w:val="20"/>
        </w:rPr>
        <w:t xml:space="preserve">Currently, the global and regional climate finance landscape places a heavy emphasis on mitigation efforts aimed at reducing greenhouse gas emissions. However, there has been less focus on risk reduction, adaptation, and particularly in </w:t>
      </w:r>
      <w:proofErr w:type="gramStart"/>
      <w:r w:rsidRPr="00306F4D">
        <w:rPr>
          <w:rFonts w:ascii="Arial" w:eastAsia="Arial" w:hAnsi="Arial" w:cs="Arial"/>
          <w:sz w:val="20"/>
          <w:szCs w:val="20"/>
        </w:rPr>
        <w:t>locally-led</w:t>
      </w:r>
      <w:proofErr w:type="gramEnd"/>
      <w:r w:rsidRPr="00306F4D">
        <w:rPr>
          <w:rFonts w:ascii="Arial" w:eastAsia="Arial" w:hAnsi="Arial" w:cs="Arial"/>
          <w:sz w:val="20"/>
          <w:szCs w:val="20"/>
        </w:rPr>
        <w:t xml:space="preserve"> adaptation innovation. According to the Climate Policy Initiative, only US$22 billion per year globally is allocated to climate adaptation, compared to over US$436 billion for mitigation</w:t>
      </w:r>
      <w:r w:rsidR="3B916348" w:rsidRPr="00306F4D">
        <w:rPr>
          <w:rStyle w:val="FootnoteReference"/>
          <w:rFonts w:ascii="Arial" w:eastAsia="Arial" w:hAnsi="Arial" w:cs="Arial"/>
          <w:sz w:val="20"/>
          <w:szCs w:val="20"/>
        </w:rPr>
        <w:footnoteReference w:id="125"/>
      </w:r>
      <w:r w:rsidRPr="00306F4D">
        <w:rPr>
          <w:rFonts w:ascii="Arial" w:eastAsia="Arial" w:hAnsi="Arial" w:cs="Arial"/>
          <w:sz w:val="20"/>
          <w:szCs w:val="20"/>
        </w:rPr>
        <w:t xml:space="preserve">. This underfunding is partly due to the complexity of adaptation, as it lacks a single, standardized measure like greenhouse gas emissions, making it harder to track and fund. Moreover, there is no “one size fits all” solution to adaptation challenges, further explaining why it has received less attention and funding. </w:t>
      </w:r>
      <w:proofErr w:type="gramStart"/>
      <w:r w:rsidRPr="00306F4D">
        <w:rPr>
          <w:rFonts w:ascii="Arial" w:eastAsia="Arial" w:hAnsi="Arial" w:cs="Arial"/>
          <w:sz w:val="20"/>
          <w:szCs w:val="20"/>
        </w:rPr>
        <w:t>Locally-led</w:t>
      </w:r>
      <w:proofErr w:type="gramEnd"/>
      <w:r w:rsidRPr="00306F4D">
        <w:rPr>
          <w:rFonts w:ascii="Arial" w:eastAsia="Arial" w:hAnsi="Arial" w:cs="Arial"/>
          <w:sz w:val="20"/>
          <w:szCs w:val="20"/>
        </w:rPr>
        <w:t xml:space="preserve"> adaptation </w:t>
      </w:r>
      <w:r w:rsidRPr="00306F4D">
        <w:rPr>
          <w:rFonts w:ascii="Arial" w:eastAsia="Arial" w:hAnsi="Arial" w:cs="Arial"/>
          <w:sz w:val="20"/>
          <w:szCs w:val="20"/>
        </w:rPr>
        <w:lastRenderedPageBreak/>
        <w:t xml:space="preserve">innovation represents a key opportunity, particularly in the Western Balkans, where diverse and non-standard solutions can be developed to address climate risks. Entrepreneurship, whether non-profit, social, for-profit, or in partnership models, is an effective approach to generating </w:t>
      </w:r>
      <w:proofErr w:type="gramStart"/>
      <w:r w:rsidRPr="00306F4D">
        <w:rPr>
          <w:rFonts w:ascii="Arial" w:eastAsia="Arial" w:hAnsi="Arial" w:cs="Arial"/>
          <w:sz w:val="20"/>
          <w:szCs w:val="20"/>
        </w:rPr>
        <w:t>locally-led</w:t>
      </w:r>
      <w:proofErr w:type="gramEnd"/>
      <w:r w:rsidRPr="00306F4D">
        <w:rPr>
          <w:rFonts w:ascii="Arial" w:eastAsia="Arial" w:hAnsi="Arial" w:cs="Arial"/>
          <w:sz w:val="20"/>
          <w:szCs w:val="20"/>
        </w:rPr>
        <w:t>, innovative solutions to adaptation challenges.</w:t>
      </w:r>
    </w:p>
    <w:p w14:paraId="008AFE2D" w14:textId="408023B9" w:rsidR="3B916348" w:rsidRPr="00306F4D" w:rsidRDefault="5CF68E45" w:rsidP="4186447D">
      <w:pPr>
        <w:spacing w:before="240" w:after="240" w:line="276" w:lineRule="auto"/>
        <w:jc w:val="both"/>
        <w:rPr>
          <w:rFonts w:ascii="Arial" w:eastAsia="Arial" w:hAnsi="Arial" w:cs="Arial"/>
          <w:sz w:val="20"/>
          <w:szCs w:val="20"/>
        </w:rPr>
      </w:pPr>
      <w:r w:rsidRPr="00306F4D">
        <w:rPr>
          <w:rFonts w:ascii="Arial" w:eastAsia="Arial" w:hAnsi="Arial" w:cs="Arial"/>
          <w:sz w:val="20"/>
          <w:szCs w:val="20"/>
        </w:rPr>
        <w:t xml:space="preserve">However, adaptation finance for NGOs, CSOs, and Micro, Small, and Medium-sized Enterprises (MSMEs) remains scarce. The </w:t>
      </w:r>
      <w:r w:rsidR="2D0A84FB" w:rsidRPr="00306F4D">
        <w:rPr>
          <w:rFonts w:ascii="Arial" w:eastAsia="Arial" w:hAnsi="Arial" w:cs="Arial"/>
          <w:sz w:val="20"/>
          <w:szCs w:val="20"/>
        </w:rPr>
        <w:t xml:space="preserve">finance </w:t>
      </w:r>
      <w:r w:rsidRPr="00306F4D">
        <w:rPr>
          <w:rFonts w:ascii="Arial" w:eastAsia="Arial" w:hAnsi="Arial" w:cs="Arial"/>
          <w:sz w:val="20"/>
          <w:szCs w:val="20"/>
        </w:rPr>
        <w:t xml:space="preserve">gap between </w:t>
      </w:r>
      <w:r w:rsidR="79CBAEAB" w:rsidRPr="00306F4D">
        <w:rPr>
          <w:rFonts w:ascii="Arial" w:eastAsia="Arial" w:hAnsi="Arial" w:cs="Arial"/>
          <w:sz w:val="20"/>
          <w:szCs w:val="20"/>
        </w:rPr>
        <w:t xml:space="preserve">NGOs, CSOs, and Micro, Small, and MSMEs </w:t>
      </w:r>
      <w:r w:rsidRPr="00306F4D">
        <w:rPr>
          <w:rFonts w:ascii="Arial" w:eastAsia="Arial" w:hAnsi="Arial" w:cs="Arial"/>
          <w:sz w:val="20"/>
          <w:szCs w:val="20"/>
        </w:rPr>
        <w:t>and private sector finance</w:t>
      </w:r>
      <w:r w:rsidR="275659E7" w:rsidRPr="00306F4D">
        <w:rPr>
          <w:rFonts w:ascii="Arial" w:eastAsia="Arial" w:hAnsi="Arial" w:cs="Arial"/>
          <w:sz w:val="20"/>
          <w:szCs w:val="20"/>
        </w:rPr>
        <w:t xml:space="preserve"> </w:t>
      </w:r>
      <w:r w:rsidRPr="00306F4D">
        <w:rPr>
          <w:rFonts w:ascii="Arial" w:eastAsia="Arial" w:hAnsi="Arial" w:cs="Arial"/>
          <w:sz w:val="20"/>
          <w:szCs w:val="20"/>
        </w:rPr>
        <w:t xml:space="preserve">continues to hinder the scalability of </w:t>
      </w:r>
      <w:r w:rsidR="79229AE7" w:rsidRPr="00306F4D">
        <w:rPr>
          <w:rFonts w:ascii="Arial" w:eastAsia="Arial" w:hAnsi="Arial" w:cs="Arial"/>
          <w:sz w:val="20"/>
          <w:szCs w:val="20"/>
        </w:rPr>
        <w:t xml:space="preserve">local </w:t>
      </w:r>
      <w:r w:rsidRPr="00306F4D">
        <w:rPr>
          <w:rFonts w:ascii="Arial" w:eastAsia="Arial" w:hAnsi="Arial" w:cs="Arial"/>
          <w:sz w:val="20"/>
          <w:szCs w:val="20"/>
        </w:rPr>
        <w:t xml:space="preserve">innovative solutions. Traditionally, small, community-based initiatives have limited access to funding, relying primarily on donations or local grants. These initiatives </w:t>
      </w:r>
      <w:r w:rsidR="6C6B6E5B" w:rsidRPr="00306F4D">
        <w:rPr>
          <w:rFonts w:ascii="Arial" w:eastAsia="Arial" w:hAnsi="Arial" w:cs="Arial"/>
          <w:sz w:val="20"/>
          <w:szCs w:val="20"/>
        </w:rPr>
        <w:t xml:space="preserve">falling under the “missing middle” group </w:t>
      </w:r>
      <w:r w:rsidRPr="00306F4D">
        <w:rPr>
          <w:rFonts w:ascii="Arial" w:eastAsia="Arial" w:hAnsi="Arial" w:cs="Arial"/>
          <w:sz w:val="20"/>
          <w:szCs w:val="20"/>
        </w:rPr>
        <w:t xml:space="preserve">remain largely excluded from larger, transformative funding mechanisms typically available through private finance. </w:t>
      </w:r>
    </w:p>
    <w:p w14:paraId="780D10DA" w14:textId="6D1E41CD" w:rsidR="3B916348" w:rsidRPr="00306F4D" w:rsidRDefault="07B275A7" w:rsidP="4186447D">
      <w:pPr>
        <w:spacing w:before="240" w:after="240" w:line="276" w:lineRule="auto"/>
        <w:jc w:val="both"/>
        <w:rPr>
          <w:rFonts w:ascii="Arial" w:eastAsia="Arial" w:hAnsi="Arial" w:cs="Arial"/>
          <w:sz w:val="20"/>
          <w:szCs w:val="20"/>
        </w:rPr>
      </w:pPr>
      <w:r w:rsidRPr="00306F4D">
        <w:rPr>
          <w:rFonts w:ascii="Arial" w:eastAsia="Arial" w:hAnsi="Arial" w:cs="Arial"/>
          <w:sz w:val="20"/>
          <w:szCs w:val="20"/>
        </w:rPr>
        <w:t xml:space="preserve">As identified in </w:t>
      </w:r>
      <w:proofErr w:type="gramStart"/>
      <w:r w:rsidRPr="00306F4D">
        <w:rPr>
          <w:rFonts w:ascii="Arial" w:eastAsia="Arial" w:hAnsi="Arial" w:cs="Arial"/>
          <w:sz w:val="20"/>
          <w:szCs w:val="20"/>
        </w:rPr>
        <w:t>a</w:t>
      </w:r>
      <w:proofErr w:type="gramEnd"/>
      <w:r w:rsidRPr="00306F4D">
        <w:rPr>
          <w:rFonts w:ascii="Arial" w:eastAsia="Arial" w:hAnsi="Arial" w:cs="Arial"/>
          <w:sz w:val="20"/>
          <w:szCs w:val="20"/>
        </w:rPr>
        <w:t xml:space="preserve"> OECD/UNCDF report (2020; p.112)</w:t>
      </w:r>
      <w:r w:rsidR="3B916348" w:rsidRPr="00306F4D">
        <w:rPr>
          <w:rFonts w:ascii="Arial" w:eastAsia="Arial" w:hAnsi="Arial" w:cs="Arial"/>
          <w:sz w:val="20"/>
          <w:szCs w:val="20"/>
          <w:vertAlign w:val="superscript"/>
        </w:rPr>
        <w:footnoteReference w:id="126"/>
      </w:r>
      <w:r w:rsidRPr="00306F4D">
        <w:rPr>
          <w:rFonts w:ascii="Arial" w:eastAsia="Arial" w:hAnsi="Arial" w:cs="Arial"/>
          <w:sz w:val="20"/>
          <w:szCs w:val="20"/>
        </w:rPr>
        <w:t xml:space="preserve">, </w:t>
      </w:r>
      <w:r w:rsidR="06D60AC6" w:rsidRPr="00306F4D">
        <w:rPr>
          <w:rFonts w:ascii="Arial" w:eastAsia="Arial" w:hAnsi="Arial" w:cs="Arial"/>
          <w:sz w:val="20"/>
          <w:szCs w:val="20"/>
        </w:rPr>
        <w:t xml:space="preserve">the </w:t>
      </w:r>
      <w:r w:rsidRPr="00306F4D">
        <w:rPr>
          <w:rFonts w:ascii="Arial" w:eastAsia="Arial" w:hAnsi="Arial" w:cs="Arial"/>
          <w:sz w:val="20"/>
          <w:szCs w:val="20"/>
        </w:rPr>
        <w:t xml:space="preserve">Small and Medium Enterprises (SMEs) are vital to emerging economies, generating 70% of new jobs, contributing up to 40% of GDP, and act as important vehicles for innovation and community development. However, many </w:t>
      </w:r>
      <w:r w:rsidR="37D0B32A" w:rsidRPr="00306F4D">
        <w:rPr>
          <w:rFonts w:ascii="Arial" w:eastAsia="Arial" w:hAnsi="Arial" w:cs="Arial"/>
          <w:sz w:val="20"/>
          <w:szCs w:val="20"/>
        </w:rPr>
        <w:t xml:space="preserve">of these </w:t>
      </w:r>
      <w:r w:rsidRPr="00306F4D">
        <w:rPr>
          <w:rFonts w:ascii="Arial" w:eastAsia="Arial" w:hAnsi="Arial" w:cs="Arial"/>
          <w:sz w:val="20"/>
          <w:szCs w:val="20"/>
        </w:rPr>
        <w:t>SMEs fall into the “missing middle”—</w:t>
      </w:r>
      <w:r w:rsidR="52D38A28" w:rsidRPr="00306F4D">
        <w:rPr>
          <w:rFonts w:ascii="Arial" w:eastAsia="Arial" w:hAnsi="Arial" w:cs="Arial"/>
          <w:sz w:val="20"/>
          <w:szCs w:val="20"/>
        </w:rPr>
        <w:t xml:space="preserve">which means that they are </w:t>
      </w:r>
      <w:r w:rsidRPr="00306F4D">
        <w:rPr>
          <w:rFonts w:ascii="Arial" w:eastAsia="Arial" w:hAnsi="Arial" w:cs="Arial"/>
          <w:sz w:val="20"/>
          <w:szCs w:val="20"/>
        </w:rPr>
        <w:t>too large for microfinance, yet too small or risky for traditional banks and investors. Three main barriers contribute to this financing gap</w:t>
      </w:r>
      <w:r w:rsidR="6EC5A435" w:rsidRPr="00306F4D">
        <w:rPr>
          <w:rFonts w:ascii="Arial" w:eastAsia="Arial" w:hAnsi="Arial" w:cs="Arial"/>
          <w:sz w:val="20"/>
          <w:szCs w:val="20"/>
        </w:rPr>
        <w:t xml:space="preserve"> according to this </w:t>
      </w:r>
      <w:r w:rsidR="44BD71A3" w:rsidRPr="00306F4D">
        <w:rPr>
          <w:rFonts w:ascii="Arial" w:eastAsia="Arial" w:hAnsi="Arial" w:cs="Arial"/>
          <w:sz w:val="20"/>
          <w:szCs w:val="20"/>
        </w:rPr>
        <w:t>report</w:t>
      </w:r>
      <w:r w:rsidR="6EC5A435" w:rsidRPr="00306F4D">
        <w:rPr>
          <w:rFonts w:ascii="Arial" w:eastAsia="Arial" w:hAnsi="Arial" w:cs="Arial"/>
          <w:sz w:val="20"/>
          <w:szCs w:val="20"/>
        </w:rPr>
        <w:t xml:space="preserve"> are</w:t>
      </w:r>
      <w:r w:rsidRPr="00306F4D">
        <w:rPr>
          <w:rFonts w:ascii="Arial" w:eastAsia="Arial" w:hAnsi="Arial" w:cs="Arial"/>
          <w:sz w:val="20"/>
          <w:szCs w:val="20"/>
        </w:rPr>
        <w:t xml:space="preserve">: </w:t>
      </w:r>
    </w:p>
    <w:p w14:paraId="76F889D7" w14:textId="5D07CB41" w:rsidR="3B916348" w:rsidRPr="00306F4D" w:rsidRDefault="1E48D5F1" w:rsidP="00DC620C">
      <w:pPr>
        <w:pStyle w:val="ListParagraph"/>
        <w:numPr>
          <w:ilvl w:val="0"/>
          <w:numId w:val="93"/>
        </w:numPr>
        <w:spacing w:before="240" w:after="240" w:line="276" w:lineRule="auto"/>
        <w:jc w:val="both"/>
        <w:rPr>
          <w:rFonts w:ascii="Arial" w:eastAsia="Arial" w:hAnsi="Arial" w:cs="Arial"/>
          <w:color w:val="000000" w:themeColor="text1"/>
          <w:sz w:val="20"/>
          <w:szCs w:val="20"/>
        </w:rPr>
      </w:pPr>
      <w:r w:rsidRPr="00306F4D">
        <w:rPr>
          <w:rFonts w:ascii="Arial" w:eastAsia="Arial" w:hAnsi="Arial" w:cs="Arial"/>
          <w:sz w:val="20"/>
          <w:szCs w:val="20"/>
        </w:rPr>
        <w:t xml:space="preserve">High Transaction Costs – Similar effort is needed to assess SMEs as large firms, but with smaller returns. </w:t>
      </w:r>
    </w:p>
    <w:p w14:paraId="38885392" w14:textId="422F0427" w:rsidR="3B916348" w:rsidRPr="00306F4D" w:rsidRDefault="1E48D5F1" w:rsidP="00DC620C">
      <w:pPr>
        <w:pStyle w:val="ListParagraph"/>
        <w:numPr>
          <w:ilvl w:val="0"/>
          <w:numId w:val="93"/>
        </w:numPr>
        <w:spacing w:before="240" w:after="240" w:line="276" w:lineRule="auto"/>
        <w:jc w:val="both"/>
        <w:rPr>
          <w:rFonts w:ascii="Arial" w:eastAsia="Arial" w:hAnsi="Arial" w:cs="Arial"/>
          <w:color w:val="000000" w:themeColor="text1"/>
          <w:sz w:val="20"/>
          <w:szCs w:val="20"/>
        </w:rPr>
      </w:pPr>
      <w:r w:rsidRPr="00306F4D">
        <w:rPr>
          <w:rFonts w:ascii="Arial" w:eastAsia="Arial" w:hAnsi="Arial" w:cs="Arial"/>
          <w:sz w:val="20"/>
          <w:szCs w:val="20"/>
        </w:rPr>
        <w:t xml:space="preserve">Risk Perception – SMEs often lack collateral, financial history, or sector familiarity, making them appear riskier. </w:t>
      </w:r>
    </w:p>
    <w:p w14:paraId="1C34C060" w14:textId="45F70A20" w:rsidR="3B916348" w:rsidRPr="00306F4D" w:rsidRDefault="1E48D5F1" w:rsidP="00DC620C">
      <w:pPr>
        <w:pStyle w:val="ListParagraph"/>
        <w:numPr>
          <w:ilvl w:val="0"/>
          <w:numId w:val="93"/>
        </w:numPr>
        <w:spacing w:before="240" w:after="240" w:line="276" w:lineRule="auto"/>
        <w:jc w:val="both"/>
        <w:rPr>
          <w:rFonts w:ascii="Arial" w:eastAsia="Arial" w:hAnsi="Arial" w:cs="Arial"/>
          <w:color w:val="000000" w:themeColor="text1"/>
          <w:sz w:val="20"/>
          <w:szCs w:val="20"/>
        </w:rPr>
      </w:pPr>
      <w:r w:rsidRPr="00306F4D">
        <w:rPr>
          <w:rFonts w:ascii="Arial" w:eastAsia="Arial" w:hAnsi="Arial" w:cs="Arial"/>
          <w:sz w:val="20"/>
          <w:szCs w:val="20"/>
        </w:rPr>
        <w:t>Investment Readiness – Many SMEs lack the skills to present strong financial models and business plans to attract formal investment.</w:t>
      </w:r>
    </w:p>
    <w:p w14:paraId="2CB4831D" w14:textId="65CD4F2B" w:rsidR="3B916348" w:rsidRPr="00306F4D" w:rsidRDefault="5CF68E45" w:rsidP="4186447D">
      <w:pPr>
        <w:spacing w:before="240" w:after="240" w:line="276" w:lineRule="auto"/>
        <w:jc w:val="both"/>
        <w:rPr>
          <w:rFonts w:ascii="Arial" w:eastAsia="Arial" w:hAnsi="Arial" w:cs="Arial"/>
          <w:sz w:val="20"/>
          <w:szCs w:val="20"/>
        </w:rPr>
      </w:pPr>
      <w:r w:rsidRPr="00306F4D">
        <w:rPr>
          <w:rFonts w:ascii="Arial" w:eastAsia="Arial" w:hAnsi="Arial" w:cs="Arial"/>
          <w:sz w:val="20"/>
          <w:szCs w:val="20"/>
        </w:rPr>
        <w:t>Th</w:t>
      </w:r>
      <w:r w:rsidR="628990C1" w:rsidRPr="00306F4D">
        <w:rPr>
          <w:rFonts w:ascii="Arial" w:eastAsia="Arial" w:hAnsi="Arial" w:cs="Arial"/>
          <w:sz w:val="20"/>
          <w:szCs w:val="20"/>
        </w:rPr>
        <w:t>e above</w:t>
      </w:r>
      <w:r w:rsidRPr="00306F4D">
        <w:rPr>
          <w:rFonts w:ascii="Arial" w:eastAsia="Arial" w:hAnsi="Arial" w:cs="Arial"/>
          <w:sz w:val="20"/>
          <w:szCs w:val="20"/>
        </w:rPr>
        <w:t xml:space="preserve"> is particularly evident in the Western Balkans, where high capital costs and concerns over ownership deter innovators and entrepreneurs from accessing equity, while non-profits and social enterprises face even greater challenges due to the unsuitability of traditional financing models. As a result, the capacity to scale and invest in </w:t>
      </w:r>
      <w:proofErr w:type="gramStart"/>
      <w:r w:rsidRPr="00306F4D">
        <w:rPr>
          <w:rFonts w:ascii="Arial" w:eastAsia="Arial" w:hAnsi="Arial" w:cs="Arial"/>
          <w:sz w:val="20"/>
          <w:szCs w:val="20"/>
        </w:rPr>
        <w:t>locally-led</w:t>
      </w:r>
      <w:proofErr w:type="gramEnd"/>
      <w:r w:rsidRPr="00306F4D">
        <w:rPr>
          <w:rFonts w:ascii="Arial" w:eastAsia="Arial" w:hAnsi="Arial" w:cs="Arial"/>
          <w:sz w:val="20"/>
          <w:szCs w:val="20"/>
        </w:rPr>
        <w:t xml:space="preserve"> adaptation solutions are severely constrained.</w:t>
      </w:r>
    </w:p>
    <w:p w14:paraId="099CE232" w14:textId="2FF3CA94" w:rsidR="441409A5" w:rsidRPr="00306F4D" w:rsidRDefault="5CF68E45" w:rsidP="000B29E6">
      <w:p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rPr>
        <w:t xml:space="preserve">Early-stage investments in adaptation are crucial to reducing long-term costs, preventing climate-related losses, and generating substantial returns. These investments will also yield co-benefits, such as improved public health, biodiversity restoration, and the creation of sustainable local economies. By addressing these challenges, this regional project will help bridge the existing finance gaps, foster </w:t>
      </w:r>
      <w:proofErr w:type="gramStart"/>
      <w:r w:rsidRPr="00306F4D">
        <w:rPr>
          <w:rFonts w:ascii="Arial" w:eastAsia="Arial" w:hAnsi="Arial" w:cs="Arial"/>
          <w:sz w:val="20"/>
          <w:szCs w:val="20"/>
        </w:rPr>
        <w:t>locally-led</w:t>
      </w:r>
      <w:proofErr w:type="gramEnd"/>
      <w:r w:rsidRPr="00306F4D">
        <w:rPr>
          <w:rFonts w:ascii="Arial" w:eastAsia="Arial" w:hAnsi="Arial" w:cs="Arial"/>
          <w:sz w:val="20"/>
          <w:szCs w:val="20"/>
        </w:rPr>
        <w:t xml:space="preserve"> innovations, and support the broader goal of enhancing climate resilience across the Western Balkans.</w:t>
      </w:r>
    </w:p>
    <w:p w14:paraId="33709BBF" w14:textId="18D434AC" w:rsidR="3548B78D" w:rsidRPr="00306F4D" w:rsidRDefault="4D0156BA" w:rsidP="000B29E6">
      <w:pPr>
        <w:pStyle w:val="Heading1"/>
        <w:ind w:left="0" w:firstLine="0"/>
        <w:rPr>
          <w:sz w:val="20"/>
          <w:szCs w:val="20"/>
          <w:lang w:val="en-GB"/>
        </w:rPr>
      </w:pPr>
      <w:bookmarkStart w:id="50" w:name="_Toc202165703"/>
      <w:bookmarkStart w:id="51" w:name="_Toc473225807"/>
      <w:bookmarkStart w:id="52" w:name="_Toc180993257"/>
      <w:bookmarkStart w:id="53" w:name="_Toc202893733"/>
      <w:r w:rsidRPr="00306F4D">
        <w:rPr>
          <w:sz w:val="20"/>
          <w:szCs w:val="20"/>
          <w:lang w:val="en-GB"/>
        </w:rPr>
        <w:t>Project</w:t>
      </w:r>
      <w:r w:rsidR="0A170161" w:rsidRPr="00306F4D">
        <w:rPr>
          <w:sz w:val="20"/>
          <w:szCs w:val="20"/>
          <w:lang w:val="en-GB"/>
        </w:rPr>
        <w:t xml:space="preserve"> </w:t>
      </w:r>
      <w:r w:rsidRPr="00306F4D">
        <w:rPr>
          <w:sz w:val="20"/>
          <w:szCs w:val="20"/>
          <w:lang w:val="en-GB"/>
        </w:rPr>
        <w:t>Objectives</w:t>
      </w:r>
      <w:bookmarkEnd w:id="50"/>
      <w:bookmarkEnd w:id="51"/>
      <w:bookmarkEnd w:id="52"/>
      <w:bookmarkEnd w:id="53"/>
    </w:p>
    <w:p w14:paraId="72F79C7C" w14:textId="77777777" w:rsidR="00BC3363" w:rsidRPr="00306F4D" w:rsidRDefault="4FD74B97" w:rsidP="00181223">
      <w:pPr>
        <w:pStyle w:val="NormalWeb"/>
        <w:spacing w:line="276" w:lineRule="auto"/>
        <w:jc w:val="both"/>
        <w:rPr>
          <w:rFonts w:ascii="Arial" w:eastAsia="Arial" w:hAnsi="Arial" w:cs="Arial"/>
          <w:sz w:val="20"/>
          <w:szCs w:val="20"/>
        </w:rPr>
      </w:pPr>
      <w:r w:rsidRPr="00306F4D">
        <w:rPr>
          <w:rFonts w:ascii="Arial" w:eastAsia="Arial" w:hAnsi="Arial" w:cs="Arial"/>
          <w:sz w:val="20"/>
          <w:szCs w:val="20"/>
        </w:rPr>
        <w:t xml:space="preserve">The objective of the Regional Project is to </w:t>
      </w:r>
      <w:r w:rsidRPr="00306F4D">
        <w:rPr>
          <w:rStyle w:val="Strong"/>
          <w:rFonts w:ascii="Arial" w:eastAsia="Arial" w:hAnsi="Arial" w:cs="Arial"/>
          <w:sz w:val="20"/>
          <w:szCs w:val="20"/>
        </w:rPr>
        <w:t xml:space="preserve">accelerate </w:t>
      </w:r>
      <w:proofErr w:type="gramStart"/>
      <w:r w:rsidR="2E95E645" w:rsidRPr="00306F4D">
        <w:rPr>
          <w:rStyle w:val="Strong"/>
          <w:rFonts w:ascii="Arial" w:eastAsia="Arial" w:hAnsi="Arial" w:cs="Arial"/>
          <w:sz w:val="20"/>
          <w:szCs w:val="20"/>
        </w:rPr>
        <w:t>locally-led</w:t>
      </w:r>
      <w:proofErr w:type="gramEnd"/>
      <w:r w:rsidR="2E95E645" w:rsidRPr="00306F4D">
        <w:rPr>
          <w:rStyle w:val="Strong"/>
          <w:rFonts w:ascii="Arial" w:eastAsia="Arial" w:hAnsi="Arial" w:cs="Arial"/>
          <w:sz w:val="20"/>
          <w:szCs w:val="20"/>
        </w:rPr>
        <w:t xml:space="preserve"> climate change </w:t>
      </w:r>
      <w:r w:rsidRPr="00306F4D">
        <w:rPr>
          <w:rStyle w:val="Strong"/>
          <w:rFonts w:ascii="Arial" w:eastAsia="Arial" w:hAnsi="Arial" w:cs="Arial"/>
          <w:sz w:val="20"/>
          <w:szCs w:val="20"/>
        </w:rPr>
        <w:t>adaptation innovation</w:t>
      </w:r>
      <w:r w:rsidRPr="00306F4D">
        <w:rPr>
          <w:rFonts w:ascii="Arial" w:eastAsia="Arial" w:hAnsi="Arial" w:cs="Arial"/>
          <w:sz w:val="20"/>
          <w:szCs w:val="20"/>
        </w:rPr>
        <w:t xml:space="preserve"> in Bosnia and Herzegovina, Montenegro, North Macedonia, and Serbia by applying an </w:t>
      </w:r>
      <w:r w:rsidR="1B69E060" w:rsidRPr="00306F4D">
        <w:rPr>
          <w:rStyle w:val="Strong"/>
          <w:rFonts w:ascii="Arial" w:eastAsia="Arial" w:hAnsi="Arial" w:cs="Arial"/>
          <w:sz w:val="20"/>
          <w:szCs w:val="20"/>
        </w:rPr>
        <w:t>enterprise</w:t>
      </w:r>
      <w:r w:rsidRPr="00306F4D">
        <w:rPr>
          <w:rStyle w:val="Strong"/>
          <w:rFonts w:ascii="Arial" w:eastAsia="Arial" w:hAnsi="Arial" w:cs="Arial"/>
          <w:sz w:val="20"/>
          <w:szCs w:val="20"/>
        </w:rPr>
        <w:t xml:space="preserve"> development approach</w:t>
      </w:r>
      <w:r w:rsidRPr="00306F4D">
        <w:rPr>
          <w:rFonts w:ascii="Arial" w:eastAsia="Arial" w:hAnsi="Arial" w:cs="Arial"/>
          <w:sz w:val="20"/>
          <w:szCs w:val="20"/>
        </w:rPr>
        <w:t xml:space="preserve"> that strengthens </w:t>
      </w:r>
      <w:r w:rsidRPr="00306F4D">
        <w:rPr>
          <w:rStyle w:val="Strong"/>
          <w:rFonts w:ascii="Arial" w:eastAsia="Arial" w:hAnsi="Arial" w:cs="Arial"/>
          <w:sz w:val="20"/>
          <w:szCs w:val="20"/>
        </w:rPr>
        <w:t>regional collaboration</w:t>
      </w:r>
      <w:r w:rsidRPr="00306F4D">
        <w:rPr>
          <w:rFonts w:ascii="Arial" w:eastAsia="Arial" w:hAnsi="Arial" w:cs="Arial"/>
          <w:sz w:val="20"/>
          <w:szCs w:val="20"/>
        </w:rPr>
        <w:t xml:space="preserve">, promotes </w:t>
      </w:r>
      <w:r w:rsidRPr="00306F4D">
        <w:rPr>
          <w:rStyle w:val="Strong"/>
          <w:rFonts w:ascii="Arial" w:eastAsia="Arial" w:hAnsi="Arial" w:cs="Arial"/>
          <w:sz w:val="20"/>
          <w:szCs w:val="20"/>
        </w:rPr>
        <w:t>gender equality</w:t>
      </w:r>
      <w:r w:rsidR="661B9BB3" w:rsidRPr="00306F4D">
        <w:rPr>
          <w:rStyle w:val="Strong"/>
          <w:rFonts w:ascii="Arial" w:eastAsia="Arial" w:hAnsi="Arial" w:cs="Arial"/>
          <w:sz w:val="20"/>
          <w:szCs w:val="20"/>
        </w:rPr>
        <w:t>,</w:t>
      </w:r>
      <w:r w:rsidR="5180F9D3" w:rsidRPr="00306F4D">
        <w:rPr>
          <w:rStyle w:val="Strong"/>
          <w:rFonts w:ascii="Arial" w:eastAsia="Arial" w:hAnsi="Arial" w:cs="Arial"/>
          <w:sz w:val="20"/>
          <w:szCs w:val="20"/>
        </w:rPr>
        <w:t xml:space="preserve"> </w:t>
      </w:r>
      <w:r w:rsidRPr="00306F4D">
        <w:rPr>
          <w:rStyle w:val="Strong"/>
          <w:rFonts w:ascii="Arial" w:eastAsia="Arial" w:hAnsi="Arial" w:cs="Arial"/>
          <w:sz w:val="20"/>
          <w:szCs w:val="20"/>
        </w:rPr>
        <w:t>women’s empowerment</w:t>
      </w:r>
      <w:r w:rsidR="661B9BB3" w:rsidRPr="00306F4D">
        <w:rPr>
          <w:rStyle w:val="Strong"/>
          <w:rFonts w:ascii="Arial" w:eastAsia="Arial" w:hAnsi="Arial" w:cs="Arial"/>
          <w:sz w:val="20"/>
          <w:szCs w:val="20"/>
        </w:rPr>
        <w:t xml:space="preserve"> and social inclusion</w:t>
      </w:r>
      <w:r w:rsidRPr="00306F4D">
        <w:rPr>
          <w:rFonts w:ascii="Arial" w:eastAsia="Arial" w:hAnsi="Arial" w:cs="Arial"/>
          <w:sz w:val="20"/>
          <w:szCs w:val="20"/>
        </w:rPr>
        <w:t xml:space="preserve">, supports </w:t>
      </w:r>
      <w:r w:rsidR="5180F9D3" w:rsidRPr="00306F4D">
        <w:rPr>
          <w:rStyle w:val="Strong"/>
          <w:rFonts w:ascii="Arial" w:eastAsia="Arial" w:hAnsi="Arial" w:cs="Arial"/>
          <w:sz w:val="20"/>
          <w:szCs w:val="20"/>
        </w:rPr>
        <w:t>community-based</w:t>
      </w:r>
      <w:r w:rsidRPr="00306F4D">
        <w:rPr>
          <w:rStyle w:val="Strong"/>
          <w:rFonts w:ascii="Arial" w:eastAsia="Arial" w:hAnsi="Arial" w:cs="Arial"/>
          <w:sz w:val="20"/>
          <w:szCs w:val="20"/>
        </w:rPr>
        <w:t xml:space="preserve"> innovation</w:t>
      </w:r>
      <w:r w:rsidRPr="00306F4D">
        <w:rPr>
          <w:rFonts w:ascii="Arial" w:eastAsia="Arial" w:hAnsi="Arial" w:cs="Arial"/>
          <w:sz w:val="20"/>
          <w:szCs w:val="20"/>
        </w:rPr>
        <w:t xml:space="preserve">, and </w:t>
      </w:r>
      <w:r w:rsidR="661B9BB3" w:rsidRPr="00306F4D">
        <w:rPr>
          <w:rFonts w:ascii="Arial" w:eastAsia="Arial" w:hAnsi="Arial" w:cs="Arial"/>
          <w:sz w:val="20"/>
          <w:szCs w:val="20"/>
        </w:rPr>
        <w:t xml:space="preserve">fosters learning and </w:t>
      </w:r>
      <w:r w:rsidRPr="00306F4D">
        <w:rPr>
          <w:rStyle w:val="Strong"/>
          <w:rFonts w:ascii="Arial" w:eastAsia="Arial" w:hAnsi="Arial" w:cs="Arial"/>
          <w:sz w:val="20"/>
          <w:szCs w:val="20"/>
        </w:rPr>
        <w:t>knowledge exchange</w:t>
      </w:r>
      <w:r w:rsidRPr="00306F4D">
        <w:rPr>
          <w:rFonts w:ascii="Arial" w:eastAsia="Arial" w:hAnsi="Arial" w:cs="Arial"/>
          <w:sz w:val="20"/>
          <w:szCs w:val="20"/>
        </w:rPr>
        <w:t xml:space="preserve"> at both regional and global levels.</w:t>
      </w:r>
      <w:r w:rsidR="00BC3363" w:rsidRPr="00306F4D">
        <w:rPr>
          <w:rFonts w:ascii="Arial" w:eastAsia="Arial" w:hAnsi="Arial" w:cs="Arial"/>
          <w:sz w:val="20"/>
          <w:szCs w:val="20"/>
        </w:rPr>
        <w:t xml:space="preserve"> </w:t>
      </w:r>
    </w:p>
    <w:p w14:paraId="61B10B95" w14:textId="1901F533" w:rsidR="63C5BB45" w:rsidRPr="00306F4D" w:rsidRDefault="78967E2F" w:rsidP="00BC3363">
      <w:pPr>
        <w:pStyle w:val="NormalWeb"/>
        <w:spacing w:line="276" w:lineRule="auto"/>
        <w:rPr>
          <w:rFonts w:ascii="Arial" w:eastAsia="Arial" w:hAnsi="Arial" w:cs="Arial"/>
          <w:sz w:val="20"/>
          <w:szCs w:val="20"/>
        </w:rPr>
      </w:pPr>
      <w:r w:rsidRPr="00306F4D">
        <w:rPr>
          <w:rFonts w:ascii="Arial" w:eastAsia="Arial" w:hAnsi="Arial" w:cs="Arial"/>
          <w:sz w:val="20"/>
          <w:szCs w:val="20"/>
        </w:rPr>
        <w:t>This objective will be achieved through the following three interlinked outcomes:</w:t>
      </w:r>
    </w:p>
    <w:p w14:paraId="7D097BF3" w14:textId="44B4A5DE" w:rsidR="009612A1" w:rsidRPr="00306F4D" w:rsidRDefault="55148367" w:rsidP="49C6F20D">
      <w:pPr>
        <w:pStyle w:val="ListParagraph"/>
        <w:numPr>
          <w:ilvl w:val="0"/>
          <w:numId w:val="43"/>
        </w:numPr>
        <w:spacing w:after="0" w:line="276" w:lineRule="auto"/>
        <w:jc w:val="both"/>
        <w:rPr>
          <w:rFonts w:ascii="Arial" w:eastAsia="Arial" w:hAnsi="Arial" w:cs="Arial"/>
          <w:color w:val="auto"/>
          <w:sz w:val="20"/>
          <w:szCs w:val="20"/>
        </w:rPr>
      </w:pPr>
      <w:r w:rsidRPr="00306F4D">
        <w:rPr>
          <w:rFonts w:ascii="Arial" w:eastAsia="Arial" w:hAnsi="Arial" w:cs="Arial"/>
          <w:b/>
          <w:color w:val="auto"/>
          <w:sz w:val="20"/>
          <w:szCs w:val="20"/>
        </w:rPr>
        <w:lastRenderedPageBreak/>
        <w:t>Outcome 1:</w:t>
      </w:r>
      <w:r w:rsidRPr="00306F4D">
        <w:rPr>
          <w:rFonts w:ascii="Arial" w:eastAsia="Arial" w:hAnsi="Arial" w:cs="Arial"/>
          <w:color w:val="auto"/>
          <w:sz w:val="20"/>
          <w:szCs w:val="20"/>
        </w:rPr>
        <w:t xml:space="preserve"> Development, promotion, and acceleration of </w:t>
      </w:r>
      <w:proofErr w:type="gramStart"/>
      <w:r w:rsidRPr="00306F4D">
        <w:rPr>
          <w:rFonts w:ascii="Arial" w:eastAsia="Arial" w:hAnsi="Arial" w:cs="Arial"/>
          <w:color w:val="auto"/>
          <w:sz w:val="20"/>
          <w:szCs w:val="20"/>
        </w:rPr>
        <w:t>locally-led</w:t>
      </w:r>
      <w:proofErr w:type="gramEnd"/>
      <w:r w:rsidRPr="00306F4D">
        <w:rPr>
          <w:rFonts w:ascii="Arial" w:eastAsia="Arial" w:hAnsi="Arial" w:cs="Arial"/>
          <w:color w:val="auto"/>
          <w:sz w:val="20"/>
          <w:szCs w:val="20"/>
        </w:rPr>
        <w:t xml:space="preserve"> innovative climate adaptation solutions in four </w:t>
      </w:r>
      <w:r w:rsidR="7575D9DC" w:rsidRPr="00306F4D">
        <w:rPr>
          <w:rFonts w:ascii="Arial" w:eastAsia="Arial" w:hAnsi="Arial" w:cs="Arial"/>
          <w:color w:val="auto"/>
          <w:sz w:val="20"/>
          <w:szCs w:val="20"/>
        </w:rPr>
        <w:t xml:space="preserve">Western </w:t>
      </w:r>
      <w:r w:rsidRPr="00306F4D">
        <w:rPr>
          <w:rFonts w:ascii="Arial" w:eastAsia="Arial" w:hAnsi="Arial" w:cs="Arial"/>
          <w:color w:val="auto"/>
          <w:sz w:val="20"/>
          <w:szCs w:val="20"/>
        </w:rPr>
        <w:t>Balkans countries, with particular emphasis on approaches that advance gender equality and women’s empowerment, and which address priority climate risks</w:t>
      </w:r>
      <w:r w:rsidR="071022D5" w:rsidRPr="00306F4D">
        <w:rPr>
          <w:rFonts w:ascii="Arial" w:eastAsia="Arial" w:hAnsi="Arial" w:cs="Arial"/>
          <w:color w:val="auto"/>
          <w:sz w:val="20"/>
          <w:szCs w:val="20"/>
        </w:rPr>
        <w:t>.</w:t>
      </w:r>
    </w:p>
    <w:p w14:paraId="2653456B" w14:textId="0C7F0C56" w:rsidR="002445BF" w:rsidRPr="00306F4D" w:rsidRDefault="002445BF" w:rsidP="49C6F20D">
      <w:pPr>
        <w:spacing w:after="0" w:line="276" w:lineRule="auto"/>
        <w:jc w:val="both"/>
        <w:rPr>
          <w:rFonts w:ascii="Arial" w:eastAsia="Arial" w:hAnsi="Arial" w:cs="Arial"/>
          <w:color w:val="auto"/>
          <w:sz w:val="20"/>
          <w:szCs w:val="20"/>
        </w:rPr>
      </w:pPr>
    </w:p>
    <w:p w14:paraId="144859AE" w14:textId="07F6CAB7" w:rsidR="00440AD6" w:rsidRPr="00306F4D" w:rsidRDefault="7DFB4829" w:rsidP="49C6F20D">
      <w:pPr>
        <w:pStyle w:val="ListParagraph"/>
        <w:numPr>
          <w:ilvl w:val="0"/>
          <w:numId w:val="43"/>
        </w:numPr>
        <w:spacing w:after="0" w:line="276" w:lineRule="auto"/>
        <w:jc w:val="both"/>
        <w:rPr>
          <w:rFonts w:ascii="Arial" w:eastAsia="Arial" w:hAnsi="Arial" w:cs="Arial"/>
          <w:color w:val="auto"/>
          <w:sz w:val="20"/>
          <w:szCs w:val="20"/>
        </w:rPr>
      </w:pPr>
      <w:r w:rsidRPr="00306F4D">
        <w:rPr>
          <w:rFonts w:ascii="Arial" w:eastAsia="Arial" w:hAnsi="Arial" w:cs="Arial"/>
          <w:b/>
          <w:color w:val="auto"/>
          <w:sz w:val="20"/>
          <w:szCs w:val="20"/>
        </w:rPr>
        <w:t xml:space="preserve">Outcome </w:t>
      </w:r>
      <w:r w:rsidR="21475420" w:rsidRPr="00306F4D">
        <w:rPr>
          <w:rFonts w:ascii="Arial" w:eastAsia="Arial" w:hAnsi="Arial" w:cs="Arial"/>
          <w:b/>
          <w:color w:val="auto"/>
          <w:sz w:val="20"/>
          <w:szCs w:val="20"/>
        </w:rPr>
        <w:t>2</w:t>
      </w:r>
      <w:r w:rsidRPr="00306F4D">
        <w:rPr>
          <w:rFonts w:ascii="Arial" w:eastAsia="Arial" w:hAnsi="Arial" w:cs="Arial"/>
          <w:b/>
          <w:color w:val="auto"/>
          <w:sz w:val="20"/>
          <w:szCs w:val="20"/>
        </w:rPr>
        <w:t>:</w:t>
      </w:r>
      <w:r w:rsidRPr="00306F4D">
        <w:rPr>
          <w:rFonts w:ascii="Arial" w:eastAsia="Arial" w:hAnsi="Arial" w:cs="Arial"/>
          <w:color w:val="auto"/>
          <w:sz w:val="20"/>
          <w:szCs w:val="20"/>
        </w:rPr>
        <w:t xml:space="preserve"> </w:t>
      </w:r>
      <w:r w:rsidR="5180F9D3" w:rsidRPr="00306F4D">
        <w:rPr>
          <w:rFonts w:ascii="Arial" w:eastAsia="Arial" w:hAnsi="Arial" w:cs="Arial"/>
          <w:color w:val="auto"/>
          <w:sz w:val="20"/>
          <w:szCs w:val="20"/>
        </w:rPr>
        <w:t>Selected adaptation innovations are strengthened and positioned for scale through tailored business development support, market testing, and identification of funding and financing pathways.</w:t>
      </w:r>
    </w:p>
    <w:p w14:paraId="2E070002" w14:textId="77777777" w:rsidR="00F6374C" w:rsidRPr="00306F4D" w:rsidRDefault="00F6374C" w:rsidP="49C6F20D">
      <w:pPr>
        <w:spacing w:after="0" w:line="276" w:lineRule="auto"/>
        <w:jc w:val="both"/>
        <w:rPr>
          <w:rFonts w:ascii="Arial" w:eastAsia="Arial" w:hAnsi="Arial" w:cs="Arial"/>
          <w:color w:val="auto"/>
          <w:sz w:val="20"/>
          <w:szCs w:val="20"/>
        </w:rPr>
      </w:pPr>
    </w:p>
    <w:p w14:paraId="549441B1" w14:textId="7D2076EA" w:rsidR="1575A02F" w:rsidRPr="00306F4D" w:rsidRDefault="21475420" w:rsidP="49C6F20D">
      <w:pPr>
        <w:pStyle w:val="ListParagraph"/>
        <w:numPr>
          <w:ilvl w:val="0"/>
          <w:numId w:val="43"/>
        </w:numPr>
        <w:spacing w:after="0" w:line="276" w:lineRule="auto"/>
        <w:jc w:val="both"/>
        <w:rPr>
          <w:rFonts w:ascii="Arial" w:eastAsia="Arial" w:hAnsi="Arial" w:cs="Arial"/>
          <w:color w:val="auto"/>
          <w:sz w:val="20"/>
          <w:szCs w:val="20"/>
        </w:rPr>
      </w:pPr>
      <w:r w:rsidRPr="00306F4D">
        <w:rPr>
          <w:rFonts w:ascii="Arial" w:eastAsia="Arial" w:hAnsi="Arial" w:cs="Arial"/>
          <w:b/>
          <w:color w:val="auto"/>
          <w:sz w:val="20"/>
          <w:szCs w:val="20"/>
        </w:rPr>
        <w:t>Outcome 3:</w:t>
      </w:r>
      <w:r w:rsidRPr="00306F4D">
        <w:rPr>
          <w:rFonts w:ascii="Arial" w:eastAsia="Arial" w:hAnsi="Arial" w:cs="Arial"/>
          <w:color w:val="auto"/>
          <w:sz w:val="20"/>
          <w:szCs w:val="20"/>
        </w:rPr>
        <w:t xml:space="preserve"> </w:t>
      </w:r>
      <w:r w:rsidR="5180F9D3" w:rsidRPr="00306F4D">
        <w:rPr>
          <w:rFonts w:ascii="Arial" w:eastAsia="Arial" w:hAnsi="Arial" w:cs="Arial"/>
          <w:color w:val="auto"/>
          <w:sz w:val="20"/>
          <w:szCs w:val="20"/>
        </w:rPr>
        <w:t>Knowledge, evidence, and lessons from adaptation innovations are captured, shared, and leveraged to inform replication, scale and policy engagement across the Western Balkans through regional learning platform and global networks</w:t>
      </w:r>
      <w:r w:rsidR="53102FEF" w:rsidRPr="00306F4D">
        <w:rPr>
          <w:rFonts w:ascii="Arial" w:eastAsia="Arial" w:hAnsi="Arial" w:cs="Arial"/>
          <w:color w:val="auto"/>
          <w:sz w:val="20"/>
          <w:szCs w:val="20"/>
        </w:rPr>
        <w:t>.</w:t>
      </w:r>
      <w:r w:rsidRPr="00306F4D">
        <w:rPr>
          <w:rFonts w:ascii="Arial" w:eastAsia="Arial" w:hAnsi="Arial" w:cs="Arial"/>
          <w:color w:val="auto"/>
          <w:sz w:val="20"/>
          <w:szCs w:val="20"/>
        </w:rPr>
        <w:t xml:space="preserve"> </w:t>
      </w:r>
    </w:p>
    <w:p w14:paraId="3359ED36" w14:textId="1F4253D7" w:rsidR="00F04FEE" w:rsidRPr="00306F4D" w:rsidRDefault="247662E9" w:rsidP="49C6F20D">
      <w:pPr>
        <w:spacing w:before="240" w:after="240" w:line="276" w:lineRule="auto"/>
        <w:jc w:val="both"/>
        <w:rPr>
          <w:rFonts w:ascii="Arial" w:eastAsia="Arial" w:hAnsi="Arial" w:cs="Arial"/>
          <w:b/>
          <w:sz w:val="20"/>
          <w:szCs w:val="20"/>
        </w:rPr>
      </w:pPr>
      <w:r w:rsidRPr="00306F4D">
        <w:rPr>
          <w:rFonts w:ascii="Arial" w:eastAsia="Arial" w:hAnsi="Arial" w:cs="Arial"/>
          <w:b/>
          <w:sz w:val="20"/>
          <w:szCs w:val="20"/>
        </w:rPr>
        <w:t>Overarching Development Outcome</w:t>
      </w:r>
      <w:r w:rsidR="00902136" w:rsidRPr="00306F4D">
        <w:rPr>
          <w:rFonts w:ascii="Arial" w:eastAsia="Arial" w:hAnsi="Arial" w:cs="Arial"/>
          <w:b/>
          <w:sz w:val="20"/>
          <w:szCs w:val="20"/>
        </w:rPr>
        <w:t xml:space="preserve"> </w:t>
      </w:r>
    </w:p>
    <w:p w14:paraId="2B2B0D2F" w14:textId="76B441D3" w:rsidR="00B11B3A" w:rsidRPr="00306F4D" w:rsidRDefault="4EF47730" w:rsidP="49C6F20D">
      <w:pPr>
        <w:spacing w:before="240" w:after="240" w:line="276" w:lineRule="auto"/>
        <w:jc w:val="both"/>
        <w:rPr>
          <w:rFonts w:ascii="Arial" w:eastAsia="Arial" w:hAnsi="Arial" w:cs="Arial"/>
          <w:sz w:val="20"/>
          <w:szCs w:val="20"/>
        </w:rPr>
      </w:pPr>
      <w:r w:rsidRPr="00306F4D" w:rsidDel="00FE05FB">
        <w:rPr>
          <w:rFonts w:ascii="Arial" w:eastAsia="Arial" w:hAnsi="Arial" w:cs="Arial"/>
          <w:sz w:val="20"/>
          <w:szCs w:val="20"/>
        </w:rPr>
        <w:t>The overarching goal of the project is to accelerate, develop, and promote innovation for effective, long-term,</w:t>
      </w:r>
      <w:r w:rsidR="11368B11" w:rsidRPr="00306F4D" w:rsidDel="00FE05FB">
        <w:rPr>
          <w:rFonts w:ascii="Arial" w:eastAsia="Arial" w:hAnsi="Arial" w:cs="Arial"/>
          <w:sz w:val="20"/>
          <w:szCs w:val="20"/>
        </w:rPr>
        <w:t xml:space="preserve"> </w:t>
      </w:r>
      <w:proofErr w:type="gramStart"/>
      <w:r w:rsidRPr="00306F4D" w:rsidDel="00FE05FB">
        <w:rPr>
          <w:rFonts w:ascii="Arial" w:eastAsia="Arial" w:hAnsi="Arial" w:cs="Arial"/>
          <w:sz w:val="20"/>
          <w:szCs w:val="20"/>
        </w:rPr>
        <w:t>locally-led</w:t>
      </w:r>
      <w:proofErr w:type="gramEnd"/>
      <w:r w:rsidRPr="00306F4D" w:rsidDel="00FE05FB">
        <w:rPr>
          <w:rFonts w:ascii="Arial" w:eastAsia="Arial" w:hAnsi="Arial" w:cs="Arial"/>
          <w:sz w:val="20"/>
          <w:szCs w:val="20"/>
        </w:rPr>
        <w:t xml:space="preserve"> adaptation to climate change in the four Western Balkans partner countries. Special emphasis will be placed on supporting vulnerable groups and advancing gender equity and women’s empowerment.</w:t>
      </w:r>
      <w:r w:rsidR="717DD7BD" w:rsidRPr="00306F4D" w:rsidDel="00FE05FB">
        <w:rPr>
          <w:rFonts w:ascii="Arial" w:eastAsia="Arial" w:hAnsi="Arial" w:cs="Arial"/>
          <w:sz w:val="20"/>
          <w:szCs w:val="20"/>
        </w:rPr>
        <w:t xml:space="preserve"> The</w:t>
      </w:r>
      <w:r w:rsidR="39F527E0" w:rsidRPr="00306F4D" w:rsidDel="00FE05FB">
        <w:rPr>
          <w:rFonts w:ascii="Arial" w:eastAsia="Arial" w:hAnsi="Arial" w:cs="Arial"/>
          <w:sz w:val="20"/>
          <w:szCs w:val="20"/>
        </w:rPr>
        <w:t xml:space="preserve"> innovative adaptation solutions will</w:t>
      </w:r>
      <w:r w:rsidR="7ECF4BF8" w:rsidRPr="00306F4D" w:rsidDel="00FE05FB">
        <w:rPr>
          <w:rFonts w:ascii="Arial" w:eastAsia="Arial" w:hAnsi="Arial" w:cs="Arial"/>
          <w:sz w:val="20"/>
          <w:szCs w:val="20"/>
        </w:rPr>
        <w:t xml:space="preserve"> address </w:t>
      </w:r>
      <w:r w:rsidR="24BBFD79" w:rsidRPr="00306F4D" w:rsidDel="00FE05FB">
        <w:rPr>
          <w:rFonts w:ascii="Arial" w:eastAsia="Arial" w:hAnsi="Arial" w:cs="Arial"/>
          <w:sz w:val="20"/>
          <w:szCs w:val="20"/>
        </w:rPr>
        <w:t>priority climate risks which affect the four Western Balkan countries as described in the baseline information of this proposal</w:t>
      </w:r>
      <w:r w:rsidR="643E900A" w:rsidRPr="00306F4D">
        <w:rPr>
          <w:rFonts w:ascii="Arial" w:eastAsia="Arial" w:hAnsi="Arial" w:cs="Arial"/>
          <w:sz w:val="20"/>
          <w:szCs w:val="20"/>
        </w:rPr>
        <w:t>.</w:t>
      </w:r>
    </w:p>
    <w:p w14:paraId="5BF1BC6B" w14:textId="6145751A" w:rsidR="00F04FEE" w:rsidRPr="00306F4D" w:rsidRDefault="247662E9" w:rsidP="49C6F20D">
      <w:pPr>
        <w:spacing w:before="240" w:after="240" w:line="276" w:lineRule="auto"/>
        <w:jc w:val="both"/>
        <w:rPr>
          <w:rFonts w:ascii="Arial" w:eastAsia="Arial" w:hAnsi="Arial" w:cs="Arial"/>
          <w:b/>
          <w:sz w:val="20"/>
          <w:szCs w:val="20"/>
        </w:rPr>
      </w:pPr>
      <w:r w:rsidRPr="00306F4D">
        <w:rPr>
          <w:rFonts w:ascii="Arial" w:eastAsia="Arial" w:hAnsi="Arial" w:cs="Arial"/>
          <w:b/>
          <w:sz w:val="20"/>
          <w:szCs w:val="20"/>
        </w:rPr>
        <w:t xml:space="preserve">Project Design and Implementation </w:t>
      </w:r>
      <w:r w:rsidR="3F7CC4AC" w:rsidRPr="00306F4D">
        <w:rPr>
          <w:rFonts w:ascii="Arial" w:eastAsia="Arial" w:hAnsi="Arial" w:cs="Arial"/>
          <w:b/>
          <w:sz w:val="20"/>
          <w:szCs w:val="20"/>
        </w:rPr>
        <w:t>Approach</w:t>
      </w:r>
    </w:p>
    <w:p w14:paraId="1F03943D" w14:textId="77777777" w:rsidR="00C17B0A" w:rsidRPr="00306F4D" w:rsidRDefault="2FC31B90" w:rsidP="00181223">
      <w:pPr>
        <w:spacing w:before="240" w:after="240" w:line="276" w:lineRule="auto"/>
        <w:jc w:val="both"/>
        <w:rPr>
          <w:rFonts w:ascii="Arial" w:eastAsia="Arial" w:hAnsi="Arial" w:cs="Arial"/>
          <w:sz w:val="20"/>
          <w:szCs w:val="20"/>
        </w:rPr>
      </w:pPr>
      <w:r w:rsidRPr="00306F4D">
        <w:rPr>
          <w:rFonts w:ascii="Arial" w:eastAsia="Arial" w:hAnsi="Arial" w:cs="Arial"/>
          <w:sz w:val="20"/>
          <w:szCs w:val="20"/>
        </w:rPr>
        <w:t>This project adopts a holistic ecosystem-building approach to strengthen climate resilience at local and regional levels. By integrating innovation, inclusion, and knowledge-sharing, the project aims to catalyze sustainable, community-driven adaptation. The main project approach is described as follows:</w:t>
      </w:r>
    </w:p>
    <w:p w14:paraId="675AA91F" w14:textId="77777777" w:rsidR="00C17B0A" w:rsidRPr="00306F4D" w:rsidRDefault="2FC31B90" w:rsidP="00181223">
      <w:pPr>
        <w:pStyle w:val="ListParagraph"/>
        <w:numPr>
          <w:ilvl w:val="0"/>
          <w:numId w:val="53"/>
        </w:numPr>
        <w:spacing w:before="240" w:after="240" w:line="276" w:lineRule="auto"/>
        <w:jc w:val="both"/>
        <w:rPr>
          <w:rFonts w:ascii="Arial" w:eastAsia="Arial" w:hAnsi="Arial" w:cs="Arial"/>
          <w:b/>
          <w:sz w:val="20"/>
          <w:szCs w:val="20"/>
        </w:rPr>
      </w:pPr>
      <w:r w:rsidRPr="00306F4D">
        <w:rPr>
          <w:rFonts w:ascii="Arial" w:eastAsia="Arial" w:hAnsi="Arial" w:cs="Arial"/>
          <w:b/>
          <w:sz w:val="20"/>
          <w:szCs w:val="20"/>
        </w:rPr>
        <w:t xml:space="preserve">Pilot </w:t>
      </w:r>
      <w:proofErr w:type="gramStart"/>
      <w:r w:rsidRPr="00306F4D">
        <w:rPr>
          <w:rFonts w:ascii="Arial" w:eastAsia="Arial" w:hAnsi="Arial" w:cs="Arial"/>
          <w:b/>
          <w:sz w:val="20"/>
          <w:szCs w:val="20"/>
        </w:rPr>
        <w:t>Locally-Led</w:t>
      </w:r>
      <w:proofErr w:type="gramEnd"/>
      <w:r w:rsidRPr="00306F4D">
        <w:rPr>
          <w:rFonts w:ascii="Arial" w:eastAsia="Arial" w:hAnsi="Arial" w:cs="Arial"/>
          <w:b/>
          <w:sz w:val="20"/>
          <w:szCs w:val="20"/>
        </w:rPr>
        <w:t xml:space="preserve"> Adaptation Technologies and Practices</w:t>
      </w:r>
    </w:p>
    <w:p w14:paraId="1C16F69C" w14:textId="1D516109" w:rsidR="00C17B0A" w:rsidRPr="00306F4D" w:rsidRDefault="2FC31B90" w:rsidP="00181223">
      <w:pPr>
        <w:spacing w:before="240" w:after="240" w:line="276" w:lineRule="auto"/>
        <w:jc w:val="both"/>
        <w:rPr>
          <w:rFonts w:ascii="Arial" w:eastAsia="Arial" w:hAnsi="Arial" w:cs="Arial"/>
          <w:sz w:val="20"/>
          <w:szCs w:val="20"/>
        </w:rPr>
      </w:pPr>
      <w:r w:rsidRPr="00306F4D">
        <w:rPr>
          <w:rFonts w:ascii="Arial" w:eastAsia="Arial" w:hAnsi="Arial" w:cs="Arial"/>
          <w:sz w:val="20"/>
          <w:szCs w:val="20"/>
        </w:rPr>
        <w:t>Objective: Empower communities to test and scale context-specific adaptation solutions.</w:t>
      </w:r>
    </w:p>
    <w:p w14:paraId="37FF8B2D" w14:textId="77777777" w:rsidR="00C17B0A" w:rsidRPr="00306F4D" w:rsidRDefault="2FC31B90" w:rsidP="00181223">
      <w:pPr>
        <w:spacing w:before="240" w:after="240" w:line="276" w:lineRule="auto"/>
        <w:jc w:val="both"/>
        <w:rPr>
          <w:rFonts w:ascii="Arial" w:eastAsia="Arial" w:hAnsi="Arial" w:cs="Arial"/>
          <w:sz w:val="20"/>
          <w:szCs w:val="20"/>
        </w:rPr>
      </w:pPr>
      <w:r w:rsidRPr="00306F4D">
        <w:rPr>
          <w:rFonts w:ascii="Arial" w:eastAsia="Arial" w:hAnsi="Arial" w:cs="Arial"/>
          <w:sz w:val="20"/>
          <w:szCs w:val="20"/>
        </w:rPr>
        <w:t>Could be achieved through:</w:t>
      </w:r>
    </w:p>
    <w:p w14:paraId="618B0248" w14:textId="77777777" w:rsidR="00C17B0A" w:rsidRPr="00306F4D" w:rsidRDefault="2FC31B90" w:rsidP="00181223">
      <w:pPr>
        <w:pStyle w:val="ListParagraph"/>
        <w:numPr>
          <w:ilvl w:val="0"/>
          <w:numId w:val="54"/>
        </w:numPr>
        <w:spacing w:before="240" w:after="240" w:line="276" w:lineRule="auto"/>
        <w:jc w:val="both"/>
        <w:rPr>
          <w:rFonts w:ascii="Arial" w:eastAsia="Arial" w:hAnsi="Arial" w:cs="Arial"/>
          <w:sz w:val="20"/>
          <w:szCs w:val="20"/>
        </w:rPr>
      </w:pPr>
      <w:r w:rsidRPr="00306F4D">
        <w:rPr>
          <w:rFonts w:ascii="Arial" w:eastAsia="Arial" w:hAnsi="Arial" w:cs="Arial"/>
          <w:sz w:val="20"/>
          <w:szCs w:val="20"/>
        </w:rPr>
        <w:t>Support demonstration projects in climate-resilient agriculture, water management, and nature-based solutions.</w:t>
      </w:r>
    </w:p>
    <w:p w14:paraId="2CE36231" w14:textId="77777777" w:rsidR="00C17B0A" w:rsidRPr="00306F4D" w:rsidRDefault="2FC31B90" w:rsidP="00181223">
      <w:pPr>
        <w:pStyle w:val="ListParagraph"/>
        <w:numPr>
          <w:ilvl w:val="0"/>
          <w:numId w:val="54"/>
        </w:numPr>
        <w:spacing w:before="240" w:after="240" w:line="276" w:lineRule="auto"/>
        <w:jc w:val="both"/>
        <w:rPr>
          <w:rFonts w:ascii="Arial" w:eastAsia="Arial" w:hAnsi="Arial" w:cs="Arial"/>
          <w:sz w:val="20"/>
          <w:szCs w:val="20"/>
        </w:rPr>
      </w:pPr>
      <w:r w:rsidRPr="00306F4D">
        <w:rPr>
          <w:rFonts w:ascii="Arial" w:eastAsia="Arial" w:hAnsi="Arial" w:cs="Arial"/>
          <w:sz w:val="20"/>
          <w:szCs w:val="20"/>
        </w:rPr>
        <w:t>Facilitate participatory design processes to ensure solutions are culturally appropriate and locally owned.</w:t>
      </w:r>
    </w:p>
    <w:p w14:paraId="2A3ACA11" w14:textId="77777777" w:rsidR="00C17B0A" w:rsidRPr="00306F4D" w:rsidRDefault="2FC31B90" w:rsidP="00181223">
      <w:pPr>
        <w:pStyle w:val="ListParagraph"/>
        <w:numPr>
          <w:ilvl w:val="0"/>
          <w:numId w:val="54"/>
        </w:numPr>
        <w:spacing w:before="240" w:after="240" w:line="276" w:lineRule="auto"/>
        <w:jc w:val="both"/>
        <w:rPr>
          <w:rFonts w:ascii="Arial" w:eastAsia="Arial" w:hAnsi="Arial" w:cs="Arial"/>
          <w:sz w:val="20"/>
          <w:szCs w:val="20"/>
        </w:rPr>
      </w:pPr>
      <w:r w:rsidRPr="00306F4D">
        <w:rPr>
          <w:rFonts w:ascii="Arial" w:eastAsia="Arial" w:hAnsi="Arial" w:cs="Arial"/>
          <w:sz w:val="20"/>
          <w:szCs w:val="20"/>
        </w:rPr>
        <w:t>Monitor and evaluate pilot outcomes to inform broader replication.</w:t>
      </w:r>
    </w:p>
    <w:p w14:paraId="2C66C6F8" w14:textId="77777777" w:rsidR="00C17B0A" w:rsidRPr="00306F4D" w:rsidRDefault="2FC31B90" w:rsidP="00181223">
      <w:pPr>
        <w:spacing w:before="240" w:after="240" w:line="276" w:lineRule="auto"/>
        <w:jc w:val="both"/>
        <w:rPr>
          <w:rFonts w:ascii="Arial" w:eastAsia="Arial" w:hAnsi="Arial" w:cs="Arial"/>
          <w:sz w:val="20"/>
          <w:szCs w:val="20"/>
        </w:rPr>
      </w:pPr>
      <w:r w:rsidRPr="00306F4D">
        <w:rPr>
          <w:rFonts w:ascii="Arial" w:eastAsia="Arial" w:hAnsi="Arial" w:cs="Arial"/>
          <w:sz w:val="20"/>
          <w:szCs w:val="20"/>
        </w:rPr>
        <w:t>Impact: Builds local capacity, enhances community ownership, and ensures solutions are grounded in real-world needs.</w:t>
      </w:r>
    </w:p>
    <w:p w14:paraId="7DEBD4EF" w14:textId="77777777" w:rsidR="00C17B0A" w:rsidRPr="00306F4D" w:rsidRDefault="2FC31B90" w:rsidP="00181223">
      <w:pPr>
        <w:spacing w:before="240" w:after="240" w:line="276" w:lineRule="auto"/>
        <w:jc w:val="both"/>
        <w:rPr>
          <w:rFonts w:ascii="Arial" w:eastAsia="Arial" w:hAnsi="Arial" w:cs="Arial"/>
          <w:b/>
          <w:sz w:val="20"/>
          <w:szCs w:val="20"/>
        </w:rPr>
      </w:pPr>
      <w:r w:rsidRPr="00306F4D">
        <w:rPr>
          <w:rFonts w:ascii="Arial" w:eastAsia="Arial" w:hAnsi="Arial" w:cs="Arial"/>
          <w:b/>
          <w:sz w:val="20"/>
          <w:szCs w:val="20"/>
        </w:rPr>
        <w:t>2. Incubate and Accelerate CSOs, NGOs, SMEs, and Cooperatives</w:t>
      </w:r>
    </w:p>
    <w:p w14:paraId="5B54C18B" w14:textId="77777777" w:rsidR="00C17B0A" w:rsidRPr="00306F4D" w:rsidRDefault="00C17B0A" w:rsidP="00181223">
      <w:pPr>
        <w:spacing w:before="240" w:after="240" w:line="276" w:lineRule="auto"/>
        <w:jc w:val="both"/>
        <w:rPr>
          <w:rFonts w:ascii="Arial" w:eastAsia="Arial" w:hAnsi="Arial" w:cs="Arial"/>
          <w:sz w:val="20"/>
          <w:szCs w:val="20"/>
        </w:rPr>
      </w:pPr>
      <w:r w:rsidRPr="00306F4D">
        <w:rPr>
          <w:rFonts w:ascii="Arial" w:eastAsia="Arial" w:hAnsi="Arial" w:cs="Arial"/>
          <w:sz w:val="20"/>
          <w:szCs w:val="20"/>
        </w:rPr>
        <w:t>Objective: Strengthen the innovation ecosystem by supporting grassroots and entrepreneurial actors.</w:t>
      </w:r>
    </w:p>
    <w:p w14:paraId="5D91E0EA" w14:textId="77777777" w:rsidR="00C17B0A" w:rsidRPr="00306F4D" w:rsidRDefault="00C17B0A" w:rsidP="00181223">
      <w:pPr>
        <w:spacing w:before="240" w:after="240" w:line="276" w:lineRule="auto"/>
        <w:jc w:val="both"/>
        <w:rPr>
          <w:rFonts w:ascii="Arial" w:eastAsia="Arial" w:hAnsi="Arial" w:cs="Arial"/>
          <w:sz w:val="20"/>
          <w:szCs w:val="20"/>
        </w:rPr>
      </w:pPr>
      <w:r w:rsidRPr="00306F4D">
        <w:rPr>
          <w:rFonts w:ascii="Arial" w:eastAsia="Arial" w:hAnsi="Arial" w:cs="Arial"/>
          <w:sz w:val="20"/>
          <w:szCs w:val="20"/>
        </w:rPr>
        <w:t>Could be achieved through:</w:t>
      </w:r>
    </w:p>
    <w:p w14:paraId="406E4EAB" w14:textId="77777777" w:rsidR="00C17B0A" w:rsidRPr="00306F4D" w:rsidRDefault="00C17B0A" w:rsidP="00181223">
      <w:pPr>
        <w:pStyle w:val="ListParagraph"/>
        <w:numPr>
          <w:ilvl w:val="0"/>
          <w:numId w:val="55"/>
        </w:numPr>
        <w:spacing w:before="240" w:after="240" w:line="276" w:lineRule="auto"/>
        <w:jc w:val="both"/>
        <w:rPr>
          <w:rFonts w:ascii="Arial" w:eastAsia="Arial" w:hAnsi="Arial" w:cs="Arial"/>
          <w:sz w:val="20"/>
          <w:szCs w:val="20"/>
        </w:rPr>
      </w:pPr>
      <w:r w:rsidRPr="00306F4D">
        <w:rPr>
          <w:rFonts w:ascii="Arial" w:eastAsia="Arial" w:hAnsi="Arial" w:cs="Arial"/>
          <w:sz w:val="20"/>
          <w:szCs w:val="20"/>
        </w:rPr>
        <w:t>Provide grant funding, mentorship, and technical assistance to early-stage climate adaptation initiatives.</w:t>
      </w:r>
    </w:p>
    <w:p w14:paraId="62CCD1E8" w14:textId="77777777" w:rsidR="00C17B0A" w:rsidRPr="00306F4D" w:rsidRDefault="00C17B0A" w:rsidP="00181223">
      <w:pPr>
        <w:pStyle w:val="ListParagraph"/>
        <w:numPr>
          <w:ilvl w:val="0"/>
          <w:numId w:val="55"/>
        </w:numPr>
        <w:spacing w:before="240" w:after="240" w:line="276" w:lineRule="auto"/>
        <w:jc w:val="both"/>
        <w:rPr>
          <w:rFonts w:ascii="Arial" w:eastAsia="Arial" w:hAnsi="Arial" w:cs="Arial"/>
          <w:sz w:val="20"/>
          <w:szCs w:val="20"/>
        </w:rPr>
      </w:pPr>
      <w:r w:rsidRPr="00306F4D">
        <w:rPr>
          <w:rFonts w:ascii="Arial" w:eastAsia="Arial" w:hAnsi="Arial" w:cs="Arial"/>
          <w:sz w:val="20"/>
          <w:szCs w:val="20"/>
        </w:rPr>
        <w:t>Establish innovation hubs or accelerators focused on climate-smart technologies and services.</w:t>
      </w:r>
    </w:p>
    <w:p w14:paraId="669D9EAD" w14:textId="77777777" w:rsidR="00C17B0A" w:rsidRPr="00306F4D" w:rsidRDefault="00C17B0A" w:rsidP="00181223">
      <w:pPr>
        <w:pStyle w:val="ListParagraph"/>
        <w:numPr>
          <w:ilvl w:val="0"/>
          <w:numId w:val="55"/>
        </w:numPr>
        <w:spacing w:before="240" w:after="240" w:line="276" w:lineRule="auto"/>
        <w:jc w:val="both"/>
        <w:rPr>
          <w:rFonts w:ascii="Arial" w:eastAsia="Arial" w:hAnsi="Arial" w:cs="Arial"/>
          <w:sz w:val="20"/>
          <w:szCs w:val="20"/>
        </w:rPr>
      </w:pPr>
      <w:r w:rsidRPr="00306F4D">
        <w:rPr>
          <w:rFonts w:ascii="Arial" w:eastAsia="Arial" w:hAnsi="Arial" w:cs="Arial"/>
          <w:sz w:val="20"/>
          <w:szCs w:val="20"/>
        </w:rPr>
        <w:t>Foster partnerships between civil society, private sector, and academia.</w:t>
      </w:r>
    </w:p>
    <w:p w14:paraId="47DD342E" w14:textId="77777777" w:rsidR="00C17B0A" w:rsidRPr="00306F4D" w:rsidRDefault="00C17B0A" w:rsidP="00181223">
      <w:pPr>
        <w:spacing w:before="240" w:after="240" w:line="276" w:lineRule="auto"/>
        <w:jc w:val="both"/>
        <w:rPr>
          <w:rFonts w:ascii="Arial" w:eastAsia="Arial" w:hAnsi="Arial" w:cs="Arial"/>
          <w:sz w:val="20"/>
          <w:szCs w:val="20"/>
        </w:rPr>
      </w:pPr>
      <w:r w:rsidRPr="00306F4D">
        <w:rPr>
          <w:rFonts w:ascii="Arial" w:eastAsia="Arial" w:hAnsi="Arial" w:cs="Arial"/>
          <w:sz w:val="20"/>
          <w:szCs w:val="20"/>
        </w:rPr>
        <w:t>Impact: Drives local economic development, creates green jobs, and scales innovative adaptation solutions.</w:t>
      </w:r>
    </w:p>
    <w:p w14:paraId="0C27A0AE" w14:textId="77777777" w:rsidR="00C17B0A" w:rsidRPr="00306F4D" w:rsidRDefault="00C17B0A" w:rsidP="00181223">
      <w:pPr>
        <w:spacing w:before="240" w:after="240" w:line="276" w:lineRule="auto"/>
        <w:jc w:val="both"/>
        <w:rPr>
          <w:rFonts w:ascii="Arial" w:eastAsia="Arial" w:hAnsi="Arial" w:cs="Arial"/>
          <w:b/>
          <w:sz w:val="20"/>
          <w:szCs w:val="20"/>
        </w:rPr>
      </w:pPr>
      <w:r w:rsidRPr="00306F4D">
        <w:rPr>
          <w:rFonts w:ascii="Arial" w:eastAsia="Arial" w:hAnsi="Arial" w:cs="Arial"/>
          <w:b/>
          <w:sz w:val="20"/>
          <w:szCs w:val="20"/>
        </w:rPr>
        <w:lastRenderedPageBreak/>
        <w:t>3. Create Regional Knowledge Platforms</w:t>
      </w:r>
    </w:p>
    <w:p w14:paraId="674BF020" w14:textId="77777777" w:rsidR="00C17B0A" w:rsidRPr="00306F4D" w:rsidRDefault="00C17B0A" w:rsidP="00181223">
      <w:pPr>
        <w:spacing w:before="240" w:after="240" w:line="276" w:lineRule="auto"/>
        <w:jc w:val="both"/>
        <w:rPr>
          <w:rFonts w:ascii="Arial" w:eastAsia="Arial" w:hAnsi="Arial" w:cs="Arial"/>
          <w:sz w:val="20"/>
          <w:szCs w:val="20"/>
        </w:rPr>
      </w:pPr>
      <w:r w:rsidRPr="00306F4D">
        <w:rPr>
          <w:rFonts w:ascii="Arial" w:eastAsia="Arial" w:hAnsi="Arial" w:cs="Arial"/>
          <w:sz w:val="20"/>
          <w:szCs w:val="20"/>
        </w:rPr>
        <w:t>Objective: Facilitate peer learning and replication of successful adaptation strategies.</w:t>
      </w:r>
    </w:p>
    <w:p w14:paraId="6747EF50" w14:textId="77777777" w:rsidR="00C17B0A" w:rsidRPr="00306F4D" w:rsidRDefault="00C17B0A" w:rsidP="00181223">
      <w:pPr>
        <w:spacing w:before="240" w:after="240" w:line="276" w:lineRule="auto"/>
        <w:jc w:val="both"/>
        <w:rPr>
          <w:rFonts w:ascii="Arial" w:eastAsia="Arial" w:hAnsi="Arial" w:cs="Arial"/>
          <w:sz w:val="20"/>
          <w:szCs w:val="20"/>
        </w:rPr>
      </w:pPr>
      <w:r w:rsidRPr="00306F4D">
        <w:rPr>
          <w:rFonts w:ascii="Arial" w:eastAsia="Arial" w:hAnsi="Arial" w:cs="Arial"/>
          <w:sz w:val="20"/>
          <w:szCs w:val="20"/>
        </w:rPr>
        <w:t>Could be achieved through:</w:t>
      </w:r>
    </w:p>
    <w:p w14:paraId="4DB4BB49" w14:textId="77777777" w:rsidR="00C17B0A" w:rsidRPr="00306F4D" w:rsidRDefault="00C17B0A" w:rsidP="00181223">
      <w:pPr>
        <w:pStyle w:val="ListParagraph"/>
        <w:numPr>
          <w:ilvl w:val="0"/>
          <w:numId w:val="56"/>
        </w:numPr>
        <w:spacing w:before="240" w:after="240" w:line="276" w:lineRule="auto"/>
        <w:jc w:val="both"/>
        <w:rPr>
          <w:rFonts w:ascii="Arial" w:eastAsia="Arial" w:hAnsi="Arial" w:cs="Arial"/>
          <w:sz w:val="20"/>
          <w:szCs w:val="20"/>
        </w:rPr>
      </w:pPr>
      <w:r w:rsidRPr="00306F4D">
        <w:rPr>
          <w:rFonts w:ascii="Arial" w:eastAsia="Arial" w:hAnsi="Arial" w:cs="Arial"/>
          <w:sz w:val="20"/>
          <w:szCs w:val="20"/>
        </w:rPr>
        <w:t>Develop digital and in-person platforms for sharing case studies, tools, and lessons learned.</w:t>
      </w:r>
    </w:p>
    <w:p w14:paraId="2981B697" w14:textId="77777777" w:rsidR="00C17B0A" w:rsidRPr="00306F4D" w:rsidRDefault="00C17B0A" w:rsidP="00181223">
      <w:pPr>
        <w:pStyle w:val="ListParagraph"/>
        <w:numPr>
          <w:ilvl w:val="0"/>
          <w:numId w:val="56"/>
        </w:numPr>
        <w:spacing w:before="240" w:after="240" w:line="276" w:lineRule="auto"/>
        <w:jc w:val="both"/>
        <w:rPr>
          <w:rFonts w:ascii="Arial" w:eastAsia="Arial" w:hAnsi="Arial" w:cs="Arial"/>
          <w:sz w:val="20"/>
          <w:szCs w:val="20"/>
        </w:rPr>
      </w:pPr>
      <w:r w:rsidRPr="00306F4D">
        <w:rPr>
          <w:rFonts w:ascii="Arial" w:eastAsia="Arial" w:hAnsi="Arial" w:cs="Arial"/>
          <w:sz w:val="20"/>
          <w:szCs w:val="20"/>
        </w:rPr>
        <w:t>Organize regional discussions, workshops, and exchange visits.</w:t>
      </w:r>
    </w:p>
    <w:p w14:paraId="704674E0" w14:textId="77777777" w:rsidR="00C17B0A" w:rsidRPr="00306F4D" w:rsidRDefault="00C17B0A" w:rsidP="00181223">
      <w:pPr>
        <w:pStyle w:val="ListParagraph"/>
        <w:numPr>
          <w:ilvl w:val="0"/>
          <w:numId w:val="56"/>
        </w:numPr>
        <w:spacing w:before="240" w:after="240" w:line="276" w:lineRule="auto"/>
        <w:jc w:val="both"/>
        <w:rPr>
          <w:rFonts w:ascii="Arial" w:eastAsia="Arial" w:hAnsi="Arial" w:cs="Arial"/>
          <w:sz w:val="20"/>
          <w:szCs w:val="20"/>
        </w:rPr>
      </w:pPr>
      <w:r w:rsidRPr="00306F4D">
        <w:rPr>
          <w:rFonts w:ascii="Arial" w:eastAsia="Arial" w:hAnsi="Arial" w:cs="Arial"/>
          <w:sz w:val="20"/>
          <w:szCs w:val="20"/>
        </w:rPr>
        <w:t>Promote open-access knowledge products and policy briefs.</w:t>
      </w:r>
    </w:p>
    <w:p w14:paraId="59FEB427" w14:textId="77777777" w:rsidR="00C17B0A" w:rsidRPr="00306F4D" w:rsidRDefault="00C17B0A" w:rsidP="00181223">
      <w:pPr>
        <w:spacing w:before="240" w:after="240" w:line="276" w:lineRule="auto"/>
        <w:jc w:val="both"/>
        <w:rPr>
          <w:rFonts w:ascii="Arial" w:eastAsia="Arial" w:hAnsi="Arial" w:cs="Arial"/>
          <w:sz w:val="20"/>
          <w:szCs w:val="20"/>
        </w:rPr>
      </w:pPr>
      <w:r w:rsidRPr="00306F4D">
        <w:rPr>
          <w:rFonts w:ascii="Arial" w:eastAsia="Arial" w:hAnsi="Arial" w:cs="Arial"/>
          <w:sz w:val="20"/>
          <w:szCs w:val="20"/>
        </w:rPr>
        <w:t>Impact: Enhances regional cooperation, reduces duplication of efforts, and accelerates the spread of effective practices.</w:t>
      </w:r>
    </w:p>
    <w:p w14:paraId="1B5222E6" w14:textId="52AAFCB6" w:rsidR="00C17B0A" w:rsidRPr="00306F4D" w:rsidRDefault="00181223" w:rsidP="00181223">
      <w:pPr>
        <w:spacing w:before="240" w:after="240" w:line="276" w:lineRule="auto"/>
        <w:jc w:val="both"/>
        <w:rPr>
          <w:rFonts w:ascii="Arial" w:eastAsia="Arial" w:hAnsi="Arial" w:cs="Arial"/>
          <w:b/>
          <w:sz w:val="20"/>
          <w:szCs w:val="20"/>
        </w:rPr>
      </w:pPr>
      <w:r w:rsidRPr="00306F4D">
        <w:rPr>
          <w:rFonts w:ascii="Arial" w:eastAsia="Arial" w:hAnsi="Arial" w:cs="Arial"/>
          <w:b/>
          <w:sz w:val="20"/>
          <w:szCs w:val="20"/>
        </w:rPr>
        <w:t>4</w:t>
      </w:r>
      <w:r w:rsidR="00C17B0A" w:rsidRPr="00306F4D">
        <w:rPr>
          <w:rFonts w:ascii="Arial" w:eastAsia="Arial" w:hAnsi="Arial" w:cs="Arial"/>
          <w:b/>
          <w:sz w:val="20"/>
          <w:szCs w:val="20"/>
        </w:rPr>
        <w:t>. Ensure Inclusive Innovation</w:t>
      </w:r>
    </w:p>
    <w:p w14:paraId="39118628" w14:textId="77777777" w:rsidR="00C17B0A" w:rsidRPr="00306F4D" w:rsidRDefault="00C17B0A" w:rsidP="00181223">
      <w:pPr>
        <w:spacing w:before="240" w:after="240" w:line="276" w:lineRule="auto"/>
        <w:jc w:val="both"/>
        <w:rPr>
          <w:rFonts w:ascii="Arial" w:eastAsia="Arial" w:hAnsi="Arial" w:cs="Arial"/>
          <w:sz w:val="20"/>
          <w:szCs w:val="20"/>
        </w:rPr>
      </w:pPr>
      <w:r w:rsidRPr="00306F4D">
        <w:rPr>
          <w:rFonts w:ascii="Arial" w:eastAsia="Arial" w:hAnsi="Arial" w:cs="Arial"/>
          <w:sz w:val="20"/>
          <w:szCs w:val="20"/>
        </w:rPr>
        <w:t>Objective: Prioritize equity and inclusion in all project components.</w:t>
      </w:r>
    </w:p>
    <w:p w14:paraId="705473A3" w14:textId="77777777" w:rsidR="00C17B0A" w:rsidRPr="00306F4D" w:rsidRDefault="00C17B0A" w:rsidP="00181223">
      <w:pPr>
        <w:spacing w:before="240" w:after="240" w:line="276" w:lineRule="auto"/>
        <w:jc w:val="both"/>
        <w:rPr>
          <w:rFonts w:ascii="Arial" w:eastAsia="Arial" w:hAnsi="Arial" w:cs="Arial"/>
          <w:sz w:val="20"/>
          <w:szCs w:val="20"/>
        </w:rPr>
      </w:pPr>
      <w:r w:rsidRPr="00306F4D">
        <w:rPr>
          <w:rFonts w:ascii="Arial" w:eastAsia="Arial" w:hAnsi="Arial" w:cs="Arial"/>
          <w:sz w:val="20"/>
          <w:szCs w:val="20"/>
        </w:rPr>
        <w:t>Could be achieved through:</w:t>
      </w:r>
    </w:p>
    <w:p w14:paraId="72E51C83" w14:textId="77777777" w:rsidR="00C17B0A" w:rsidRPr="00306F4D" w:rsidRDefault="00C17B0A" w:rsidP="00181223">
      <w:pPr>
        <w:pStyle w:val="ListParagraph"/>
        <w:numPr>
          <w:ilvl w:val="0"/>
          <w:numId w:val="52"/>
        </w:numPr>
        <w:spacing w:before="240" w:after="240" w:line="276" w:lineRule="auto"/>
        <w:jc w:val="both"/>
        <w:rPr>
          <w:rFonts w:ascii="Arial" w:eastAsia="Arial" w:hAnsi="Arial" w:cs="Arial"/>
          <w:sz w:val="20"/>
          <w:szCs w:val="20"/>
        </w:rPr>
      </w:pPr>
      <w:r w:rsidRPr="00306F4D">
        <w:rPr>
          <w:rFonts w:ascii="Arial" w:eastAsia="Arial" w:hAnsi="Arial" w:cs="Arial"/>
          <w:sz w:val="20"/>
          <w:szCs w:val="20"/>
        </w:rPr>
        <w:t>Design targeted approaches for women, youth, Roma, Vlachs, Vlachs, Gorani, Egyptians (in Montenegro), and other marginalized groups.</w:t>
      </w:r>
    </w:p>
    <w:p w14:paraId="5A83C7CC" w14:textId="77777777" w:rsidR="00C17B0A" w:rsidRPr="00306F4D" w:rsidRDefault="00C17B0A" w:rsidP="00181223">
      <w:pPr>
        <w:pStyle w:val="ListParagraph"/>
        <w:numPr>
          <w:ilvl w:val="0"/>
          <w:numId w:val="52"/>
        </w:numPr>
        <w:spacing w:before="240" w:after="240" w:line="276" w:lineRule="auto"/>
        <w:jc w:val="both"/>
        <w:rPr>
          <w:rFonts w:ascii="Arial" w:eastAsia="Arial" w:hAnsi="Arial" w:cs="Arial"/>
          <w:sz w:val="20"/>
          <w:szCs w:val="20"/>
        </w:rPr>
      </w:pPr>
      <w:r w:rsidRPr="00306F4D">
        <w:rPr>
          <w:rFonts w:ascii="Arial" w:eastAsia="Arial" w:hAnsi="Arial" w:cs="Arial"/>
          <w:sz w:val="20"/>
          <w:szCs w:val="20"/>
        </w:rPr>
        <w:t>Support leadership development and capacity-building for underrepresented stakeholders.</w:t>
      </w:r>
    </w:p>
    <w:p w14:paraId="0C94C0D8" w14:textId="77777777" w:rsidR="00C17B0A" w:rsidRPr="00306F4D" w:rsidRDefault="00C17B0A" w:rsidP="00181223">
      <w:pPr>
        <w:pStyle w:val="ListParagraph"/>
        <w:numPr>
          <w:ilvl w:val="0"/>
          <w:numId w:val="52"/>
        </w:numPr>
        <w:spacing w:before="240" w:after="240" w:line="276" w:lineRule="auto"/>
        <w:jc w:val="both"/>
        <w:rPr>
          <w:rFonts w:ascii="Arial" w:eastAsia="Arial" w:hAnsi="Arial" w:cs="Arial"/>
          <w:sz w:val="20"/>
          <w:szCs w:val="20"/>
        </w:rPr>
      </w:pPr>
      <w:r w:rsidRPr="00306F4D">
        <w:rPr>
          <w:rFonts w:ascii="Arial" w:eastAsia="Arial" w:hAnsi="Arial" w:cs="Arial"/>
          <w:sz w:val="20"/>
          <w:szCs w:val="20"/>
        </w:rPr>
        <w:t>Apply gender and social inclusion lenses in project design, implementation, and evaluation.</w:t>
      </w:r>
    </w:p>
    <w:p w14:paraId="41B6C8E1" w14:textId="77777777" w:rsidR="00C17B0A" w:rsidRPr="00306F4D" w:rsidRDefault="00C17B0A" w:rsidP="00181223">
      <w:pPr>
        <w:spacing w:before="240" w:after="240" w:line="276" w:lineRule="auto"/>
        <w:jc w:val="both"/>
        <w:rPr>
          <w:rFonts w:ascii="Arial" w:eastAsia="Arial" w:hAnsi="Arial" w:cs="Arial"/>
          <w:sz w:val="20"/>
          <w:szCs w:val="20"/>
        </w:rPr>
      </w:pPr>
      <w:r w:rsidRPr="00306F4D">
        <w:rPr>
          <w:rFonts w:ascii="Arial" w:eastAsia="Arial" w:hAnsi="Arial" w:cs="Arial"/>
          <w:sz w:val="20"/>
          <w:szCs w:val="20"/>
        </w:rPr>
        <w:t>Impact: Promotes social equity, strengthens community cohesion, and ensures that adaptation benefits reach the most vulnerable.</w:t>
      </w:r>
    </w:p>
    <w:p w14:paraId="1C45323D" w14:textId="4A89009F" w:rsidR="00C17B0A" w:rsidRPr="00306F4D" w:rsidRDefault="00181223" w:rsidP="00181223">
      <w:pPr>
        <w:spacing w:before="240" w:after="240" w:line="276" w:lineRule="auto"/>
        <w:jc w:val="both"/>
        <w:rPr>
          <w:rFonts w:ascii="Arial" w:eastAsia="Arial" w:hAnsi="Arial" w:cs="Arial"/>
          <w:sz w:val="20"/>
          <w:szCs w:val="20"/>
        </w:rPr>
      </w:pPr>
      <w:r w:rsidRPr="00306F4D">
        <w:rPr>
          <w:rFonts w:ascii="Arial" w:eastAsia="Arial" w:hAnsi="Arial" w:cs="Arial"/>
          <w:sz w:val="20"/>
          <w:szCs w:val="20"/>
        </w:rPr>
        <w:t>5</w:t>
      </w:r>
      <w:r w:rsidR="00C17B0A" w:rsidRPr="00306F4D">
        <w:rPr>
          <w:rFonts w:ascii="Arial" w:eastAsia="Arial" w:hAnsi="Arial" w:cs="Arial"/>
          <w:sz w:val="20"/>
          <w:szCs w:val="20"/>
        </w:rPr>
        <w:t xml:space="preserve">. </w:t>
      </w:r>
      <w:r w:rsidR="00C17B0A" w:rsidRPr="00306F4D">
        <w:rPr>
          <w:rFonts w:ascii="Arial" w:eastAsia="Arial" w:hAnsi="Arial" w:cs="Arial"/>
          <w:b/>
          <w:sz w:val="20"/>
          <w:szCs w:val="20"/>
        </w:rPr>
        <w:t>Cross-Cutting Co-Benefits:</w:t>
      </w:r>
    </w:p>
    <w:p w14:paraId="25A5011D" w14:textId="77777777" w:rsidR="00C17B0A" w:rsidRPr="00306F4D" w:rsidRDefault="00C17B0A" w:rsidP="00181223">
      <w:pPr>
        <w:spacing w:before="240" w:after="240" w:line="276" w:lineRule="auto"/>
        <w:jc w:val="both"/>
        <w:rPr>
          <w:rFonts w:ascii="Arial" w:eastAsia="Arial" w:hAnsi="Arial" w:cs="Arial"/>
          <w:sz w:val="20"/>
          <w:szCs w:val="20"/>
        </w:rPr>
      </w:pPr>
      <w:r w:rsidRPr="00306F4D">
        <w:rPr>
          <w:rFonts w:ascii="Arial" w:eastAsia="Arial" w:hAnsi="Arial" w:cs="Arial"/>
          <w:sz w:val="20"/>
          <w:szCs w:val="20"/>
        </w:rPr>
        <w:t>This integrated approach will generate multiple co-benefits beyond climate resilience:</w:t>
      </w:r>
    </w:p>
    <w:p w14:paraId="46287CCB" w14:textId="77777777" w:rsidR="00C17B0A" w:rsidRPr="00306F4D" w:rsidRDefault="00C17B0A" w:rsidP="00181223">
      <w:pPr>
        <w:pStyle w:val="ListParagraph"/>
        <w:numPr>
          <w:ilvl w:val="0"/>
          <w:numId w:val="51"/>
        </w:numPr>
        <w:spacing w:before="240" w:after="240" w:line="276" w:lineRule="auto"/>
        <w:jc w:val="both"/>
        <w:rPr>
          <w:rFonts w:ascii="Arial" w:eastAsia="Arial" w:hAnsi="Arial" w:cs="Arial"/>
          <w:sz w:val="20"/>
          <w:szCs w:val="20"/>
        </w:rPr>
      </w:pPr>
      <w:r w:rsidRPr="00306F4D">
        <w:rPr>
          <w:rFonts w:ascii="Arial" w:eastAsia="Arial" w:hAnsi="Arial" w:cs="Arial"/>
          <w:sz w:val="20"/>
          <w:szCs w:val="20"/>
        </w:rPr>
        <w:t>Public Health: Reduced exposure to climate-related health risks (e.g., heat stress, waterborne diseases).</w:t>
      </w:r>
    </w:p>
    <w:p w14:paraId="1A48479F" w14:textId="77777777" w:rsidR="00C17B0A" w:rsidRPr="00306F4D" w:rsidRDefault="00C17B0A" w:rsidP="00181223">
      <w:pPr>
        <w:pStyle w:val="ListParagraph"/>
        <w:numPr>
          <w:ilvl w:val="0"/>
          <w:numId w:val="51"/>
        </w:numPr>
        <w:spacing w:before="240" w:after="240" w:line="276" w:lineRule="auto"/>
        <w:jc w:val="both"/>
        <w:rPr>
          <w:rFonts w:ascii="Arial" w:eastAsia="Arial" w:hAnsi="Arial" w:cs="Arial"/>
          <w:sz w:val="20"/>
          <w:szCs w:val="20"/>
        </w:rPr>
      </w:pPr>
      <w:r w:rsidRPr="00306F4D">
        <w:rPr>
          <w:rFonts w:ascii="Arial" w:eastAsia="Arial" w:hAnsi="Arial" w:cs="Arial"/>
          <w:sz w:val="20"/>
          <w:szCs w:val="20"/>
        </w:rPr>
        <w:t>Food Security: Improved agricultural productivity and access to nutritious food.</w:t>
      </w:r>
    </w:p>
    <w:p w14:paraId="61F06A5D" w14:textId="77777777" w:rsidR="00C17B0A" w:rsidRPr="00306F4D" w:rsidRDefault="00C17B0A" w:rsidP="00181223">
      <w:pPr>
        <w:pStyle w:val="ListParagraph"/>
        <w:numPr>
          <w:ilvl w:val="0"/>
          <w:numId w:val="51"/>
        </w:numPr>
        <w:spacing w:before="240" w:after="240" w:line="276" w:lineRule="auto"/>
        <w:jc w:val="both"/>
        <w:rPr>
          <w:rFonts w:ascii="Arial" w:eastAsia="Arial" w:hAnsi="Arial" w:cs="Arial"/>
          <w:sz w:val="20"/>
          <w:szCs w:val="20"/>
        </w:rPr>
      </w:pPr>
      <w:r w:rsidRPr="00306F4D">
        <w:rPr>
          <w:rFonts w:ascii="Arial" w:eastAsia="Arial" w:hAnsi="Arial" w:cs="Arial"/>
          <w:sz w:val="20"/>
          <w:szCs w:val="20"/>
        </w:rPr>
        <w:t>Gender Equality: Empowerment of women through leadership roles and economic opportunities.</w:t>
      </w:r>
    </w:p>
    <w:p w14:paraId="5F2D5630" w14:textId="77777777" w:rsidR="00C17B0A" w:rsidRPr="00306F4D" w:rsidRDefault="00C17B0A" w:rsidP="00181223">
      <w:pPr>
        <w:pStyle w:val="ListParagraph"/>
        <w:numPr>
          <w:ilvl w:val="0"/>
          <w:numId w:val="51"/>
        </w:numPr>
        <w:spacing w:before="240" w:after="240" w:line="276" w:lineRule="auto"/>
        <w:jc w:val="both"/>
        <w:rPr>
          <w:rFonts w:ascii="Arial" w:eastAsia="Arial" w:hAnsi="Arial" w:cs="Arial"/>
          <w:sz w:val="20"/>
          <w:szCs w:val="20"/>
        </w:rPr>
      </w:pPr>
      <w:r w:rsidRPr="00306F4D">
        <w:rPr>
          <w:rFonts w:ascii="Arial" w:eastAsia="Arial" w:hAnsi="Arial" w:cs="Arial"/>
          <w:sz w:val="20"/>
          <w:szCs w:val="20"/>
        </w:rPr>
        <w:t>Green Economic Growth: Job creation in sustainable sectors and support for climate-resilient livelihoods.</w:t>
      </w:r>
    </w:p>
    <w:p w14:paraId="4A626015" w14:textId="169C88E8" w:rsidR="00C17B0A" w:rsidRPr="00306F4D" w:rsidRDefault="31BC0B29" w:rsidP="00181223">
      <w:pPr>
        <w:pStyle w:val="ListParagraph"/>
        <w:numPr>
          <w:ilvl w:val="0"/>
          <w:numId w:val="51"/>
        </w:numPr>
        <w:spacing w:before="240" w:after="240" w:line="276" w:lineRule="auto"/>
        <w:jc w:val="both"/>
        <w:rPr>
          <w:rFonts w:ascii="Arial" w:eastAsia="Arial" w:hAnsi="Arial" w:cs="Arial"/>
          <w:sz w:val="20"/>
          <w:szCs w:val="20"/>
        </w:rPr>
      </w:pPr>
      <w:r w:rsidRPr="00306F4D">
        <w:rPr>
          <w:rFonts w:ascii="Arial" w:eastAsia="Arial" w:hAnsi="Arial" w:cs="Arial"/>
          <w:sz w:val="20"/>
          <w:szCs w:val="20"/>
        </w:rPr>
        <w:t>Energy Transition</w:t>
      </w:r>
      <w:r w:rsidR="00905E97" w:rsidRPr="00306F4D">
        <w:rPr>
          <w:rStyle w:val="FootnoteReference"/>
          <w:rFonts w:ascii="Arial" w:eastAsia="Arial" w:hAnsi="Arial" w:cs="Arial"/>
          <w:sz w:val="20"/>
          <w:szCs w:val="20"/>
        </w:rPr>
        <w:footnoteReference w:id="127"/>
      </w:r>
      <w:r w:rsidR="379653B6" w:rsidRPr="00306F4D">
        <w:rPr>
          <w:rFonts w:ascii="Arial" w:eastAsia="Arial" w:hAnsi="Arial" w:cs="Arial"/>
          <w:sz w:val="20"/>
          <w:szCs w:val="20"/>
        </w:rPr>
        <w:t>:</w:t>
      </w:r>
      <w:r w:rsidRPr="00306F4D">
        <w:rPr>
          <w:rFonts w:ascii="Arial" w:eastAsia="Arial" w:hAnsi="Arial" w:cs="Arial"/>
          <w:sz w:val="20"/>
          <w:szCs w:val="20"/>
        </w:rPr>
        <w:t xml:space="preserve"> Promotion of clean energy solutions (e.g., efficient cooking, solar-powered</w:t>
      </w:r>
      <w:r w:rsidR="00BC3363" w:rsidRPr="00306F4D">
        <w:rPr>
          <w:rFonts w:ascii="Arial" w:eastAsia="Arial" w:hAnsi="Arial" w:cs="Arial"/>
          <w:sz w:val="20"/>
          <w:szCs w:val="20"/>
        </w:rPr>
        <w:t xml:space="preserve"> </w:t>
      </w:r>
      <w:r w:rsidRPr="00306F4D">
        <w:rPr>
          <w:rFonts w:ascii="Arial" w:eastAsia="Arial" w:hAnsi="Arial" w:cs="Arial"/>
          <w:sz w:val="20"/>
          <w:szCs w:val="20"/>
        </w:rPr>
        <w:t>irrigation).</w:t>
      </w:r>
      <w:r w:rsidRPr="00306F4D">
        <w:rPr>
          <w:rFonts w:ascii="Arial" w:eastAsia="Arial" w:hAnsi="Arial" w:cs="Arial"/>
          <w:color w:val="000000" w:themeColor="text1"/>
          <w:sz w:val="20"/>
          <w:szCs w:val="20"/>
          <w:lang w:val="en-GB"/>
        </w:rPr>
        <w:t xml:space="preserve"> </w:t>
      </w:r>
    </w:p>
    <w:p w14:paraId="40025304" w14:textId="1C1CB891" w:rsidR="00C17B0A" w:rsidRPr="00306F4D" w:rsidDel="00AE242D" w:rsidRDefault="00C17B0A" w:rsidP="02E2BB75">
      <w:pPr>
        <w:pStyle w:val="Heading1"/>
        <w:rPr>
          <w:b w:val="0"/>
          <w:lang w:val="en-GB"/>
        </w:rPr>
        <w:sectPr w:rsidR="00C17B0A" w:rsidRPr="00306F4D" w:rsidDel="00AE242D" w:rsidSect="00215974">
          <w:headerReference w:type="default" r:id="rId22"/>
          <w:footerReference w:type="even" r:id="rId23"/>
          <w:footerReference w:type="default" r:id="rId24"/>
          <w:headerReference w:type="first" r:id="rId25"/>
          <w:footerReference w:type="first" r:id="rId26"/>
          <w:pgSz w:w="12240" w:h="15840"/>
          <w:pgMar w:top="737" w:right="1134" w:bottom="1134" w:left="1134" w:header="726" w:footer="870" w:gutter="0"/>
          <w:cols w:space="720"/>
          <w:docGrid w:linePitch="299"/>
        </w:sectPr>
      </w:pPr>
    </w:p>
    <w:p w14:paraId="2277EB1D" w14:textId="752FD44A" w:rsidR="009C6A9B" w:rsidRPr="00306F4D" w:rsidRDefault="071E326E" w:rsidP="005B3E0F">
      <w:pPr>
        <w:pStyle w:val="Heading1"/>
        <w:rPr>
          <w:lang w:val="en-GB"/>
        </w:rPr>
      </w:pPr>
      <w:bookmarkStart w:id="54" w:name="_Toc1361590641"/>
      <w:bookmarkStart w:id="55" w:name="_Toc69912752"/>
      <w:bookmarkStart w:id="56" w:name="_Toc202165704"/>
      <w:bookmarkStart w:id="57" w:name="_Toc202893734"/>
      <w:r w:rsidRPr="00306F4D">
        <w:rPr>
          <w:lang w:val="en-GB"/>
        </w:rPr>
        <w:lastRenderedPageBreak/>
        <w:t>Project Components and Financing</w:t>
      </w:r>
      <w:bookmarkEnd w:id="54"/>
      <w:bookmarkEnd w:id="55"/>
      <w:bookmarkEnd w:id="56"/>
      <w:bookmarkEnd w:id="57"/>
    </w:p>
    <w:p w14:paraId="5D9F3D52" w14:textId="77777777" w:rsidR="005B3E0F" w:rsidRPr="00306F4D" w:rsidRDefault="005B3E0F" w:rsidP="005B3E0F">
      <w:pPr>
        <w:rPr>
          <w:lang w:val="en-GB"/>
        </w:rPr>
      </w:pPr>
    </w:p>
    <w:tbl>
      <w:tblPr>
        <w:tblpPr w:leftFromText="180" w:rightFromText="180" w:vertAnchor="text" w:horzAnchor="margin" w:tblpY="1"/>
        <w:tblW w:w="10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2062"/>
        <w:gridCol w:w="2044"/>
        <w:gridCol w:w="2795"/>
        <w:gridCol w:w="1560"/>
        <w:gridCol w:w="1697"/>
      </w:tblGrid>
      <w:tr w:rsidR="008D71D5" w:rsidRPr="00306F4D" w14:paraId="61668A26" w14:textId="77777777" w:rsidTr="6C3497F9">
        <w:trPr>
          <w:cantSplit/>
          <w:trHeight w:val="300"/>
        </w:trPr>
        <w:tc>
          <w:tcPr>
            <w:tcW w:w="2062" w:type="dxa"/>
            <w:shd w:val="clear" w:color="auto" w:fill="B1D34A"/>
            <w:vAlign w:val="center"/>
          </w:tcPr>
          <w:p w14:paraId="079473B2" w14:textId="77777777" w:rsidR="0064542F" w:rsidRPr="00306F4D" w:rsidRDefault="0064542F" w:rsidP="00FC2E4E">
            <w:pPr>
              <w:spacing w:line="276" w:lineRule="auto"/>
              <w:jc w:val="center"/>
              <w:rPr>
                <w:rFonts w:ascii="Arial" w:eastAsia="Arial" w:hAnsi="Arial" w:cs="Arial"/>
                <w:b/>
                <w:smallCaps/>
                <w:sz w:val="20"/>
                <w:szCs w:val="20"/>
                <w:lang w:val="en-GB"/>
              </w:rPr>
            </w:pPr>
            <w:r w:rsidRPr="00306F4D">
              <w:rPr>
                <w:rFonts w:ascii="Arial" w:eastAsia="Arial" w:hAnsi="Arial" w:cs="Arial"/>
                <w:b/>
                <w:sz w:val="20"/>
                <w:szCs w:val="20"/>
                <w:lang w:val="en-GB"/>
              </w:rPr>
              <w:t>Project/Programme Components</w:t>
            </w:r>
          </w:p>
        </w:tc>
        <w:tc>
          <w:tcPr>
            <w:tcW w:w="2044" w:type="dxa"/>
            <w:shd w:val="clear" w:color="auto" w:fill="B1D34A"/>
            <w:vAlign w:val="center"/>
          </w:tcPr>
          <w:p w14:paraId="76DD8DB8" w14:textId="77777777" w:rsidR="0064542F" w:rsidRPr="00306F4D" w:rsidRDefault="0064542F" w:rsidP="00FC2E4E">
            <w:pPr>
              <w:spacing w:line="276" w:lineRule="auto"/>
              <w:jc w:val="center"/>
              <w:rPr>
                <w:rFonts w:ascii="Arial" w:eastAsia="Arial" w:hAnsi="Arial" w:cs="Arial"/>
                <w:smallCaps/>
                <w:sz w:val="20"/>
                <w:szCs w:val="20"/>
                <w:lang w:val="en-GB"/>
              </w:rPr>
            </w:pPr>
            <w:r w:rsidRPr="00306F4D">
              <w:rPr>
                <w:rFonts w:ascii="Arial" w:eastAsia="Arial" w:hAnsi="Arial" w:cs="Arial"/>
                <w:b/>
                <w:sz w:val="20"/>
                <w:szCs w:val="20"/>
                <w:lang w:val="en-GB"/>
              </w:rPr>
              <w:t>Expected Outcomes</w:t>
            </w:r>
          </w:p>
        </w:tc>
        <w:tc>
          <w:tcPr>
            <w:tcW w:w="2795" w:type="dxa"/>
            <w:shd w:val="clear" w:color="auto" w:fill="B1D34A"/>
            <w:vAlign w:val="center"/>
          </w:tcPr>
          <w:p w14:paraId="65271980" w14:textId="64FE0315" w:rsidR="0064542F" w:rsidRPr="00306F4D" w:rsidRDefault="0064542F" w:rsidP="00FC2E4E">
            <w:pPr>
              <w:spacing w:line="276" w:lineRule="auto"/>
              <w:jc w:val="center"/>
              <w:rPr>
                <w:rFonts w:ascii="Arial" w:eastAsia="Arial" w:hAnsi="Arial" w:cs="Arial"/>
                <w:smallCaps/>
                <w:sz w:val="20"/>
                <w:szCs w:val="20"/>
                <w:lang w:val="en-GB"/>
              </w:rPr>
            </w:pPr>
            <w:r w:rsidRPr="00306F4D">
              <w:rPr>
                <w:rFonts w:ascii="Arial" w:eastAsia="Arial" w:hAnsi="Arial" w:cs="Arial"/>
                <w:b/>
                <w:sz w:val="20"/>
                <w:szCs w:val="20"/>
                <w:lang w:val="en-GB"/>
              </w:rPr>
              <w:t>Expected Outputs</w:t>
            </w:r>
          </w:p>
        </w:tc>
        <w:tc>
          <w:tcPr>
            <w:tcW w:w="1560" w:type="dxa"/>
            <w:shd w:val="clear" w:color="auto" w:fill="B1D34A"/>
            <w:vAlign w:val="center"/>
          </w:tcPr>
          <w:p w14:paraId="24F79289" w14:textId="32FA8CB6" w:rsidR="0064542F" w:rsidRPr="00306F4D" w:rsidRDefault="0064542F" w:rsidP="00FC2E4E">
            <w:pPr>
              <w:spacing w:line="276" w:lineRule="auto"/>
              <w:jc w:val="center"/>
              <w:rPr>
                <w:rFonts w:ascii="Arial" w:eastAsia="Arial" w:hAnsi="Arial" w:cs="Arial"/>
                <w:smallCaps/>
                <w:sz w:val="20"/>
                <w:szCs w:val="20"/>
                <w:lang w:val="en-GB"/>
              </w:rPr>
            </w:pPr>
            <w:r w:rsidRPr="00306F4D">
              <w:rPr>
                <w:rFonts w:ascii="Arial" w:eastAsia="Arial" w:hAnsi="Arial" w:cs="Arial"/>
                <w:b/>
                <w:sz w:val="20"/>
                <w:szCs w:val="20"/>
                <w:lang w:val="en-GB"/>
              </w:rPr>
              <w:t xml:space="preserve"> </w:t>
            </w:r>
          </w:p>
          <w:p w14:paraId="2B44940A" w14:textId="1A575F81" w:rsidR="0064542F" w:rsidRPr="00306F4D" w:rsidRDefault="0064542F" w:rsidP="00FC2E4E">
            <w:pPr>
              <w:spacing w:line="276" w:lineRule="auto"/>
              <w:jc w:val="center"/>
              <w:rPr>
                <w:rFonts w:ascii="Arial" w:eastAsia="Arial" w:hAnsi="Arial" w:cs="Arial"/>
                <w:b/>
                <w:color w:val="FF0000"/>
                <w:sz w:val="20"/>
                <w:szCs w:val="20"/>
                <w:lang w:val="en-GB"/>
              </w:rPr>
            </w:pPr>
            <w:r w:rsidRPr="00306F4D">
              <w:rPr>
                <w:rFonts w:ascii="Arial" w:eastAsia="Arial" w:hAnsi="Arial" w:cs="Arial"/>
                <w:b/>
                <w:sz w:val="20"/>
                <w:szCs w:val="20"/>
                <w:lang w:val="en-GB"/>
              </w:rPr>
              <w:t>Countries</w:t>
            </w:r>
          </w:p>
        </w:tc>
        <w:tc>
          <w:tcPr>
            <w:tcW w:w="1697" w:type="dxa"/>
            <w:shd w:val="clear" w:color="auto" w:fill="B1D34A"/>
            <w:vAlign w:val="center"/>
          </w:tcPr>
          <w:p w14:paraId="00F01A67" w14:textId="77777777" w:rsidR="0064542F" w:rsidRPr="00306F4D" w:rsidRDefault="0064542F" w:rsidP="00FC2E4E">
            <w:pPr>
              <w:spacing w:line="276" w:lineRule="auto"/>
              <w:jc w:val="center"/>
              <w:rPr>
                <w:rFonts w:ascii="Arial" w:eastAsia="Arial" w:hAnsi="Arial" w:cs="Arial"/>
                <w:b/>
                <w:sz w:val="20"/>
                <w:szCs w:val="20"/>
                <w:lang w:val="en-GB"/>
              </w:rPr>
            </w:pPr>
          </w:p>
          <w:p w14:paraId="091E105E" w14:textId="6B9A1CEE" w:rsidR="0064542F" w:rsidRPr="00306F4D" w:rsidRDefault="0064542F" w:rsidP="00FC2E4E">
            <w:pPr>
              <w:spacing w:line="276" w:lineRule="auto"/>
              <w:jc w:val="center"/>
              <w:rPr>
                <w:rFonts w:ascii="Arial" w:eastAsia="Arial" w:hAnsi="Arial" w:cs="Arial"/>
                <w:b/>
                <w:sz w:val="20"/>
                <w:szCs w:val="20"/>
                <w:lang w:val="en-GB"/>
              </w:rPr>
            </w:pPr>
            <w:r w:rsidRPr="00306F4D">
              <w:rPr>
                <w:rFonts w:ascii="Arial" w:eastAsia="Arial" w:hAnsi="Arial" w:cs="Arial"/>
                <w:b/>
                <w:sz w:val="20"/>
                <w:szCs w:val="20"/>
                <w:lang w:val="en-GB"/>
              </w:rPr>
              <w:t>Amount (US$)</w:t>
            </w:r>
          </w:p>
        </w:tc>
      </w:tr>
      <w:tr w:rsidR="00EC03C2" w:rsidRPr="00306F4D" w14:paraId="103C9D4B" w14:textId="77777777" w:rsidTr="6C3497F9">
        <w:trPr>
          <w:cantSplit/>
          <w:trHeight w:val="300"/>
        </w:trPr>
        <w:tc>
          <w:tcPr>
            <w:tcW w:w="2062" w:type="dxa"/>
            <w:tcBorders>
              <w:top w:val="single" w:sz="4" w:space="0" w:color="auto"/>
              <w:left w:val="single" w:sz="4" w:space="0" w:color="auto"/>
              <w:bottom w:val="single" w:sz="4" w:space="0" w:color="auto"/>
              <w:right w:val="single" w:sz="4" w:space="0" w:color="auto"/>
            </w:tcBorders>
            <w:shd w:val="clear" w:color="auto" w:fill="FFFFFF" w:themeFill="background1"/>
          </w:tcPr>
          <w:p w14:paraId="35CECB81" w14:textId="12D0F272" w:rsidR="00EA0729" w:rsidRPr="00306F4D" w:rsidRDefault="00EA0729" w:rsidP="00FC2E4E">
            <w:pPr>
              <w:spacing w:line="276" w:lineRule="auto"/>
              <w:rPr>
                <w:rFonts w:ascii="Arial" w:eastAsia="Arial" w:hAnsi="Arial" w:cs="Arial"/>
                <w:b/>
                <w:sz w:val="20"/>
                <w:szCs w:val="20"/>
                <w:lang w:val="en-GB"/>
              </w:rPr>
            </w:pPr>
            <w:r w:rsidRPr="00306F4D">
              <w:rPr>
                <w:rFonts w:ascii="Arial" w:eastAsia="Arial" w:hAnsi="Arial" w:cs="Arial"/>
                <w:b/>
                <w:color w:val="000000" w:themeColor="text1"/>
                <w:sz w:val="20"/>
                <w:szCs w:val="20"/>
                <w:lang w:val="en-GB"/>
              </w:rPr>
              <w:t xml:space="preserve">1. </w:t>
            </w:r>
            <w:r w:rsidR="00FF7560" w:rsidRPr="00306F4D">
              <w:rPr>
                <w:rFonts w:ascii="Arial" w:eastAsia="Arial" w:hAnsi="Arial" w:cs="Arial"/>
                <w:sz w:val="20"/>
                <w:szCs w:val="20"/>
              </w:rPr>
              <w:t xml:space="preserve"> </w:t>
            </w:r>
            <w:r w:rsidR="00B108F1" w:rsidRPr="00306F4D">
              <w:rPr>
                <w:b/>
                <w:color w:val="000000" w:themeColor="text1"/>
              </w:rPr>
              <w:t>Innovation Facility</w:t>
            </w:r>
            <w:r w:rsidR="005C7760" w:rsidRPr="00306F4D">
              <w:rPr>
                <w:b/>
                <w:color w:val="000000" w:themeColor="text1"/>
              </w:rPr>
              <w:t xml:space="preserve"> for Climate Adaptation</w:t>
            </w:r>
            <w:r w:rsidR="00FF7560" w:rsidRPr="00306F4D">
              <w:rPr>
                <w:b/>
                <w:color w:val="000000" w:themeColor="text1"/>
              </w:rPr>
              <w:t xml:space="preserve"> </w:t>
            </w:r>
          </w:p>
        </w:tc>
        <w:tc>
          <w:tcPr>
            <w:tcW w:w="2044" w:type="dxa"/>
            <w:tcBorders>
              <w:top w:val="single" w:sz="4" w:space="0" w:color="auto"/>
              <w:left w:val="single" w:sz="4" w:space="0" w:color="auto"/>
              <w:bottom w:val="single" w:sz="4" w:space="0" w:color="auto"/>
              <w:right w:val="single" w:sz="4" w:space="0" w:color="auto"/>
            </w:tcBorders>
            <w:shd w:val="clear" w:color="auto" w:fill="FFFFFF" w:themeFill="background1"/>
          </w:tcPr>
          <w:p w14:paraId="39D49230" w14:textId="597A0E86" w:rsidR="176C6F8F" w:rsidRPr="00306F4D" w:rsidRDefault="009168FC" w:rsidP="009168FC">
            <w:pPr>
              <w:spacing w:after="0" w:line="276" w:lineRule="auto"/>
              <w:jc w:val="both"/>
              <w:rPr>
                <w:rFonts w:ascii="Arial" w:eastAsia="Arial" w:hAnsi="Arial" w:cs="Arial"/>
                <w:b/>
                <w:color w:val="000000" w:themeColor="text1"/>
                <w:sz w:val="20"/>
                <w:szCs w:val="20"/>
                <w:lang w:val="en-GB"/>
              </w:rPr>
            </w:pPr>
            <w:r w:rsidRPr="00306F4D">
              <w:rPr>
                <w:rFonts w:ascii="Arial" w:eastAsia="Arial" w:hAnsi="Arial" w:cs="Arial"/>
                <w:b/>
                <w:color w:val="000000" w:themeColor="text1"/>
                <w:sz w:val="20"/>
                <w:szCs w:val="20"/>
                <w:lang w:val="en-GB"/>
              </w:rPr>
              <w:t xml:space="preserve">Outcome 1: </w:t>
            </w:r>
            <w:r w:rsidRPr="00306F4D">
              <w:rPr>
                <w:rFonts w:ascii="Arial" w:eastAsia="Arial" w:hAnsi="Arial" w:cs="Arial"/>
                <w:color w:val="000000" w:themeColor="text1"/>
                <w:sz w:val="20"/>
                <w:szCs w:val="20"/>
                <w:lang w:val="en-GB"/>
              </w:rPr>
              <w:t xml:space="preserve">Development, promotion, and acceleration of </w:t>
            </w:r>
            <w:proofErr w:type="gramStart"/>
            <w:r w:rsidRPr="00306F4D">
              <w:rPr>
                <w:rFonts w:ascii="Arial" w:eastAsia="Arial" w:hAnsi="Arial" w:cs="Arial"/>
                <w:color w:val="000000" w:themeColor="text1"/>
                <w:sz w:val="20"/>
                <w:szCs w:val="20"/>
                <w:lang w:val="en-GB"/>
              </w:rPr>
              <w:t>locally-led</w:t>
            </w:r>
            <w:proofErr w:type="gramEnd"/>
            <w:r w:rsidRPr="00306F4D">
              <w:rPr>
                <w:rFonts w:ascii="Arial" w:eastAsia="Arial" w:hAnsi="Arial" w:cs="Arial"/>
                <w:color w:val="000000" w:themeColor="text1"/>
                <w:sz w:val="20"/>
                <w:szCs w:val="20"/>
                <w:lang w:val="en-GB"/>
              </w:rPr>
              <w:t xml:space="preserve"> innovative climate adaptation solutions in four Balkans countries, with particular emphasis on approaches that advance gender equality and women’s empowerment, and which address priority climate risks.</w:t>
            </w:r>
          </w:p>
        </w:tc>
        <w:tc>
          <w:tcPr>
            <w:tcW w:w="2795" w:type="dxa"/>
            <w:shd w:val="clear" w:color="auto" w:fill="FFFFFF" w:themeFill="background1"/>
          </w:tcPr>
          <w:p w14:paraId="2542395D" w14:textId="3A197942" w:rsidR="009239E1" w:rsidRPr="00306F4D" w:rsidRDefault="176C6F8F" w:rsidP="00FC2E4E">
            <w:pPr>
              <w:spacing w:after="0" w:line="276" w:lineRule="auto"/>
              <w:rPr>
                <w:rFonts w:ascii="Arial" w:eastAsia="Arial" w:hAnsi="Arial" w:cs="Arial"/>
                <w:color w:val="000000" w:themeColor="text1"/>
                <w:sz w:val="20"/>
                <w:szCs w:val="20"/>
              </w:rPr>
            </w:pPr>
            <w:r w:rsidRPr="00306F4D">
              <w:rPr>
                <w:rFonts w:ascii="Arial" w:eastAsia="Arial" w:hAnsi="Arial" w:cs="Arial"/>
                <w:b/>
                <w:color w:val="000000" w:themeColor="text1"/>
                <w:sz w:val="20"/>
                <w:szCs w:val="20"/>
              </w:rPr>
              <w:t>Output 1.1:</w:t>
            </w:r>
            <w:r w:rsidRPr="00306F4D">
              <w:rPr>
                <w:rFonts w:ascii="Arial" w:eastAsia="Arial" w:hAnsi="Arial" w:cs="Arial"/>
                <w:color w:val="000000" w:themeColor="text1"/>
                <w:sz w:val="20"/>
                <w:szCs w:val="20"/>
              </w:rPr>
              <w:t xml:space="preserve"> </w:t>
            </w:r>
            <w:r w:rsidR="00925132" w:rsidRPr="00306F4D">
              <w:rPr>
                <w:rFonts w:ascii="Arial" w:eastAsia="Arial" w:hAnsi="Arial" w:cs="Arial"/>
                <w:color w:val="000000" w:themeColor="text1"/>
                <w:sz w:val="20"/>
                <w:szCs w:val="20"/>
              </w:rPr>
              <w:t>I</w:t>
            </w:r>
            <w:r w:rsidR="009239E1" w:rsidRPr="00306F4D">
              <w:rPr>
                <w:rFonts w:ascii="Arial" w:eastAsia="Arial" w:hAnsi="Arial" w:cs="Arial"/>
                <w:color w:val="000000" w:themeColor="text1"/>
                <w:sz w:val="20"/>
                <w:szCs w:val="20"/>
              </w:rPr>
              <w:t>nnovation concepts are identified and strengthened through inclusive call for interest, innovation sprints, and tailored design support.</w:t>
            </w:r>
          </w:p>
          <w:p w14:paraId="2C5A3B16" w14:textId="77777777" w:rsidR="009239E1" w:rsidRPr="00306F4D" w:rsidRDefault="009239E1" w:rsidP="00FC2E4E">
            <w:pPr>
              <w:spacing w:after="0" w:line="276" w:lineRule="auto"/>
              <w:rPr>
                <w:rFonts w:ascii="Arial" w:eastAsia="Arial" w:hAnsi="Arial" w:cs="Arial"/>
                <w:color w:val="000000" w:themeColor="text1"/>
                <w:sz w:val="20"/>
                <w:szCs w:val="20"/>
              </w:rPr>
            </w:pPr>
          </w:p>
          <w:p w14:paraId="1A294E71" w14:textId="5D6C4D46" w:rsidR="176C6F8F" w:rsidRPr="00306F4D" w:rsidRDefault="009239E1" w:rsidP="00FC2E4E">
            <w:pPr>
              <w:spacing w:after="0" w:line="276" w:lineRule="auto"/>
              <w:rPr>
                <w:rFonts w:ascii="Arial" w:eastAsia="Arial" w:hAnsi="Arial" w:cs="Arial"/>
                <w:color w:val="000000" w:themeColor="text1"/>
                <w:sz w:val="20"/>
                <w:szCs w:val="20"/>
              </w:rPr>
            </w:pPr>
            <w:r w:rsidRPr="00306F4D">
              <w:rPr>
                <w:rFonts w:ascii="Arial" w:eastAsia="Arial" w:hAnsi="Arial" w:cs="Arial"/>
                <w:b/>
                <w:color w:val="000000" w:themeColor="text1"/>
                <w:sz w:val="20"/>
                <w:szCs w:val="20"/>
              </w:rPr>
              <w:t>Output 1.2:</w:t>
            </w:r>
            <w:r w:rsidRPr="00306F4D">
              <w:rPr>
                <w:rFonts w:ascii="Arial" w:eastAsia="Arial" w:hAnsi="Arial" w:cs="Arial"/>
                <w:color w:val="000000" w:themeColor="text1"/>
                <w:sz w:val="20"/>
                <w:szCs w:val="20"/>
              </w:rPr>
              <w:t xml:space="preserve"> </w:t>
            </w:r>
            <w:r w:rsidR="005C4AD2" w:rsidRPr="00306F4D">
              <w:rPr>
                <w:rFonts w:ascii="Arial" w:eastAsia="Arial" w:hAnsi="Arial" w:cs="Arial"/>
                <w:color w:val="000000" w:themeColor="text1"/>
                <w:sz w:val="20"/>
                <w:szCs w:val="20"/>
              </w:rPr>
              <w:t>Promising pilots are financed through small-scale grants</w:t>
            </w:r>
            <w:r w:rsidR="000A392E" w:rsidRPr="00306F4D">
              <w:rPr>
                <w:rFonts w:ascii="Arial" w:eastAsia="Arial" w:hAnsi="Arial" w:cs="Arial"/>
                <w:color w:val="000000" w:themeColor="text1"/>
                <w:sz w:val="20"/>
                <w:szCs w:val="20"/>
              </w:rPr>
              <w:t xml:space="preserve"> </w:t>
            </w:r>
            <w:r w:rsidR="005C4AD2" w:rsidRPr="00306F4D">
              <w:rPr>
                <w:rFonts w:ascii="Arial" w:eastAsia="Arial" w:hAnsi="Arial" w:cs="Arial"/>
                <w:color w:val="000000" w:themeColor="text1"/>
                <w:sz w:val="20"/>
                <w:szCs w:val="20"/>
              </w:rPr>
              <w:t>and supported to address climate risks with a focus on gender equality and social inclusion.</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61062BAE" w14:textId="4EA4E720" w:rsidR="00EA0729" w:rsidRPr="00306F4D" w:rsidRDefault="08573DC7" w:rsidP="00FC2E4E">
            <w:pPr>
              <w:spacing w:line="276" w:lineRule="auto"/>
              <w:jc w:val="center"/>
              <w:rPr>
                <w:rFonts w:ascii="Arial" w:eastAsia="Arial" w:hAnsi="Arial" w:cs="Arial"/>
                <w:sz w:val="20"/>
                <w:szCs w:val="20"/>
                <w:lang w:val="en-GB"/>
              </w:rPr>
            </w:pPr>
            <w:r w:rsidRPr="00306F4D">
              <w:rPr>
                <w:rFonts w:ascii="Arial" w:eastAsia="Arial" w:hAnsi="Arial" w:cs="Arial"/>
                <w:color w:val="000000" w:themeColor="text1"/>
                <w:sz w:val="20"/>
                <w:szCs w:val="20"/>
                <w:lang w:val="en-GB"/>
              </w:rPr>
              <w:t>Bosnia and Herzegovina, Montenegro, North Macedonia, and Serbia</w:t>
            </w:r>
            <w:r w:rsidRPr="00306F4D">
              <w:rPr>
                <w:rFonts w:ascii="Arial" w:eastAsia="Arial" w:hAnsi="Arial" w:cs="Arial"/>
                <w:color w:val="000000" w:themeColor="text1"/>
                <w:sz w:val="20"/>
                <w:szCs w:val="20"/>
              </w:rPr>
              <w:t> </w:t>
            </w:r>
          </w:p>
        </w:tc>
        <w:tc>
          <w:tcPr>
            <w:tcW w:w="1697" w:type="dxa"/>
            <w:tcBorders>
              <w:top w:val="single" w:sz="4" w:space="0" w:color="auto"/>
              <w:left w:val="single" w:sz="4" w:space="0" w:color="auto"/>
              <w:bottom w:val="single" w:sz="4" w:space="0" w:color="auto"/>
              <w:right w:val="single" w:sz="4" w:space="0" w:color="auto"/>
            </w:tcBorders>
            <w:shd w:val="clear" w:color="auto" w:fill="FFFFFF" w:themeFill="background1"/>
          </w:tcPr>
          <w:p w14:paraId="44C68DD9" w14:textId="36B9F349" w:rsidR="00EA0729" w:rsidRPr="00306F4D" w:rsidRDefault="79C701AE" w:rsidP="00FC2E4E">
            <w:pPr>
              <w:spacing w:line="276" w:lineRule="auto"/>
              <w:jc w:val="center"/>
              <w:rPr>
                <w:rFonts w:ascii="Arial" w:eastAsia="Arial" w:hAnsi="Arial" w:cs="Arial"/>
                <w:sz w:val="20"/>
                <w:szCs w:val="20"/>
                <w:lang w:val="en-GB"/>
              </w:rPr>
            </w:pPr>
            <w:proofErr w:type="gramStart"/>
            <w:r w:rsidRPr="00306F4D">
              <w:rPr>
                <w:rFonts w:ascii="Arial" w:eastAsia="Arial" w:hAnsi="Arial" w:cs="Arial"/>
                <w:sz w:val="20"/>
                <w:szCs w:val="20"/>
                <w:lang w:val="en-GB"/>
              </w:rPr>
              <w:t>$</w:t>
            </w:r>
            <w:r w:rsidR="0034655C" w:rsidRPr="00306F4D">
              <w:rPr>
                <w:rFonts w:ascii="Arial" w:eastAsia="Arial" w:hAnsi="Arial" w:cs="Arial"/>
                <w:sz w:val="20"/>
                <w:szCs w:val="20"/>
                <w:lang w:val="en-GB"/>
              </w:rPr>
              <w:t xml:space="preserve"> </w:t>
            </w:r>
            <w:r w:rsidR="0093600A" w:rsidRPr="00306F4D">
              <w:rPr>
                <w:rFonts w:ascii="Arial" w:eastAsia="Arial" w:hAnsi="Arial" w:cs="Arial"/>
                <w:sz w:val="20"/>
                <w:szCs w:val="20"/>
                <w:lang w:val="en-GB"/>
              </w:rPr>
              <w:t xml:space="preserve"> </w:t>
            </w:r>
            <w:r w:rsidR="0034655C" w:rsidRPr="00306F4D">
              <w:rPr>
                <w:rFonts w:ascii="Arial" w:eastAsia="Arial" w:hAnsi="Arial" w:cs="Arial"/>
                <w:sz w:val="20"/>
                <w:szCs w:val="20"/>
                <w:lang w:val="en-GB"/>
              </w:rPr>
              <w:t>2,</w:t>
            </w:r>
            <w:r w:rsidR="0093600A" w:rsidRPr="00306F4D">
              <w:rPr>
                <w:rFonts w:ascii="Arial" w:eastAsia="Arial" w:hAnsi="Arial" w:cs="Arial"/>
                <w:sz w:val="20"/>
                <w:szCs w:val="20"/>
                <w:lang w:val="en-GB"/>
              </w:rPr>
              <w:t>767</w:t>
            </w:r>
            <w:r w:rsidR="0034655C" w:rsidRPr="00306F4D">
              <w:rPr>
                <w:rFonts w:ascii="Arial" w:eastAsia="Arial" w:hAnsi="Arial" w:cs="Arial"/>
                <w:sz w:val="20"/>
                <w:szCs w:val="20"/>
                <w:lang w:val="en-GB"/>
              </w:rPr>
              <w:t>,793</w:t>
            </w:r>
            <w:proofErr w:type="gramEnd"/>
          </w:p>
        </w:tc>
      </w:tr>
      <w:tr w:rsidR="008D71D5" w:rsidRPr="00306F4D" w14:paraId="4083110F" w14:textId="77777777" w:rsidTr="6C3497F9">
        <w:trPr>
          <w:cantSplit/>
          <w:trHeight w:val="300"/>
        </w:trPr>
        <w:tc>
          <w:tcPr>
            <w:tcW w:w="2062" w:type="dxa"/>
            <w:shd w:val="clear" w:color="auto" w:fill="FFFFFF" w:themeFill="background1"/>
          </w:tcPr>
          <w:p w14:paraId="532AA412" w14:textId="6F74C97C" w:rsidR="00440AD6" w:rsidRPr="00306F4D" w:rsidRDefault="00440AD6" w:rsidP="6FBE36C6">
            <w:pPr>
              <w:spacing w:line="276" w:lineRule="auto"/>
              <w:rPr>
                <w:rFonts w:ascii="Arial" w:eastAsia="Arial" w:hAnsi="Arial" w:cs="Arial"/>
                <w:b/>
                <w:bCs/>
                <w:color w:val="000000" w:themeColor="text1"/>
                <w:sz w:val="20"/>
                <w:szCs w:val="20"/>
                <w:lang w:val="en-GB"/>
              </w:rPr>
            </w:pPr>
            <w:r w:rsidRPr="00306F4D">
              <w:rPr>
                <w:rFonts w:ascii="Arial" w:eastAsia="Arial" w:hAnsi="Arial" w:cs="Arial"/>
                <w:b/>
                <w:color w:val="000000" w:themeColor="text1"/>
                <w:sz w:val="20"/>
                <w:szCs w:val="20"/>
                <w:lang w:val="en-GB"/>
              </w:rPr>
              <w:t xml:space="preserve">2. </w:t>
            </w:r>
            <w:r w:rsidR="4A961CB6" w:rsidRPr="00306F4D">
              <w:rPr>
                <w:b/>
                <w:bCs/>
                <w:lang w:val="en-GB"/>
              </w:rPr>
              <w:t xml:space="preserve">Technical assistance and capability development for scale </w:t>
            </w:r>
          </w:p>
          <w:p w14:paraId="5F8D4DE8" w14:textId="53987CF2" w:rsidR="00440AD6" w:rsidRPr="00306F4D" w:rsidRDefault="00440AD6" w:rsidP="00FC2E4E">
            <w:pPr>
              <w:spacing w:line="276" w:lineRule="auto"/>
            </w:pPr>
          </w:p>
        </w:tc>
        <w:tc>
          <w:tcPr>
            <w:tcW w:w="2044" w:type="dxa"/>
            <w:shd w:val="clear" w:color="auto" w:fill="FFFFFF" w:themeFill="background1"/>
          </w:tcPr>
          <w:p w14:paraId="7E4222D1" w14:textId="77777777" w:rsidR="00440AD6" w:rsidRPr="00306F4D" w:rsidRDefault="00440AD6" w:rsidP="00FC2E4E">
            <w:pPr>
              <w:spacing w:after="0" w:line="276" w:lineRule="auto"/>
              <w:rPr>
                <w:rFonts w:ascii="Arial" w:eastAsia="Arial" w:hAnsi="Arial" w:cs="Arial"/>
                <w:color w:val="auto"/>
                <w:sz w:val="20"/>
                <w:szCs w:val="20"/>
              </w:rPr>
            </w:pPr>
            <w:r w:rsidRPr="00306F4D">
              <w:rPr>
                <w:rFonts w:ascii="Arial" w:eastAsia="Arial" w:hAnsi="Arial" w:cs="Arial"/>
                <w:b/>
                <w:color w:val="000000" w:themeColor="text1"/>
                <w:sz w:val="20"/>
                <w:szCs w:val="20"/>
                <w:lang w:val="en-GB"/>
              </w:rPr>
              <w:t xml:space="preserve">Outcome 2:  </w:t>
            </w:r>
            <w:r w:rsidR="000A45A9" w:rsidRPr="00306F4D">
              <w:rPr>
                <w:rFonts w:ascii="Arial" w:eastAsia="Arial" w:hAnsi="Arial" w:cs="Arial"/>
                <w:color w:val="auto"/>
                <w:sz w:val="20"/>
                <w:szCs w:val="20"/>
              </w:rPr>
              <w:t xml:space="preserve"> Selected adaptation innovations are strengthened and </w:t>
            </w:r>
            <w:r w:rsidR="00AF7B92" w:rsidRPr="00306F4D">
              <w:rPr>
                <w:rFonts w:ascii="Arial" w:eastAsia="Arial" w:hAnsi="Arial" w:cs="Arial"/>
                <w:color w:val="auto"/>
                <w:sz w:val="20"/>
                <w:szCs w:val="20"/>
              </w:rPr>
              <w:t xml:space="preserve">positioned for </w:t>
            </w:r>
            <w:r w:rsidR="000A45A9" w:rsidRPr="00306F4D">
              <w:rPr>
                <w:rFonts w:ascii="Arial" w:eastAsia="Arial" w:hAnsi="Arial" w:cs="Arial"/>
                <w:color w:val="auto"/>
                <w:sz w:val="20"/>
                <w:szCs w:val="20"/>
              </w:rPr>
              <w:t xml:space="preserve">scale through tailored business development support, market testing, and </w:t>
            </w:r>
            <w:r w:rsidR="00857A33" w:rsidRPr="00306F4D">
              <w:rPr>
                <w:rFonts w:ascii="Arial" w:eastAsia="Arial" w:hAnsi="Arial" w:cs="Arial"/>
                <w:color w:val="auto"/>
                <w:sz w:val="20"/>
                <w:szCs w:val="20"/>
              </w:rPr>
              <w:t xml:space="preserve">identification of </w:t>
            </w:r>
            <w:r w:rsidR="000A45A9" w:rsidRPr="00306F4D">
              <w:rPr>
                <w:rFonts w:ascii="Arial" w:eastAsia="Arial" w:hAnsi="Arial" w:cs="Arial"/>
                <w:color w:val="auto"/>
                <w:sz w:val="20"/>
                <w:szCs w:val="20"/>
              </w:rPr>
              <w:t>funding</w:t>
            </w:r>
            <w:r w:rsidR="009A260C" w:rsidRPr="00306F4D">
              <w:rPr>
                <w:rFonts w:ascii="Arial" w:eastAsia="Arial" w:hAnsi="Arial" w:cs="Arial"/>
                <w:color w:val="auto"/>
                <w:sz w:val="20"/>
                <w:szCs w:val="20"/>
              </w:rPr>
              <w:t xml:space="preserve"> and </w:t>
            </w:r>
            <w:r w:rsidR="000A45A9" w:rsidRPr="00306F4D">
              <w:rPr>
                <w:rFonts w:ascii="Arial" w:eastAsia="Arial" w:hAnsi="Arial" w:cs="Arial"/>
                <w:color w:val="auto"/>
                <w:sz w:val="20"/>
                <w:szCs w:val="20"/>
              </w:rPr>
              <w:t xml:space="preserve">financing pathways. </w:t>
            </w:r>
          </w:p>
          <w:p w14:paraId="5E47C339" w14:textId="77777777" w:rsidR="00496789" w:rsidRPr="00306F4D" w:rsidRDefault="00496789" w:rsidP="00FC2E4E">
            <w:pPr>
              <w:spacing w:after="0" w:line="276" w:lineRule="auto"/>
              <w:rPr>
                <w:rFonts w:ascii="Arial" w:eastAsia="Arial" w:hAnsi="Arial" w:cs="Arial"/>
                <w:b/>
                <w:color w:val="auto"/>
                <w:sz w:val="20"/>
                <w:szCs w:val="20"/>
                <w:lang w:val="en-GB"/>
              </w:rPr>
            </w:pPr>
          </w:p>
          <w:p w14:paraId="4AF2B28B" w14:textId="4D3D82A5" w:rsidR="00496789" w:rsidRPr="00306F4D" w:rsidRDefault="00496789" w:rsidP="00FC2E4E">
            <w:pPr>
              <w:spacing w:after="0" w:line="276" w:lineRule="auto"/>
              <w:rPr>
                <w:rFonts w:ascii="Arial" w:eastAsia="Arial" w:hAnsi="Arial" w:cs="Arial"/>
                <w:b/>
                <w:color w:val="000000" w:themeColor="text1"/>
                <w:sz w:val="20"/>
                <w:szCs w:val="20"/>
                <w:lang w:val="en-GB"/>
              </w:rPr>
            </w:pPr>
          </w:p>
        </w:tc>
        <w:tc>
          <w:tcPr>
            <w:tcW w:w="2795" w:type="dxa"/>
            <w:shd w:val="clear" w:color="auto" w:fill="FFFFFF" w:themeFill="background1"/>
          </w:tcPr>
          <w:p w14:paraId="059B714D" w14:textId="4A741B5F" w:rsidR="00440AD6" w:rsidRPr="00306F4D" w:rsidRDefault="2400B160" w:rsidP="695697BF">
            <w:pPr>
              <w:spacing w:after="0" w:line="276" w:lineRule="auto"/>
              <w:rPr>
                <w:rFonts w:ascii="Arial" w:eastAsia="Arial" w:hAnsi="Arial" w:cs="Arial"/>
                <w:color w:val="000000" w:themeColor="text1"/>
                <w:sz w:val="20"/>
                <w:szCs w:val="20"/>
              </w:rPr>
            </w:pPr>
            <w:r w:rsidRPr="00306F4D">
              <w:rPr>
                <w:rFonts w:ascii="Arial" w:eastAsia="Arial" w:hAnsi="Arial" w:cs="Arial"/>
                <w:b/>
                <w:color w:val="000000" w:themeColor="text1"/>
                <w:sz w:val="20"/>
                <w:szCs w:val="20"/>
                <w:lang w:val="en-GB"/>
              </w:rPr>
              <w:t>Output 2.1:</w:t>
            </w:r>
            <w:r w:rsidRPr="00306F4D">
              <w:rPr>
                <w:rFonts w:ascii="Arial" w:eastAsia="Arial" w:hAnsi="Arial" w:cs="Arial"/>
                <w:color w:val="000000" w:themeColor="text1"/>
                <w:sz w:val="20"/>
                <w:szCs w:val="20"/>
                <w:lang w:val="en-GB"/>
              </w:rPr>
              <w:t xml:space="preserve"> </w:t>
            </w:r>
            <w:r w:rsidR="53144480" w:rsidRPr="00306F4D">
              <w:rPr>
                <w:rFonts w:ascii="Arial" w:eastAsia="Arial" w:hAnsi="Arial" w:cs="Arial"/>
                <w:color w:val="000000" w:themeColor="text1"/>
                <w:sz w:val="20"/>
                <w:szCs w:val="20"/>
              </w:rPr>
              <w:t>Adaptation innovators receive tailored business development support, including incubation, acceleration, mentoring, and market testing, to strengthen implementation readiness and sustainability.</w:t>
            </w:r>
          </w:p>
          <w:p w14:paraId="37563ADD" w14:textId="77777777" w:rsidR="00440AD6" w:rsidRPr="00306F4D" w:rsidRDefault="00440AD6" w:rsidP="00FC2E4E">
            <w:pPr>
              <w:spacing w:after="0" w:line="276" w:lineRule="auto"/>
              <w:rPr>
                <w:rFonts w:ascii="Arial" w:eastAsia="Arial" w:hAnsi="Arial" w:cs="Arial"/>
                <w:color w:val="000000" w:themeColor="text1"/>
                <w:sz w:val="20"/>
                <w:szCs w:val="20"/>
              </w:rPr>
            </w:pPr>
          </w:p>
          <w:p w14:paraId="5BB86299" w14:textId="638B296F" w:rsidR="00440AD6" w:rsidRPr="00306F4D" w:rsidRDefault="00440AD6" w:rsidP="00FC2E4E">
            <w:pPr>
              <w:spacing w:after="0" w:line="276" w:lineRule="auto"/>
              <w:rPr>
                <w:rFonts w:ascii="Arial" w:eastAsia="Arial" w:hAnsi="Arial" w:cs="Arial"/>
                <w:b/>
                <w:color w:val="000000" w:themeColor="text1"/>
                <w:sz w:val="20"/>
                <w:szCs w:val="20"/>
              </w:rPr>
            </w:pPr>
            <w:r w:rsidRPr="00306F4D">
              <w:rPr>
                <w:rFonts w:ascii="Arial" w:eastAsia="Arial" w:hAnsi="Arial" w:cs="Arial"/>
                <w:b/>
                <w:color w:val="000000" w:themeColor="text1"/>
                <w:sz w:val="20"/>
                <w:szCs w:val="20"/>
                <w:lang w:val="en-GB"/>
              </w:rPr>
              <w:t>Output 2.2:</w:t>
            </w:r>
            <w:r w:rsidRPr="00306F4D">
              <w:rPr>
                <w:rFonts w:ascii="Arial" w:eastAsia="Arial" w:hAnsi="Arial" w:cs="Arial"/>
                <w:color w:val="000000" w:themeColor="text1"/>
                <w:sz w:val="20"/>
                <w:szCs w:val="20"/>
                <w:lang w:val="en-GB"/>
              </w:rPr>
              <w:t xml:space="preserve"> </w:t>
            </w:r>
            <w:r w:rsidR="001F203C" w:rsidRPr="00306F4D">
              <w:rPr>
                <w:rFonts w:ascii="Arial" w:eastAsia="Arial" w:hAnsi="Arial" w:cs="Arial"/>
                <w:color w:val="000000" w:themeColor="text1"/>
                <w:sz w:val="20"/>
                <w:szCs w:val="20"/>
              </w:rPr>
              <w:t>Scalable adaptation innovations are connected to funding and financing opportunities and supported for integration into national systems, local service delivery, or relevant markets.</w:t>
            </w:r>
          </w:p>
        </w:tc>
        <w:tc>
          <w:tcPr>
            <w:tcW w:w="1560" w:type="dxa"/>
            <w:shd w:val="clear" w:color="auto" w:fill="FFFFFF" w:themeFill="background1"/>
          </w:tcPr>
          <w:p w14:paraId="2F22DEE9" w14:textId="77777777" w:rsidR="00440AD6" w:rsidRPr="00306F4D" w:rsidRDefault="00440AD6" w:rsidP="00FC2E4E">
            <w:pPr>
              <w:spacing w:after="0" w:line="276" w:lineRule="auto"/>
              <w:jc w:val="center"/>
              <w:textAlignment w:val="baseline"/>
              <w:rPr>
                <w:rFonts w:ascii="Arial" w:eastAsia="Arial" w:hAnsi="Arial" w:cs="Arial"/>
                <w:color w:val="000000" w:themeColor="text1"/>
                <w:sz w:val="20"/>
                <w:szCs w:val="20"/>
              </w:rPr>
            </w:pPr>
            <w:r w:rsidRPr="00306F4D">
              <w:rPr>
                <w:rFonts w:ascii="Arial" w:eastAsia="Arial" w:hAnsi="Arial" w:cs="Arial"/>
                <w:color w:val="000000" w:themeColor="text1"/>
                <w:sz w:val="20"/>
                <w:szCs w:val="20"/>
                <w:lang w:val="en-GB"/>
              </w:rPr>
              <w:t>Bosnia and Herzegovina, Montenegro, North Macedonia, and Serbia</w:t>
            </w:r>
            <w:r w:rsidRPr="00306F4D">
              <w:rPr>
                <w:rFonts w:ascii="Arial" w:eastAsia="Arial" w:hAnsi="Arial" w:cs="Arial"/>
                <w:color w:val="000000" w:themeColor="text1"/>
                <w:sz w:val="20"/>
                <w:szCs w:val="20"/>
              </w:rPr>
              <w:t> </w:t>
            </w:r>
          </w:p>
          <w:p w14:paraId="4BAB7B32" w14:textId="67CE5DAC" w:rsidR="00440AD6" w:rsidRPr="00306F4D" w:rsidRDefault="00440AD6" w:rsidP="00FC2E4E">
            <w:pPr>
              <w:spacing w:line="276" w:lineRule="auto"/>
              <w:jc w:val="center"/>
              <w:rPr>
                <w:rFonts w:ascii="Arial" w:eastAsia="Arial" w:hAnsi="Arial" w:cs="Arial"/>
                <w:color w:val="000000" w:themeColor="text1"/>
                <w:sz w:val="20"/>
                <w:szCs w:val="20"/>
                <w:lang w:val="en-GB"/>
              </w:rPr>
            </w:pPr>
            <w:r w:rsidRPr="00306F4D">
              <w:rPr>
                <w:rFonts w:ascii="Arial" w:eastAsia="Arial" w:hAnsi="Arial" w:cs="Arial"/>
                <w:color w:val="000000" w:themeColor="text1"/>
                <w:sz w:val="20"/>
                <w:szCs w:val="20"/>
              </w:rPr>
              <w:t> </w:t>
            </w:r>
          </w:p>
        </w:tc>
        <w:tc>
          <w:tcPr>
            <w:tcW w:w="1697" w:type="dxa"/>
            <w:shd w:val="clear" w:color="auto" w:fill="FFFFFF" w:themeFill="background1"/>
          </w:tcPr>
          <w:p w14:paraId="0CA2116C" w14:textId="6C8F965F" w:rsidR="00440AD6" w:rsidRPr="00306F4D" w:rsidRDefault="0DB4CF86" w:rsidP="49C6F20D">
            <w:pPr>
              <w:spacing w:line="276" w:lineRule="auto"/>
              <w:jc w:val="center"/>
              <w:rPr>
                <w:rFonts w:ascii="Arial" w:eastAsia="Arial" w:hAnsi="Arial" w:cs="Arial"/>
                <w:color w:val="000000" w:themeColor="text1"/>
                <w:sz w:val="20"/>
                <w:szCs w:val="20"/>
                <w:lang w:val="en-GB"/>
              </w:rPr>
            </w:pPr>
            <w:proofErr w:type="gramStart"/>
            <w:r w:rsidRPr="00306F4D">
              <w:rPr>
                <w:rFonts w:ascii="Arial" w:eastAsia="Arial" w:hAnsi="Arial" w:cs="Arial"/>
                <w:color w:val="000000" w:themeColor="text1"/>
                <w:sz w:val="20"/>
                <w:szCs w:val="20"/>
              </w:rPr>
              <w:t>$</w:t>
            </w:r>
            <w:r w:rsidR="00DF35FA" w:rsidRPr="00306F4D">
              <w:rPr>
                <w:rFonts w:ascii="Arial" w:eastAsia="Arial" w:hAnsi="Arial" w:cs="Arial"/>
                <w:color w:val="000000" w:themeColor="text1"/>
                <w:sz w:val="20"/>
                <w:szCs w:val="20"/>
              </w:rPr>
              <w:t xml:space="preserve"> </w:t>
            </w:r>
            <w:r w:rsidR="00FF0FCF" w:rsidRPr="00306F4D">
              <w:rPr>
                <w:rFonts w:ascii="Arial" w:eastAsia="Arial" w:hAnsi="Arial" w:cs="Arial"/>
                <w:color w:val="000000" w:themeColor="text1"/>
                <w:sz w:val="20"/>
                <w:szCs w:val="20"/>
              </w:rPr>
              <w:t xml:space="preserve"> 981</w:t>
            </w:r>
            <w:r w:rsidR="001D5354" w:rsidRPr="00306F4D">
              <w:rPr>
                <w:rFonts w:ascii="Arial" w:eastAsia="Arial" w:hAnsi="Arial" w:cs="Arial"/>
                <w:color w:val="000000" w:themeColor="text1"/>
                <w:sz w:val="20"/>
                <w:szCs w:val="20"/>
              </w:rPr>
              <w:t>,</w:t>
            </w:r>
            <w:r w:rsidR="00354405" w:rsidRPr="00306F4D">
              <w:rPr>
                <w:rFonts w:ascii="Arial" w:eastAsia="Arial" w:hAnsi="Arial" w:cs="Arial"/>
                <w:color w:val="000000" w:themeColor="text1"/>
                <w:sz w:val="20"/>
                <w:szCs w:val="20"/>
              </w:rPr>
              <w:t>656</w:t>
            </w:r>
            <w:proofErr w:type="gramEnd"/>
          </w:p>
        </w:tc>
      </w:tr>
      <w:tr w:rsidR="008D71D5" w:rsidRPr="00306F4D" w14:paraId="07A261D9" w14:textId="77777777" w:rsidTr="6C3497F9">
        <w:trPr>
          <w:cantSplit/>
          <w:trHeight w:val="300"/>
        </w:trPr>
        <w:tc>
          <w:tcPr>
            <w:tcW w:w="2062" w:type="dxa"/>
            <w:shd w:val="clear" w:color="auto" w:fill="FFFFFF" w:themeFill="background1"/>
          </w:tcPr>
          <w:p w14:paraId="4DE111CF" w14:textId="182D5CEB" w:rsidR="00EA0729" w:rsidRPr="00306F4D" w:rsidRDefault="00440AD6" w:rsidP="03044986">
            <w:pPr>
              <w:spacing w:line="276" w:lineRule="auto"/>
              <w:rPr>
                <w:b/>
              </w:rPr>
            </w:pPr>
            <w:r w:rsidRPr="00306F4D">
              <w:rPr>
                <w:rFonts w:asciiTheme="minorHAnsi" w:eastAsiaTheme="minorEastAsia" w:hAnsiTheme="minorHAnsi" w:cstheme="minorBidi"/>
                <w:b/>
                <w:color w:val="000000" w:themeColor="text1"/>
              </w:rPr>
              <w:t>3</w:t>
            </w:r>
            <w:r w:rsidR="00EA0729" w:rsidRPr="00306F4D">
              <w:rPr>
                <w:rFonts w:asciiTheme="minorHAnsi" w:eastAsiaTheme="minorEastAsia" w:hAnsiTheme="minorHAnsi" w:cstheme="minorBidi"/>
                <w:b/>
                <w:color w:val="000000" w:themeColor="text1"/>
              </w:rPr>
              <w:t xml:space="preserve">. </w:t>
            </w:r>
            <w:r w:rsidR="00464820" w:rsidRPr="00306F4D">
              <w:rPr>
                <w:rFonts w:asciiTheme="minorHAnsi" w:eastAsiaTheme="minorEastAsia" w:hAnsiTheme="minorHAnsi" w:cstheme="minorBidi"/>
                <w:b/>
                <w:color w:val="000000" w:themeColor="text1"/>
              </w:rPr>
              <w:t xml:space="preserve"> </w:t>
            </w:r>
            <w:r w:rsidR="00EA0729" w:rsidRPr="00306F4D">
              <w:rPr>
                <w:rFonts w:asciiTheme="minorHAnsi" w:eastAsiaTheme="minorEastAsia" w:hAnsiTheme="minorHAnsi" w:cstheme="minorBidi"/>
                <w:b/>
                <w:color w:val="000000" w:themeColor="text1"/>
              </w:rPr>
              <w:t>Knowledge Management and Regional Collaboration</w:t>
            </w:r>
          </w:p>
          <w:p w14:paraId="006B0976" w14:textId="3BA0AA2F" w:rsidR="00EA0729" w:rsidRPr="00306F4D" w:rsidRDefault="00EA0729" w:rsidP="00FC2E4E">
            <w:pPr>
              <w:spacing w:line="276" w:lineRule="auto"/>
              <w:rPr>
                <w:b/>
                <w:lang w:val="en-GB"/>
              </w:rPr>
            </w:pPr>
          </w:p>
        </w:tc>
        <w:tc>
          <w:tcPr>
            <w:tcW w:w="2044" w:type="dxa"/>
            <w:shd w:val="clear" w:color="auto" w:fill="FFFFFF" w:themeFill="background1"/>
          </w:tcPr>
          <w:p w14:paraId="181EB75C" w14:textId="77777777" w:rsidR="176C6F8F" w:rsidRPr="00306F4D" w:rsidRDefault="176C6F8F" w:rsidP="00FC2E4E">
            <w:pPr>
              <w:spacing w:after="0" w:line="276" w:lineRule="auto"/>
              <w:rPr>
                <w:rFonts w:ascii="Arial" w:eastAsia="Arial" w:hAnsi="Arial" w:cs="Arial"/>
                <w:color w:val="auto"/>
                <w:sz w:val="20"/>
                <w:szCs w:val="20"/>
              </w:rPr>
            </w:pPr>
            <w:r w:rsidRPr="00306F4D">
              <w:rPr>
                <w:rFonts w:ascii="Arial" w:eastAsia="Arial" w:hAnsi="Arial" w:cs="Arial"/>
                <w:b/>
                <w:color w:val="000000" w:themeColor="text1"/>
                <w:sz w:val="20"/>
                <w:szCs w:val="20"/>
                <w:lang w:val="en-GB"/>
              </w:rPr>
              <w:t xml:space="preserve">Outcome </w:t>
            </w:r>
            <w:r w:rsidR="00440AD6" w:rsidRPr="00306F4D">
              <w:rPr>
                <w:rFonts w:ascii="Arial" w:eastAsia="Arial" w:hAnsi="Arial" w:cs="Arial"/>
                <w:b/>
                <w:color w:val="000000" w:themeColor="text1"/>
                <w:sz w:val="20"/>
                <w:szCs w:val="20"/>
                <w:lang w:val="en-GB"/>
              </w:rPr>
              <w:t>3</w:t>
            </w:r>
            <w:r w:rsidRPr="00306F4D">
              <w:rPr>
                <w:rFonts w:ascii="Arial" w:eastAsia="Arial" w:hAnsi="Arial" w:cs="Arial"/>
                <w:b/>
                <w:color w:val="000000" w:themeColor="text1"/>
                <w:sz w:val="20"/>
                <w:szCs w:val="20"/>
                <w:lang w:val="en-GB"/>
              </w:rPr>
              <w:t>:</w:t>
            </w:r>
            <w:r w:rsidRPr="00306F4D">
              <w:rPr>
                <w:rFonts w:ascii="Arial" w:eastAsia="Arial" w:hAnsi="Arial" w:cs="Arial"/>
                <w:color w:val="000000" w:themeColor="text1"/>
                <w:sz w:val="20"/>
                <w:szCs w:val="20"/>
                <w:lang w:val="en-GB"/>
              </w:rPr>
              <w:t xml:space="preserve"> </w:t>
            </w:r>
            <w:r w:rsidR="00CE666C" w:rsidRPr="00306F4D">
              <w:rPr>
                <w:rFonts w:ascii="Arial" w:eastAsia="Arial" w:hAnsi="Arial" w:cs="Arial"/>
                <w:color w:val="auto"/>
                <w:sz w:val="20"/>
                <w:szCs w:val="20"/>
              </w:rPr>
              <w:t xml:space="preserve"> Knowledge, evidence, and lessons from adaptation innovations are </w:t>
            </w:r>
            <w:r w:rsidR="00364699" w:rsidRPr="00306F4D">
              <w:rPr>
                <w:rFonts w:ascii="Arial" w:eastAsia="Arial" w:hAnsi="Arial" w:cs="Arial"/>
                <w:color w:val="auto"/>
                <w:sz w:val="20"/>
                <w:szCs w:val="20"/>
              </w:rPr>
              <w:t>captured</w:t>
            </w:r>
            <w:r w:rsidR="00CE666C" w:rsidRPr="00306F4D">
              <w:rPr>
                <w:rFonts w:ascii="Arial" w:eastAsia="Arial" w:hAnsi="Arial" w:cs="Arial"/>
                <w:color w:val="auto"/>
                <w:sz w:val="20"/>
                <w:szCs w:val="20"/>
              </w:rPr>
              <w:t xml:space="preserve">, </w:t>
            </w:r>
            <w:r w:rsidR="006F6835" w:rsidRPr="00306F4D">
              <w:rPr>
                <w:rFonts w:ascii="Arial" w:eastAsia="Arial" w:hAnsi="Arial" w:cs="Arial"/>
                <w:color w:val="auto"/>
                <w:sz w:val="20"/>
                <w:szCs w:val="20"/>
              </w:rPr>
              <w:t>shared</w:t>
            </w:r>
            <w:r w:rsidR="00CE666C" w:rsidRPr="00306F4D">
              <w:rPr>
                <w:rFonts w:ascii="Arial" w:eastAsia="Arial" w:hAnsi="Arial" w:cs="Arial"/>
                <w:color w:val="auto"/>
                <w:sz w:val="20"/>
                <w:szCs w:val="20"/>
              </w:rPr>
              <w:t xml:space="preserve">, </w:t>
            </w:r>
            <w:r w:rsidR="00CE666C" w:rsidRPr="00306F4D">
              <w:rPr>
                <w:rFonts w:ascii="Arial" w:eastAsia="Arial" w:hAnsi="Arial" w:cs="Arial"/>
                <w:color w:val="auto"/>
                <w:sz w:val="20"/>
                <w:szCs w:val="20"/>
              </w:rPr>
              <w:lastRenderedPageBreak/>
              <w:t xml:space="preserve">and leveraged </w:t>
            </w:r>
            <w:r w:rsidR="00C43453" w:rsidRPr="00306F4D">
              <w:rPr>
                <w:rFonts w:ascii="Arial" w:eastAsia="Arial" w:hAnsi="Arial" w:cs="Arial"/>
                <w:color w:val="auto"/>
                <w:sz w:val="20"/>
                <w:szCs w:val="20"/>
              </w:rPr>
              <w:t xml:space="preserve">to inform </w:t>
            </w:r>
            <w:r w:rsidR="00CE666C" w:rsidRPr="00306F4D">
              <w:rPr>
                <w:rFonts w:ascii="Arial" w:eastAsia="Arial" w:hAnsi="Arial" w:cs="Arial"/>
                <w:color w:val="auto"/>
                <w:sz w:val="20"/>
                <w:szCs w:val="20"/>
              </w:rPr>
              <w:t>replication</w:t>
            </w:r>
            <w:r w:rsidR="00C43453" w:rsidRPr="00306F4D">
              <w:rPr>
                <w:rFonts w:ascii="Arial" w:eastAsia="Arial" w:hAnsi="Arial" w:cs="Arial"/>
                <w:color w:val="auto"/>
                <w:sz w:val="20"/>
                <w:szCs w:val="20"/>
              </w:rPr>
              <w:t>, scale and policy engagement</w:t>
            </w:r>
            <w:r w:rsidR="00CE666C" w:rsidRPr="00306F4D">
              <w:rPr>
                <w:rFonts w:ascii="Arial" w:eastAsia="Arial" w:hAnsi="Arial" w:cs="Arial"/>
                <w:color w:val="auto"/>
                <w:sz w:val="20"/>
                <w:szCs w:val="20"/>
              </w:rPr>
              <w:t xml:space="preserve"> across the </w:t>
            </w:r>
            <w:r w:rsidR="00C43453" w:rsidRPr="00306F4D">
              <w:rPr>
                <w:rFonts w:ascii="Arial" w:eastAsia="Arial" w:hAnsi="Arial" w:cs="Arial"/>
                <w:color w:val="auto"/>
                <w:sz w:val="20"/>
                <w:szCs w:val="20"/>
              </w:rPr>
              <w:t>Western Balkans</w:t>
            </w:r>
            <w:r w:rsidR="00CE666C" w:rsidRPr="00306F4D">
              <w:rPr>
                <w:rFonts w:ascii="Arial" w:eastAsia="Arial" w:hAnsi="Arial" w:cs="Arial"/>
                <w:color w:val="auto"/>
                <w:sz w:val="20"/>
                <w:szCs w:val="20"/>
              </w:rPr>
              <w:t xml:space="preserve"> through regional learning platform and global networks.</w:t>
            </w:r>
          </w:p>
          <w:p w14:paraId="528BE27F" w14:textId="3416B978" w:rsidR="00F16DD0" w:rsidRPr="00306F4D" w:rsidRDefault="00F16DD0" w:rsidP="00FC2E4E">
            <w:pPr>
              <w:spacing w:after="0" w:line="276" w:lineRule="auto"/>
              <w:rPr>
                <w:rFonts w:ascii="Arial" w:eastAsia="Arial" w:hAnsi="Arial" w:cs="Arial"/>
                <w:b/>
                <w:color w:val="000000" w:themeColor="text1"/>
                <w:sz w:val="20"/>
                <w:szCs w:val="20"/>
                <w:lang w:val="en-GB"/>
              </w:rPr>
            </w:pPr>
          </w:p>
        </w:tc>
        <w:tc>
          <w:tcPr>
            <w:tcW w:w="2795" w:type="dxa"/>
            <w:shd w:val="clear" w:color="auto" w:fill="FFFFFF" w:themeFill="background1"/>
          </w:tcPr>
          <w:p w14:paraId="6961AA4B" w14:textId="755B9C8C" w:rsidR="176C6F8F" w:rsidRPr="00306F4D" w:rsidRDefault="176C6F8F" w:rsidP="00FC2E4E">
            <w:pPr>
              <w:spacing w:after="0" w:line="276" w:lineRule="auto"/>
              <w:rPr>
                <w:rFonts w:ascii="Arial" w:eastAsia="Arial" w:hAnsi="Arial" w:cs="Arial"/>
                <w:color w:val="000000" w:themeColor="text1"/>
                <w:sz w:val="20"/>
                <w:szCs w:val="20"/>
              </w:rPr>
            </w:pPr>
            <w:r w:rsidRPr="00306F4D">
              <w:rPr>
                <w:rFonts w:ascii="Arial" w:eastAsia="Arial" w:hAnsi="Arial" w:cs="Arial"/>
                <w:b/>
                <w:color w:val="000000" w:themeColor="text1"/>
                <w:sz w:val="20"/>
                <w:szCs w:val="20"/>
                <w:lang w:val="en-GB"/>
              </w:rPr>
              <w:lastRenderedPageBreak/>
              <w:t xml:space="preserve">Output </w:t>
            </w:r>
            <w:r w:rsidR="00440AD6" w:rsidRPr="00306F4D">
              <w:rPr>
                <w:rFonts w:ascii="Arial" w:eastAsia="Arial" w:hAnsi="Arial" w:cs="Arial"/>
                <w:b/>
                <w:color w:val="000000" w:themeColor="text1"/>
                <w:sz w:val="20"/>
                <w:szCs w:val="20"/>
                <w:lang w:val="en-GB"/>
              </w:rPr>
              <w:t>3</w:t>
            </w:r>
            <w:r w:rsidRPr="00306F4D">
              <w:rPr>
                <w:rFonts w:ascii="Arial" w:eastAsia="Arial" w:hAnsi="Arial" w:cs="Arial"/>
                <w:b/>
                <w:color w:val="000000" w:themeColor="text1"/>
                <w:sz w:val="20"/>
                <w:szCs w:val="20"/>
                <w:lang w:val="en-GB"/>
              </w:rPr>
              <w:t>.1:</w:t>
            </w:r>
            <w:r w:rsidRPr="00306F4D">
              <w:rPr>
                <w:rFonts w:ascii="Arial" w:eastAsia="Arial" w:hAnsi="Arial" w:cs="Arial"/>
                <w:color w:val="000000" w:themeColor="text1"/>
                <w:sz w:val="20"/>
                <w:szCs w:val="20"/>
                <w:lang w:val="en-GB"/>
              </w:rPr>
              <w:t xml:space="preserve"> </w:t>
            </w:r>
            <w:r w:rsidR="003814FB" w:rsidRPr="00306F4D">
              <w:rPr>
                <w:rFonts w:ascii="Arial" w:eastAsia="Arial" w:hAnsi="Arial" w:cs="Arial"/>
                <w:color w:val="000000" w:themeColor="text1"/>
                <w:sz w:val="20"/>
                <w:szCs w:val="20"/>
              </w:rPr>
              <w:t xml:space="preserve">Regional knowledge exchange platforms and collaboration mechanisms are established to facilitate peer learning, cross-border dialogue, and community-of-practice </w:t>
            </w:r>
            <w:r w:rsidR="003814FB" w:rsidRPr="00306F4D">
              <w:rPr>
                <w:rFonts w:ascii="Arial" w:eastAsia="Arial" w:hAnsi="Arial" w:cs="Arial"/>
                <w:color w:val="000000" w:themeColor="text1"/>
                <w:sz w:val="20"/>
                <w:szCs w:val="20"/>
              </w:rPr>
              <w:lastRenderedPageBreak/>
              <w:t>engagement among adaptation actors.</w:t>
            </w:r>
          </w:p>
          <w:p w14:paraId="534A6B81" w14:textId="77777777" w:rsidR="00D13961" w:rsidRPr="00306F4D" w:rsidRDefault="00D13961" w:rsidP="00FC2E4E">
            <w:pPr>
              <w:spacing w:after="0" w:line="276" w:lineRule="auto"/>
              <w:rPr>
                <w:rFonts w:ascii="Arial" w:eastAsia="Arial" w:hAnsi="Arial" w:cs="Arial"/>
                <w:b/>
                <w:color w:val="000000" w:themeColor="text1"/>
                <w:sz w:val="20"/>
                <w:szCs w:val="20"/>
                <w:lang w:val="en-GB"/>
              </w:rPr>
            </w:pPr>
          </w:p>
          <w:p w14:paraId="555A2C1B" w14:textId="43BCB7CB" w:rsidR="176C6F8F" w:rsidRPr="00306F4D" w:rsidRDefault="176C6F8F" w:rsidP="00FC2E4E">
            <w:pPr>
              <w:spacing w:after="0" w:line="276" w:lineRule="auto"/>
              <w:rPr>
                <w:rFonts w:ascii="Arial" w:eastAsia="Arial" w:hAnsi="Arial" w:cs="Arial"/>
                <w:b/>
                <w:color w:val="000000" w:themeColor="text1"/>
                <w:sz w:val="20"/>
                <w:szCs w:val="20"/>
                <w:lang w:val="en-GB"/>
              </w:rPr>
            </w:pPr>
            <w:r w:rsidRPr="00306F4D">
              <w:rPr>
                <w:rFonts w:ascii="Arial" w:eastAsia="Arial" w:hAnsi="Arial" w:cs="Arial"/>
                <w:b/>
                <w:color w:val="000000" w:themeColor="text1"/>
                <w:sz w:val="20"/>
                <w:szCs w:val="20"/>
                <w:lang w:val="en-GB"/>
              </w:rPr>
              <w:t xml:space="preserve">Output </w:t>
            </w:r>
            <w:r w:rsidR="00440AD6" w:rsidRPr="00306F4D">
              <w:rPr>
                <w:rFonts w:ascii="Arial" w:eastAsia="Arial" w:hAnsi="Arial" w:cs="Arial"/>
                <w:b/>
                <w:color w:val="000000" w:themeColor="text1"/>
                <w:sz w:val="20"/>
                <w:szCs w:val="20"/>
                <w:lang w:val="en-GB"/>
              </w:rPr>
              <w:t>3</w:t>
            </w:r>
            <w:r w:rsidRPr="00306F4D">
              <w:rPr>
                <w:rFonts w:ascii="Arial" w:eastAsia="Arial" w:hAnsi="Arial" w:cs="Arial"/>
                <w:b/>
                <w:color w:val="000000" w:themeColor="text1"/>
                <w:sz w:val="20"/>
                <w:szCs w:val="20"/>
                <w:lang w:val="en-GB"/>
              </w:rPr>
              <w:t xml:space="preserve">.2: </w:t>
            </w:r>
            <w:r w:rsidR="00634201" w:rsidRPr="00306F4D">
              <w:rPr>
                <w:rFonts w:ascii="Arial" w:eastAsia="Arial" w:hAnsi="Arial" w:cs="Arial"/>
                <w:color w:val="000000" w:themeColor="text1"/>
                <w:sz w:val="20"/>
                <w:szCs w:val="20"/>
              </w:rPr>
              <w:t>Insights, lessons learned, and good practices from adaptation pilots are systematically documented, synthesized, and disseminated to inform future programming and policy across countries.</w:t>
            </w:r>
          </w:p>
        </w:tc>
        <w:tc>
          <w:tcPr>
            <w:tcW w:w="1560" w:type="dxa"/>
            <w:shd w:val="clear" w:color="auto" w:fill="FFFFFF" w:themeFill="background1"/>
          </w:tcPr>
          <w:p w14:paraId="536CA3B4" w14:textId="43FBDF65" w:rsidR="00EA0729" w:rsidRPr="00306F4D" w:rsidRDefault="08573DC7" w:rsidP="00FC2E4E">
            <w:pPr>
              <w:spacing w:after="0" w:line="276" w:lineRule="auto"/>
              <w:jc w:val="center"/>
              <w:textAlignment w:val="baseline"/>
              <w:rPr>
                <w:rFonts w:ascii="Arial" w:eastAsia="Arial" w:hAnsi="Arial" w:cs="Arial"/>
                <w:color w:val="000000" w:themeColor="text1"/>
                <w:sz w:val="20"/>
                <w:szCs w:val="20"/>
              </w:rPr>
            </w:pPr>
            <w:r w:rsidRPr="00306F4D">
              <w:rPr>
                <w:rFonts w:ascii="Arial" w:eastAsia="Arial" w:hAnsi="Arial" w:cs="Arial"/>
                <w:color w:val="000000" w:themeColor="text1"/>
                <w:sz w:val="20"/>
                <w:szCs w:val="20"/>
                <w:lang w:val="en-GB"/>
              </w:rPr>
              <w:lastRenderedPageBreak/>
              <w:t xml:space="preserve"> Bosnia and Herzegovina, Montenegro, North Macedonia, and Serbia</w:t>
            </w:r>
            <w:r w:rsidRPr="00306F4D">
              <w:rPr>
                <w:rFonts w:ascii="Arial" w:eastAsia="Arial" w:hAnsi="Arial" w:cs="Arial"/>
                <w:color w:val="000000" w:themeColor="text1"/>
                <w:sz w:val="20"/>
                <w:szCs w:val="20"/>
              </w:rPr>
              <w:t> </w:t>
            </w:r>
          </w:p>
          <w:p w14:paraId="1F717A4C" w14:textId="09D10BF5" w:rsidR="00EA0729" w:rsidRPr="00306F4D" w:rsidRDefault="00EA0729" w:rsidP="00FC2E4E">
            <w:pPr>
              <w:spacing w:line="276" w:lineRule="auto"/>
              <w:jc w:val="center"/>
              <w:rPr>
                <w:rFonts w:ascii="Arial" w:eastAsia="Arial" w:hAnsi="Arial" w:cs="Arial"/>
                <w:sz w:val="20"/>
                <w:szCs w:val="20"/>
                <w:lang w:val="en-GB"/>
              </w:rPr>
            </w:pPr>
            <w:r w:rsidRPr="00306F4D">
              <w:rPr>
                <w:rFonts w:ascii="Arial" w:eastAsia="Arial" w:hAnsi="Arial" w:cs="Arial"/>
                <w:color w:val="000000" w:themeColor="text1"/>
                <w:sz w:val="20"/>
                <w:szCs w:val="20"/>
              </w:rPr>
              <w:t> </w:t>
            </w:r>
          </w:p>
        </w:tc>
        <w:tc>
          <w:tcPr>
            <w:tcW w:w="1697" w:type="dxa"/>
            <w:shd w:val="clear" w:color="auto" w:fill="FFFFFF" w:themeFill="background1"/>
          </w:tcPr>
          <w:p w14:paraId="5F6D855E" w14:textId="1B9C9918" w:rsidR="00EA0729" w:rsidRPr="00306F4D" w:rsidRDefault="2BC76B5B" w:rsidP="49C6F20D">
            <w:pPr>
              <w:spacing w:line="276" w:lineRule="auto"/>
              <w:jc w:val="center"/>
              <w:rPr>
                <w:rFonts w:ascii="Arial" w:eastAsia="Arial" w:hAnsi="Arial" w:cs="Arial"/>
                <w:sz w:val="20"/>
                <w:szCs w:val="20"/>
                <w:lang w:val="en-GB"/>
              </w:rPr>
            </w:pPr>
            <w:proofErr w:type="gramStart"/>
            <w:r w:rsidRPr="00306F4D">
              <w:rPr>
                <w:rFonts w:ascii="Arial" w:eastAsia="Arial" w:hAnsi="Arial" w:cs="Arial"/>
                <w:color w:val="auto"/>
                <w:sz w:val="20"/>
                <w:szCs w:val="20"/>
              </w:rPr>
              <w:t>$</w:t>
            </w:r>
            <w:r w:rsidR="00221D5E" w:rsidRPr="00306F4D">
              <w:rPr>
                <w:rFonts w:ascii="Arial" w:eastAsia="Arial" w:hAnsi="Arial" w:cs="Arial"/>
                <w:color w:val="auto"/>
                <w:sz w:val="20"/>
                <w:szCs w:val="20"/>
              </w:rPr>
              <w:t xml:space="preserve"> </w:t>
            </w:r>
            <w:r w:rsidR="00FF0FCF" w:rsidRPr="00306F4D">
              <w:rPr>
                <w:rFonts w:ascii="Arial" w:eastAsia="Arial" w:hAnsi="Arial" w:cs="Arial"/>
                <w:color w:val="auto"/>
                <w:sz w:val="20"/>
                <w:szCs w:val="20"/>
              </w:rPr>
              <w:t xml:space="preserve"> 638</w:t>
            </w:r>
            <w:r w:rsidR="00D814BE" w:rsidRPr="00306F4D">
              <w:rPr>
                <w:rFonts w:ascii="Arial" w:eastAsia="Arial" w:hAnsi="Arial" w:cs="Arial"/>
                <w:color w:val="auto"/>
                <w:sz w:val="20"/>
                <w:szCs w:val="20"/>
              </w:rPr>
              <w:t>,</w:t>
            </w:r>
            <w:r w:rsidR="00221D5E" w:rsidRPr="00306F4D">
              <w:rPr>
                <w:rFonts w:ascii="Arial" w:eastAsia="Arial" w:hAnsi="Arial" w:cs="Arial"/>
                <w:color w:val="auto"/>
                <w:sz w:val="20"/>
                <w:szCs w:val="20"/>
              </w:rPr>
              <w:t>246</w:t>
            </w:r>
            <w:proofErr w:type="gramEnd"/>
          </w:p>
        </w:tc>
      </w:tr>
      <w:tr w:rsidR="00BC3363" w:rsidRPr="00306F4D" w14:paraId="0361E39C" w14:textId="77777777" w:rsidTr="6C3497F9">
        <w:trPr>
          <w:cantSplit/>
          <w:trHeight w:val="300"/>
        </w:trPr>
        <w:tc>
          <w:tcPr>
            <w:tcW w:w="8461" w:type="dxa"/>
            <w:gridSpan w:val="4"/>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62AF17BA" w14:textId="4B905D3D" w:rsidR="00EA0729" w:rsidRPr="00306F4D" w:rsidRDefault="000D5993" w:rsidP="00FC2E4E">
            <w:pPr>
              <w:spacing w:line="276" w:lineRule="auto"/>
              <w:rPr>
                <w:rFonts w:ascii="Arial" w:eastAsia="Arial" w:hAnsi="Arial" w:cs="Arial"/>
                <w:sz w:val="20"/>
                <w:szCs w:val="20"/>
                <w:lang w:val="en-GB"/>
              </w:rPr>
            </w:pPr>
            <w:r w:rsidRPr="00306F4D">
              <w:rPr>
                <w:rFonts w:ascii="Arial" w:eastAsia="Arial" w:hAnsi="Arial" w:cs="Arial"/>
                <w:sz w:val="20"/>
                <w:szCs w:val="20"/>
                <w:lang w:val="en-GB"/>
              </w:rPr>
              <w:t>4</w:t>
            </w:r>
            <w:r w:rsidR="07A7C40C" w:rsidRPr="00306F4D">
              <w:rPr>
                <w:rFonts w:ascii="Arial" w:eastAsia="Arial" w:hAnsi="Arial" w:cs="Arial"/>
                <w:sz w:val="20"/>
                <w:szCs w:val="20"/>
                <w:lang w:val="en-GB"/>
              </w:rPr>
              <w:t>. Project</w:t>
            </w:r>
            <w:r w:rsidR="404C1903" w:rsidRPr="00306F4D">
              <w:rPr>
                <w:rFonts w:ascii="Arial" w:eastAsia="Arial" w:hAnsi="Arial" w:cs="Arial"/>
                <w:sz w:val="20"/>
                <w:szCs w:val="20"/>
                <w:lang w:val="en-GB"/>
              </w:rPr>
              <w:t xml:space="preserve"> Office/Management</w:t>
            </w:r>
            <w:r w:rsidR="07A7C40C" w:rsidRPr="00306F4D">
              <w:rPr>
                <w:rFonts w:ascii="Arial" w:eastAsia="Arial" w:hAnsi="Arial" w:cs="Arial"/>
                <w:sz w:val="20"/>
                <w:szCs w:val="20"/>
                <w:lang w:val="en-GB"/>
              </w:rPr>
              <w:t xml:space="preserve"> Execution cost</w:t>
            </w:r>
            <w:r w:rsidR="61A96375" w:rsidRPr="00306F4D">
              <w:rPr>
                <w:rFonts w:ascii="Arial" w:eastAsia="Arial" w:hAnsi="Arial" w:cs="Arial"/>
                <w:sz w:val="20"/>
                <w:szCs w:val="20"/>
                <w:lang w:val="en-GB"/>
              </w:rPr>
              <w:t xml:space="preserve"> (</w:t>
            </w:r>
            <w:r w:rsidR="00D3338F" w:rsidRPr="00306F4D">
              <w:rPr>
                <w:rFonts w:ascii="Arial" w:eastAsia="Arial" w:hAnsi="Arial" w:cs="Arial"/>
                <w:sz w:val="20"/>
                <w:szCs w:val="20"/>
                <w:lang w:val="en-GB"/>
              </w:rPr>
              <w:t>3.1</w:t>
            </w:r>
            <w:r w:rsidR="61A96375" w:rsidRPr="00306F4D">
              <w:rPr>
                <w:rFonts w:ascii="Arial" w:eastAsia="Arial" w:hAnsi="Arial" w:cs="Arial"/>
                <w:sz w:val="20"/>
                <w:szCs w:val="20"/>
                <w:lang w:val="en-GB"/>
              </w:rPr>
              <w:t>%)</w:t>
            </w:r>
          </w:p>
          <w:p w14:paraId="70EB029C" w14:textId="7C55CABE" w:rsidR="00EA0729" w:rsidRPr="00306F4D" w:rsidRDefault="000D5993" w:rsidP="00FC2E4E">
            <w:pPr>
              <w:spacing w:line="276" w:lineRule="auto"/>
              <w:rPr>
                <w:rFonts w:ascii="Arial" w:eastAsia="Arial" w:hAnsi="Arial" w:cs="Arial"/>
                <w:sz w:val="20"/>
                <w:szCs w:val="20"/>
                <w:lang w:val="en-GB"/>
              </w:rPr>
            </w:pPr>
            <w:r w:rsidRPr="00306F4D">
              <w:rPr>
                <w:rFonts w:ascii="Arial" w:eastAsia="Arial" w:hAnsi="Arial" w:cs="Arial"/>
                <w:sz w:val="20"/>
                <w:szCs w:val="20"/>
                <w:lang w:val="en-GB"/>
              </w:rPr>
              <w:t>5</w:t>
            </w:r>
            <w:r w:rsidR="00EA0729" w:rsidRPr="00306F4D">
              <w:rPr>
                <w:rFonts w:ascii="Arial" w:eastAsia="Arial" w:hAnsi="Arial" w:cs="Arial"/>
                <w:sz w:val="20"/>
                <w:szCs w:val="20"/>
                <w:lang w:val="en-GB"/>
              </w:rPr>
              <w:t>. Total Project Cost</w:t>
            </w:r>
          </w:p>
        </w:tc>
        <w:tc>
          <w:tcPr>
            <w:tcW w:w="1697" w:type="dxa"/>
            <w:tcBorders>
              <w:top w:val="single" w:sz="4" w:space="0" w:color="auto"/>
              <w:left w:val="single" w:sz="4" w:space="0" w:color="auto"/>
              <w:bottom w:val="single" w:sz="4" w:space="0" w:color="auto"/>
              <w:right w:val="single" w:sz="4" w:space="0" w:color="auto"/>
            </w:tcBorders>
            <w:shd w:val="clear" w:color="auto" w:fill="FFFFFF" w:themeFill="background1"/>
          </w:tcPr>
          <w:p w14:paraId="02D0127C" w14:textId="37249D02" w:rsidR="00EA0729" w:rsidRPr="00306F4D" w:rsidRDefault="2602CB7F" w:rsidP="00FC2E4E">
            <w:pPr>
              <w:spacing w:line="276" w:lineRule="auto"/>
              <w:jc w:val="center"/>
              <w:rPr>
                <w:rFonts w:ascii="Arial" w:eastAsia="Arial" w:hAnsi="Arial" w:cs="Arial"/>
                <w:color w:val="FF0000"/>
                <w:sz w:val="20"/>
                <w:szCs w:val="20"/>
                <w:lang w:val="en-GB"/>
              </w:rPr>
            </w:pPr>
            <w:r w:rsidRPr="00306F4D">
              <w:rPr>
                <w:rFonts w:ascii="Arial" w:eastAsia="Arial" w:hAnsi="Arial" w:cs="Arial"/>
                <w:color w:val="auto"/>
                <w:sz w:val="20"/>
                <w:szCs w:val="20"/>
                <w:lang w:val="en-GB"/>
              </w:rPr>
              <w:t>$</w:t>
            </w:r>
            <w:r w:rsidR="00A32034" w:rsidRPr="00306F4D">
              <w:rPr>
                <w:rFonts w:ascii="Arial" w:eastAsia="Arial" w:hAnsi="Arial" w:cs="Arial"/>
                <w:color w:val="auto"/>
                <w:sz w:val="20"/>
                <w:szCs w:val="20"/>
              </w:rPr>
              <w:t>157,760</w:t>
            </w:r>
          </w:p>
        </w:tc>
      </w:tr>
      <w:tr w:rsidR="008D71D5" w:rsidRPr="00306F4D" w14:paraId="136A92BC" w14:textId="77777777" w:rsidTr="6C3497F9">
        <w:trPr>
          <w:cantSplit/>
          <w:trHeight w:val="300"/>
        </w:trPr>
        <w:tc>
          <w:tcPr>
            <w:tcW w:w="8461" w:type="dxa"/>
            <w:gridSpan w:val="4"/>
            <w:vMerge/>
          </w:tcPr>
          <w:p w14:paraId="5D6592DE" w14:textId="77777777" w:rsidR="00EA0729" w:rsidRPr="00306F4D" w:rsidRDefault="00EA0729" w:rsidP="00FC2E4E">
            <w:pPr>
              <w:spacing w:line="276" w:lineRule="auto"/>
              <w:jc w:val="center"/>
              <w:rPr>
                <w:rFonts w:ascii="Arial" w:hAnsi="Arial" w:cs="Arial"/>
                <w:sz w:val="20"/>
                <w:szCs w:val="20"/>
                <w:lang w:val="en-GB"/>
              </w:rPr>
            </w:pPr>
          </w:p>
        </w:tc>
        <w:tc>
          <w:tcPr>
            <w:tcW w:w="1697" w:type="dxa"/>
            <w:tcBorders>
              <w:bottom w:val="single" w:sz="4" w:space="0" w:color="auto"/>
            </w:tcBorders>
            <w:shd w:val="clear" w:color="auto" w:fill="FFFFFF" w:themeFill="background1"/>
          </w:tcPr>
          <w:p w14:paraId="1CC02C27" w14:textId="6D689DBB" w:rsidR="00EA0729" w:rsidRPr="00306F4D" w:rsidRDefault="0879BDEF" w:rsidP="49C6F20D">
            <w:pPr>
              <w:spacing w:line="276" w:lineRule="auto"/>
              <w:jc w:val="center"/>
              <w:rPr>
                <w:rFonts w:ascii="Arial" w:eastAsia="Arial" w:hAnsi="Arial" w:cs="Arial"/>
                <w:sz w:val="20"/>
                <w:szCs w:val="20"/>
                <w:lang w:val="en-GB"/>
              </w:rPr>
            </w:pPr>
            <w:r w:rsidRPr="00306F4D">
              <w:rPr>
                <w:rFonts w:ascii="Arial" w:eastAsia="Arial" w:hAnsi="Arial" w:cs="Arial"/>
                <w:sz w:val="20"/>
                <w:szCs w:val="20"/>
                <w:lang w:val="en-GB"/>
              </w:rPr>
              <w:t>$4,</w:t>
            </w:r>
            <w:r w:rsidR="008948E0" w:rsidRPr="00306F4D">
              <w:rPr>
                <w:rFonts w:ascii="Arial" w:eastAsia="Arial" w:hAnsi="Arial" w:cs="Arial"/>
                <w:sz w:val="20"/>
                <w:szCs w:val="20"/>
                <w:lang w:val="en-GB"/>
              </w:rPr>
              <w:t>545,45</w:t>
            </w:r>
            <w:r w:rsidR="00B63C40" w:rsidRPr="00306F4D">
              <w:rPr>
                <w:rFonts w:ascii="Arial" w:eastAsia="Arial" w:hAnsi="Arial" w:cs="Arial"/>
                <w:sz w:val="20"/>
                <w:szCs w:val="20"/>
                <w:lang w:val="en-GB"/>
              </w:rPr>
              <w:t>5</w:t>
            </w:r>
          </w:p>
        </w:tc>
      </w:tr>
      <w:tr w:rsidR="0097496C" w:rsidRPr="00306F4D" w14:paraId="625827E8" w14:textId="28F7912A" w:rsidTr="6C3497F9">
        <w:trPr>
          <w:cantSplit/>
          <w:trHeight w:val="300"/>
        </w:trPr>
        <w:tc>
          <w:tcPr>
            <w:tcW w:w="6901" w:type="dxa"/>
            <w:gridSpan w:val="3"/>
          </w:tcPr>
          <w:p w14:paraId="7A8C0378" w14:textId="024FD636" w:rsidR="00BC3363" w:rsidRPr="00306F4D" w:rsidRDefault="000D5993" w:rsidP="00BC3363">
            <w:pPr>
              <w:spacing w:line="276" w:lineRule="auto"/>
              <w:rPr>
                <w:rFonts w:ascii="Arial" w:hAnsi="Arial" w:cs="Arial"/>
                <w:sz w:val="20"/>
                <w:szCs w:val="20"/>
                <w:lang w:val="en-GB"/>
              </w:rPr>
            </w:pPr>
            <w:r w:rsidRPr="00306F4D">
              <w:rPr>
                <w:rFonts w:ascii="Arial" w:eastAsia="Arial" w:hAnsi="Arial" w:cs="Arial"/>
                <w:sz w:val="20"/>
                <w:szCs w:val="20"/>
                <w:lang w:val="en-GB"/>
              </w:rPr>
              <w:t>6</w:t>
            </w:r>
            <w:r w:rsidR="00BC3363" w:rsidRPr="00306F4D">
              <w:rPr>
                <w:rFonts w:ascii="Arial" w:eastAsia="Arial" w:hAnsi="Arial" w:cs="Arial"/>
                <w:sz w:val="20"/>
                <w:szCs w:val="20"/>
                <w:lang w:val="en-GB"/>
              </w:rPr>
              <w:t>. Project Cycle Management Fee charged by the Implementing Entity (if applicable) (10%)</w:t>
            </w:r>
          </w:p>
        </w:tc>
        <w:tc>
          <w:tcPr>
            <w:tcW w:w="1560" w:type="dxa"/>
            <w:tcBorders>
              <w:bottom w:val="single" w:sz="4" w:space="0" w:color="auto"/>
            </w:tcBorders>
            <w:shd w:val="clear" w:color="auto" w:fill="FFFFFF" w:themeFill="background1"/>
          </w:tcPr>
          <w:p w14:paraId="686E163E" w14:textId="5FFFF8F5" w:rsidR="00BC3363" w:rsidRPr="00306F4D" w:rsidRDefault="00BC3363" w:rsidP="00BC3363">
            <w:pPr>
              <w:spacing w:line="276" w:lineRule="auto"/>
              <w:jc w:val="center"/>
              <w:rPr>
                <w:rFonts w:ascii="Arial" w:eastAsia="Arial" w:hAnsi="Arial" w:cs="Arial"/>
                <w:sz w:val="20"/>
                <w:szCs w:val="20"/>
                <w:lang w:val="en-GB"/>
              </w:rPr>
            </w:pPr>
          </w:p>
        </w:tc>
        <w:tc>
          <w:tcPr>
            <w:tcW w:w="1697" w:type="dxa"/>
          </w:tcPr>
          <w:p w14:paraId="3C88C4C3" w14:textId="3AEEA10B" w:rsidR="00BC3363" w:rsidRPr="00306F4D" w:rsidRDefault="00BC3363" w:rsidP="00BC3363">
            <w:pPr>
              <w:jc w:val="center"/>
            </w:pPr>
            <w:r w:rsidRPr="00306F4D">
              <w:rPr>
                <w:rFonts w:ascii="Arial" w:eastAsia="Arial" w:hAnsi="Arial" w:cs="Arial"/>
                <w:sz w:val="20"/>
                <w:szCs w:val="20"/>
                <w:lang w:val="en-GB"/>
              </w:rPr>
              <w:t>$454,545</w:t>
            </w:r>
          </w:p>
        </w:tc>
      </w:tr>
      <w:tr w:rsidR="00BC3363" w:rsidRPr="00306F4D" w14:paraId="7CBCE8DF" w14:textId="77777777" w:rsidTr="000C3279">
        <w:trPr>
          <w:trHeight w:val="300"/>
        </w:trPr>
        <w:tc>
          <w:tcPr>
            <w:tcW w:w="4106" w:type="dxa"/>
            <w:gridSpan w:val="2"/>
            <w:tcBorders>
              <w:top w:val="double" w:sz="4" w:space="0" w:color="auto"/>
              <w:left w:val="single" w:sz="4" w:space="0" w:color="auto"/>
              <w:bottom w:val="single" w:sz="4" w:space="0" w:color="auto"/>
              <w:right w:val="single" w:sz="4" w:space="0" w:color="auto"/>
            </w:tcBorders>
            <w:shd w:val="clear" w:color="auto" w:fill="FFFFFF" w:themeFill="background1"/>
          </w:tcPr>
          <w:p w14:paraId="6AFFD1E2" w14:textId="77777777" w:rsidR="00BC3363" w:rsidRPr="00306F4D" w:rsidRDefault="00BC3363" w:rsidP="00BC3363">
            <w:pPr>
              <w:spacing w:line="276" w:lineRule="auto"/>
              <w:rPr>
                <w:rFonts w:ascii="Arial" w:eastAsia="Arial" w:hAnsi="Arial" w:cs="Arial"/>
                <w:b/>
                <w:sz w:val="20"/>
                <w:szCs w:val="20"/>
                <w:lang w:val="en-GB"/>
              </w:rPr>
            </w:pPr>
            <w:r w:rsidRPr="00306F4D">
              <w:rPr>
                <w:rFonts w:ascii="Arial" w:eastAsia="Arial" w:hAnsi="Arial" w:cs="Arial"/>
                <w:b/>
                <w:sz w:val="20"/>
                <w:szCs w:val="20"/>
                <w:lang w:val="en-GB"/>
              </w:rPr>
              <w:t>Amount of Financing Requested</w:t>
            </w:r>
          </w:p>
        </w:tc>
        <w:tc>
          <w:tcPr>
            <w:tcW w:w="4355" w:type="dxa"/>
            <w:gridSpan w:val="2"/>
            <w:tcBorders>
              <w:top w:val="double" w:sz="4" w:space="0" w:color="auto"/>
              <w:left w:val="single" w:sz="4" w:space="0" w:color="auto"/>
              <w:bottom w:val="single" w:sz="4" w:space="0" w:color="auto"/>
              <w:right w:val="single" w:sz="4" w:space="0" w:color="auto"/>
            </w:tcBorders>
            <w:shd w:val="clear" w:color="auto" w:fill="FFFFFF" w:themeFill="background1"/>
          </w:tcPr>
          <w:p w14:paraId="7323CCCD" w14:textId="77777777" w:rsidR="00BC3363" w:rsidRPr="00306F4D" w:rsidRDefault="00BC3363" w:rsidP="00BC3363">
            <w:pPr>
              <w:spacing w:line="276" w:lineRule="auto"/>
              <w:jc w:val="center"/>
              <w:rPr>
                <w:rFonts w:ascii="Arial" w:eastAsia="Arial" w:hAnsi="Arial" w:cs="Arial"/>
                <w:sz w:val="20"/>
                <w:szCs w:val="20"/>
                <w:lang w:val="en-GB"/>
              </w:rPr>
            </w:pPr>
          </w:p>
        </w:tc>
        <w:tc>
          <w:tcPr>
            <w:tcW w:w="1697" w:type="dxa"/>
            <w:tcBorders>
              <w:top w:val="double" w:sz="4" w:space="0" w:color="auto"/>
              <w:left w:val="single" w:sz="4" w:space="0" w:color="auto"/>
              <w:bottom w:val="single" w:sz="4" w:space="0" w:color="auto"/>
              <w:right w:val="single" w:sz="4" w:space="0" w:color="auto"/>
            </w:tcBorders>
            <w:shd w:val="clear" w:color="auto" w:fill="FFFFFF" w:themeFill="background1"/>
          </w:tcPr>
          <w:p w14:paraId="3F74BE7F" w14:textId="14942BAB" w:rsidR="00BC3363" w:rsidRPr="00306F4D" w:rsidRDefault="00BC3363" w:rsidP="00BC3363">
            <w:pPr>
              <w:spacing w:line="276" w:lineRule="auto"/>
              <w:jc w:val="center"/>
              <w:rPr>
                <w:rFonts w:ascii="Arial" w:eastAsia="Arial" w:hAnsi="Arial" w:cs="Arial"/>
                <w:sz w:val="20"/>
                <w:szCs w:val="20"/>
                <w:lang w:val="en-GB"/>
              </w:rPr>
            </w:pPr>
            <w:r w:rsidRPr="00306F4D">
              <w:rPr>
                <w:rFonts w:ascii="Arial" w:eastAsia="Arial" w:hAnsi="Arial" w:cs="Arial"/>
                <w:sz w:val="20"/>
                <w:szCs w:val="20"/>
                <w:lang w:val="en-GB"/>
              </w:rPr>
              <w:t>$5,000,000.00</w:t>
            </w:r>
          </w:p>
        </w:tc>
      </w:tr>
    </w:tbl>
    <w:p w14:paraId="2AE710E1" w14:textId="41604A03" w:rsidR="338C5E83" w:rsidRPr="00306F4D" w:rsidRDefault="338C5E83" w:rsidP="005E2CBC">
      <w:pPr>
        <w:rPr>
          <w:rFonts w:ascii="Arial" w:eastAsia="Arial" w:hAnsi="Arial" w:cs="Arial"/>
          <w:b/>
          <w:color w:val="000000" w:themeColor="text1"/>
          <w:sz w:val="20"/>
          <w:szCs w:val="20"/>
          <w:lang w:val="en-GB"/>
        </w:rPr>
      </w:pPr>
    </w:p>
    <w:p w14:paraId="5E0F489B" w14:textId="213EBCFF" w:rsidR="00270109" w:rsidRPr="00306F4D" w:rsidRDefault="71769489" w:rsidP="338C5E83">
      <w:pPr>
        <w:pStyle w:val="Heading2"/>
        <w:spacing w:before="240" w:after="240" w:line="276" w:lineRule="auto"/>
        <w:rPr>
          <w:rFonts w:ascii="Arial" w:eastAsia="Arial" w:hAnsi="Arial" w:cs="Arial"/>
          <w:b/>
          <w:bCs/>
          <w:color w:val="000000"/>
          <w:sz w:val="20"/>
          <w:szCs w:val="20"/>
          <w:lang w:val="en-GB"/>
        </w:rPr>
      </w:pPr>
      <w:bookmarkStart w:id="58" w:name="_Toc188361498"/>
      <w:bookmarkStart w:id="59" w:name="_Toc2073257530"/>
      <w:bookmarkStart w:id="60" w:name="_Toc202165705"/>
      <w:bookmarkStart w:id="61" w:name="_Toc202893735"/>
      <w:r w:rsidRPr="00306F4D">
        <w:rPr>
          <w:rFonts w:ascii="Arial" w:eastAsia="Arial" w:hAnsi="Arial" w:cs="Arial"/>
          <w:b/>
          <w:bCs/>
          <w:color w:val="000000" w:themeColor="text1"/>
          <w:sz w:val="20"/>
          <w:szCs w:val="20"/>
          <w:lang w:val="en-GB"/>
        </w:rPr>
        <w:t>Projected Calendar</w:t>
      </w:r>
      <w:bookmarkEnd w:id="58"/>
      <w:bookmarkEnd w:id="59"/>
      <w:bookmarkEnd w:id="60"/>
      <w:bookmarkEnd w:id="61"/>
    </w:p>
    <w:p w14:paraId="12307CC7" w14:textId="77777777" w:rsidR="00F04FEE" w:rsidRPr="00306F4D" w:rsidRDefault="00F04FEE" w:rsidP="00FC2E4E">
      <w:pPr>
        <w:spacing w:line="276" w:lineRule="auto"/>
        <w:rPr>
          <w:rFonts w:ascii="Arial" w:eastAsia="Arial" w:hAnsi="Arial" w:cs="Arial"/>
          <w:i/>
          <w:color w:val="D0CECE" w:themeColor="background2" w:themeShade="E6"/>
          <w:sz w:val="20"/>
          <w:szCs w:val="20"/>
          <w:lang w:val="en-GB"/>
        </w:rPr>
      </w:pPr>
      <w:r w:rsidRPr="00306F4D">
        <w:rPr>
          <w:rFonts w:ascii="Arial" w:eastAsia="Arial" w:hAnsi="Arial" w:cs="Arial"/>
          <w:i/>
          <w:color w:val="D0CECE" w:themeColor="background2" w:themeShade="E6"/>
          <w:sz w:val="20"/>
          <w:szCs w:val="20"/>
          <w:lang w:val="en-GB"/>
        </w:rPr>
        <w:t>Indicate the dates of the following milestones for the proposed project/programme</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12"/>
        <w:gridCol w:w="3244"/>
      </w:tblGrid>
      <w:tr w:rsidR="00270109" w:rsidRPr="00306F4D" w14:paraId="14D33561" w14:textId="77777777" w:rsidTr="0025418E">
        <w:trPr>
          <w:trHeight w:val="300"/>
        </w:trPr>
        <w:tc>
          <w:tcPr>
            <w:tcW w:w="3371" w:type="pct"/>
            <w:tcBorders>
              <w:top w:val="single" w:sz="6" w:space="0" w:color="auto"/>
              <w:left w:val="single" w:sz="6" w:space="0" w:color="auto"/>
              <w:bottom w:val="single" w:sz="6" w:space="0" w:color="auto"/>
              <w:right w:val="single" w:sz="6" w:space="0" w:color="auto"/>
            </w:tcBorders>
            <w:shd w:val="clear" w:color="auto" w:fill="B1D34A"/>
            <w:vAlign w:val="center"/>
            <w:hideMark/>
          </w:tcPr>
          <w:p w14:paraId="7CCFCBC2" w14:textId="77777777" w:rsidR="00270109" w:rsidRPr="00306F4D" w:rsidRDefault="00270109" w:rsidP="00FC2E4E">
            <w:pPr>
              <w:spacing w:after="0" w:line="276" w:lineRule="auto"/>
              <w:jc w:val="center"/>
              <w:textAlignment w:val="baseline"/>
              <w:rPr>
                <w:rFonts w:ascii="Arial" w:eastAsia="Arial" w:hAnsi="Arial" w:cs="Arial"/>
                <w:sz w:val="20"/>
                <w:szCs w:val="20"/>
              </w:rPr>
            </w:pPr>
            <w:r w:rsidRPr="00306F4D">
              <w:rPr>
                <w:rFonts w:ascii="Arial" w:eastAsia="Arial" w:hAnsi="Arial" w:cs="Arial"/>
                <w:b/>
                <w:sz w:val="20"/>
                <w:szCs w:val="20"/>
                <w:lang w:val="en-GB"/>
              </w:rPr>
              <w:t>Milestones</w:t>
            </w:r>
            <w:r w:rsidRPr="00306F4D">
              <w:rPr>
                <w:rFonts w:ascii="Arial" w:eastAsia="Arial" w:hAnsi="Arial" w:cs="Arial"/>
                <w:sz w:val="20"/>
                <w:szCs w:val="20"/>
              </w:rPr>
              <w:t> </w:t>
            </w:r>
          </w:p>
        </w:tc>
        <w:tc>
          <w:tcPr>
            <w:tcW w:w="1629" w:type="pct"/>
            <w:tcBorders>
              <w:top w:val="single" w:sz="6" w:space="0" w:color="auto"/>
              <w:left w:val="single" w:sz="6" w:space="0" w:color="auto"/>
              <w:bottom w:val="single" w:sz="6" w:space="0" w:color="auto"/>
              <w:right w:val="single" w:sz="6" w:space="0" w:color="auto"/>
            </w:tcBorders>
            <w:shd w:val="clear" w:color="auto" w:fill="B1D34A"/>
            <w:vAlign w:val="center"/>
            <w:hideMark/>
          </w:tcPr>
          <w:p w14:paraId="4AC8CFA8" w14:textId="77777777" w:rsidR="00270109" w:rsidRPr="00306F4D" w:rsidRDefault="00270109" w:rsidP="00FC2E4E">
            <w:pPr>
              <w:spacing w:after="0" w:line="276" w:lineRule="auto"/>
              <w:jc w:val="center"/>
              <w:textAlignment w:val="baseline"/>
              <w:rPr>
                <w:rFonts w:ascii="Arial" w:eastAsia="Arial" w:hAnsi="Arial" w:cs="Arial"/>
                <w:sz w:val="20"/>
                <w:szCs w:val="20"/>
              </w:rPr>
            </w:pPr>
            <w:r w:rsidRPr="00306F4D">
              <w:rPr>
                <w:rFonts w:ascii="Arial" w:eastAsia="Arial" w:hAnsi="Arial" w:cs="Arial"/>
                <w:b/>
                <w:sz w:val="20"/>
                <w:szCs w:val="20"/>
                <w:lang w:val="en-GB"/>
              </w:rPr>
              <w:t>Expected Dates</w:t>
            </w:r>
            <w:r w:rsidRPr="00306F4D">
              <w:rPr>
                <w:rFonts w:ascii="Arial" w:eastAsia="Arial" w:hAnsi="Arial" w:cs="Arial"/>
                <w:sz w:val="20"/>
                <w:szCs w:val="20"/>
              </w:rPr>
              <w:t> </w:t>
            </w:r>
          </w:p>
        </w:tc>
      </w:tr>
      <w:tr w:rsidR="00270109" w:rsidRPr="00306F4D" w14:paraId="246DC8CB" w14:textId="77777777" w:rsidTr="0025418E">
        <w:trPr>
          <w:trHeight w:val="300"/>
        </w:trPr>
        <w:tc>
          <w:tcPr>
            <w:tcW w:w="3371" w:type="pct"/>
            <w:tcBorders>
              <w:top w:val="single" w:sz="6" w:space="0" w:color="auto"/>
              <w:left w:val="single" w:sz="6" w:space="0" w:color="auto"/>
              <w:bottom w:val="single" w:sz="6" w:space="0" w:color="auto"/>
              <w:right w:val="single" w:sz="6" w:space="0" w:color="auto"/>
            </w:tcBorders>
            <w:hideMark/>
          </w:tcPr>
          <w:p w14:paraId="05B37972" w14:textId="77777777" w:rsidR="00270109" w:rsidRPr="00306F4D" w:rsidRDefault="00270109" w:rsidP="00FC2E4E">
            <w:pPr>
              <w:spacing w:after="0" w:line="276" w:lineRule="auto"/>
              <w:textAlignment w:val="baseline"/>
              <w:rPr>
                <w:rFonts w:ascii="Arial" w:eastAsia="Arial" w:hAnsi="Arial" w:cs="Arial"/>
                <w:sz w:val="20"/>
                <w:szCs w:val="20"/>
              </w:rPr>
            </w:pPr>
            <w:r w:rsidRPr="00306F4D">
              <w:rPr>
                <w:rFonts w:ascii="Arial" w:eastAsia="Arial" w:hAnsi="Arial" w:cs="Arial"/>
                <w:sz w:val="20"/>
                <w:szCs w:val="20"/>
                <w:lang w:val="en-GB"/>
              </w:rPr>
              <w:t>Start of Project Implementation</w:t>
            </w:r>
            <w:r w:rsidRPr="00306F4D">
              <w:rPr>
                <w:rFonts w:ascii="Arial" w:eastAsia="Arial" w:hAnsi="Arial" w:cs="Arial"/>
                <w:sz w:val="20"/>
                <w:szCs w:val="20"/>
              </w:rPr>
              <w:t> </w:t>
            </w:r>
          </w:p>
        </w:tc>
        <w:tc>
          <w:tcPr>
            <w:tcW w:w="1629" w:type="pct"/>
            <w:tcBorders>
              <w:top w:val="single" w:sz="6" w:space="0" w:color="auto"/>
              <w:left w:val="single" w:sz="6" w:space="0" w:color="auto"/>
              <w:bottom w:val="single" w:sz="6" w:space="0" w:color="auto"/>
              <w:right w:val="single" w:sz="6" w:space="0" w:color="auto"/>
            </w:tcBorders>
            <w:hideMark/>
          </w:tcPr>
          <w:p w14:paraId="5146CE86" w14:textId="37A6C686" w:rsidR="00270109" w:rsidRPr="00306F4D" w:rsidRDefault="00270109" w:rsidP="00FC2E4E">
            <w:pPr>
              <w:spacing w:after="0" w:line="276" w:lineRule="auto"/>
              <w:jc w:val="center"/>
              <w:textAlignment w:val="baseline"/>
              <w:rPr>
                <w:rFonts w:ascii="Arial" w:eastAsia="Arial" w:hAnsi="Arial" w:cs="Arial"/>
                <w:sz w:val="20"/>
                <w:szCs w:val="20"/>
              </w:rPr>
            </w:pPr>
            <w:r w:rsidRPr="00306F4D">
              <w:rPr>
                <w:rFonts w:ascii="Arial" w:eastAsia="Arial" w:hAnsi="Arial" w:cs="Arial"/>
                <w:sz w:val="20"/>
                <w:szCs w:val="20"/>
                <w:lang w:val="en-GB"/>
              </w:rPr>
              <w:t xml:space="preserve">1 </w:t>
            </w:r>
            <w:r w:rsidR="000F326B" w:rsidRPr="00306F4D">
              <w:rPr>
                <w:rFonts w:ascii="Arial" w:eastAsia="Arial" w:hAnsi="Arial" w:cs="Arial"/>
                <w:sz w:val="20"/>
                <w:szCs w:val="20"/>
                <w:lang w:val="en-GB"/>
              </w:rPr>
              <w:t>April</w:t>
            </w:r>
            <w:r w:rsidRPr="00306F4D">
              <w:rPr>
                <w:rFonts w:ascii="Arial" w:eastAsia="Arial" w:hAnsi="Arial" w:cs="Arial"/>
                <w:sz w:val="20"/>
                <w:szCs w:val="20"/>
                <w:lang w:val="en-GB"/>
              </w:rPr>
              <w:t xml:space="preserve"> 2026</w:t>
            </w:r>
            <w:r w:rsidRPr="00306F4D">
              <w:rPr>
                <w:rFonts w:ascii="Arial" w:eastAsia="Arial" w:hAnsi="Arial" w:cs="Arial"/>
                <w:sz w:val="20"/>
                <w:szCs w:val="20"/>
              </w:rPr>
              <w:t> </w:t>
            </w:r>
          </w:p>
        </w:tc>
      </w:tr>
      <w:tr w:rsidR="4186447D" w:rsidRPr="00306F4D" w14:paraId="489BCDF8" w14:textId="77777777" w:rsidTr="0025418E">
        <w:trPr>
          <w:trHeight w:val="300"/>
        </w:trPr>
        <w:tc>
          <w:tcPr>
            <w:tcW w:w="6300" w:type="dxa"/>
            <w:tcBorders>
              <w:top w:val="single" w:sz="6" w:space="0" w:color="auto"/>
              <w:left w:val="single" w:sz="6" w:space="0" w:color="auto"/>
              <w:bottom w:val="single" w:sz="6" w:space="0" w:color="auto"/>
              <w:right w:val="single" w:sz="6" w:space="0" w:color="auto"/>
            </w:tcBorders>
            <w:hideMark/>
          </w:tcPr>
          <w:p w14:paraId="49D272BA" w14:textId="63C28952" w:rsidR="669AFC7C" w:rsidRPr="00306F4D" w:rsidRDefault="669AFC7C" w:rsidP="4186447D">
            <w:pPr>
              <w:spacing w:line="276" w:lineRule="auto"/>
              <w:rPr>
                <w:rFonts w:ascii="Arial" w:eastAsia="Arial" w:hAnsi="Arial" w:cs="Arial"/>
                <w:sz w:val="20"/>
                <w:szCs w:val="20"/>
                <w:lang w:val="en-GB"/>
              </w:rPr>
            </w:pPr>
            <w:r w:rsidRPr="00306F4D">
              <w:rPr>
                <w:rFonts w:ascii="Arial" w:eastAsia="Arial" w:hAnsi="Arial" w:cs="Arial"/>
                <w:sz w:val="20"/>
                <w:szCs w:val="20"/>
                <w:lang w:val="en-GB"/>
              </w:rPr>
              <w:t>Mid</w:t>
            </w:r>
            <w:r w:rsidR="00677710" w:rsidRPr="00306F4D">
              <w:rPr>
                <w:rFonts w:ascii="Arial" w:eastAsia="Arial" w:hAnsi="Arial" w:cs="Arial"/>
                <w:sz w:val="20"/>
                <w:szCs w:val="20"/>
                <w:lang w:val="en-GB"/>
              </w:rPr>
              <w:t>-</w:t>
            </w:r>
            <w:r w:rsidRPr="00306F4D">
              <w:rPr>
                <w:rFonts w:ascii="Arial" w:eastAsia="Arial" w:hAnsi="Arial" w:cs="Arial"/>
                <w:sz w:val="20"/>
                <w:szCs w:val="20"/>
                <w:lang w:val="en-GB"/>
              </w:rPr>
              <w:t xml:space="preserve">term </w:t>
            </w:r>
            <w:r w:rsidR="00677710" w:rsidRPr="00306F4D">
              <w:rPr>
                <w:rFonts w:ascii="Arial" w:eastAsia="Arial" w:hAnsi="Arial" w:cs="Arial"/>
                <w:sz w:val="20"/>
                <w:szCs w:val="20"/>
                <w:lang w:val="en-GB"/>
              </w:rPr>
              <w:t>Evaluation</w:t>
            </w:r>
          </w:p>
        </w:tc>
        <w:tc>
          <w:tcPr>
            <w:tcW w:w="3044" w:type="dxa"/>
            <w:tcBorders>
              <w:top w:val="single" w:sz="6" w:space="0" w:color="auto"/>
              <w:left w:val="single" w:sz="6" w:space="0" w:color="auto"/>
              <w:bottom w:val="single" w:sz="6" w:space="0" w:color="auto"/>
              <w:right w:val="single" w:sz="6" w:space="0" w:color="auto"/>
            </w:tcBorders>
            <w:hideMark/>
          </w:tcPr>
          <w:p w14:paraId="3A4E9A5E" w14:textId="544096F0" w:rsidR="669AFC7C" w:rsidRPr="00306F4D" w:rsidRDefault="669AFC7C" w:rsidP="4186447D">
            <w:pPr>
              <w:spacing w:line="276" w:lineRule="auto"/>
              <w:jc w:val="center"/>
              <w:rPr>
                <w:rFonts w:ascii="Arial" w:eastAsia="Arial" w:hAnsi="Arial" w:cs="Arial"/>
                <w:sz w:val="20"/>
                <w:szCs w:val="20"/>
                <w:lang w:val="en-GB"/>
              </w:rPr>
            </w:pPr>
            <w:r w:rsidRPr="00306F4D">
              <w:rPr>
                <w:rFonts w:ascii="Arial" w:eastAsia="Arial" w:hAnsi="Arial" w:cs="Arial"/>
                <w:sz w:val="20"/>
                <w:szCs w:val="20"/>
                <w:lang w:val="en-GB"/>
              </w:rPr>
              <w:t>31 May 2028</w:t>
            </w:r>
          </w:p>
        </w:tc>
      </w:tr>
      <w:tr w:rsidR="00270109" w:rsidRPr="00306F4D" w14:paraId="66EF1209" w14:textId="77777777" w:rsidTr="0025418E">
        <w:trPr>
          <w:trHeight w:val="300"/>
        </w:trPr>
        <w:tc>
          <w:tcPr>
            <w:tcW w:w="3371" w:type="pct"/>
            <w:tcBorders>
              <w:top w:val="single" w:sz="6" w:space="0" w:color="auto"/>
              <w:left w:val="single" w:sz="6" w:space="0" w:color="auto"/>
              <w:bottom w:val="single" w:sz="6" w:space="0" w:color="auto"/>
              <w:right w:val="single" w:sz="6" w:space="0" w:color="auto"/>
            </w:tcBorders>
            <w:hideMark/>
          </w:tcPr>
          <w:p w14:paraId="4CF33650" w14:textId="77777777" w:rsidR="00270109" w:rsidRPr="00306F4D" w:rsidRDefault="00270109" w:rsidP="00FC2E4E">
            <w:pPr>
              <w:spacing w:after="0" w:line="276" w:lineRule="auto"/>
              <w:textAlignment w:val="baseline"/>
              <w:rPr>
                <w:rFonts w:ascii="Arial" w:eastAsia="Arial" w:hAnsi="Arial" w:cs="Arial"/>
                <w:sz w:val="20"/>
                <w:szCs w:val="20"/>
              </w:rPr>
            </w:pPr>
            <w:r w:rsidRPr="00306F4D">
              <w:rPr>
                <w:rFonts w:ascii="Arial" w:eastAsia="Arial" w:hAnsi="Arial" w:cs="Arial"/>
                <w:sz w:val="20"/>
                <w:szCs w:val="20"/>
                <w:lang w:val="en-GB"/>
              </w:rPr>
              <w:t>Project Closing</w:t>
            </w:r>
            <w:r w:rsidRPr="00306F4D">
              <w:rPr>
                <w:rFonts w:ascii="Arial" w:eastAsia="Arial" w:hAnsi="Arial" w:cs="Arial"/>
                <w:sz w:val="20"/>
                <w:szCs w:val="20"/>
              </w:rPr>
              <w:t> </w:t>
            </w:r>
          </w:p>
        </w:tc>
        <w:tc>
          <w:tcPr>
            <w:tcW w:w="1629" w:type="pct"/>
            <w:tcBorders>
              <w:top w:val="single" w:sz="6" w:space="0" w:color="auto"/>
              <w:left w:val="single" w:sz="6" w:space="0" w:color="auto"/>
              <w:bottom w:val="single" w:sz="6" w:space="0" w:color="auto"/>
              <w:right w:val="single" w:sz="6" w:space="0" w:color="auto"/>
            </w:tcBorders>
            <w:hideMark/>
          </w:tcPr>
          <w:p w14:paraId="297775CD" w14:textId="77777777" w:rsidR="00270109" w:rsidRPr="00306F4D" w:rsidRDefault="00270109" w:rsidP="00FC2E4E">
            <w:pPr>
              <w:spacing w:after="0" w:line="276" w:lineRule="auto"/>
              <w:jc w:val="center"/>
              <w:textAlignment w:val="baseline"/>
              <w:rPr>
                <w:rFonts w:ascii="Arial" w:eastAsia="Arial" w:hAnsi="Arial" w:cs="Arial"/>
                <w:sz w:val="20"/>
                <w:szCs w:val="20"/>
              </w:rPr>
            </w:pPr>
            <w:r w:rsidRPr="00306F4D">
              <w:rPr>
                <w:rFonts w:ascii="Arial" w:eastAsia="Arial" w:hAnsi="Arial" w:cs="Arial"/>
                <w:sz w:val="20"/>
                <w:szCs w:val="20"/>
                <w:lang w:val="en-GB"/>
              </w:rPr>
              <w:t>30 March 2030</w:t>
            </w:r>
            <w:r w:rsidRPr="00306F4D">
              <w:rPr>
                <w:rFonts w:ascii="Arial" w:eastAsia="Arial" w:hAnsi="Arial" w:cs="Arial"/>
                <w:sz w:val="20"/>
                <w:szCs w:val="20"/>
              </w:rPr>
              <w:t> </w:t>
            </w:r>
          </w:p>
        </w:tc>
      </w:tr>
      <w:tr w:rsidR="00270109" w:rsidRPr="00306F4D" w14:paraId="12CDC8B8" w14:textId="77777777" w:rsidTr="0025418E">
        <w:trPr>
          <w:trHeight w:val="300"/>
        </w:trPr>
        <w:tc>
          <w:tcPr>
            <w:tcW w:w="3371" w:type="pct"/>
            <w:tcBorders>
              <w:top w:val="single" w:sz="6" w:space="0" w:color="auto"/>
              <w:left w:val="single" w:sz="6" w:space="0" w:color="auto"/>
              <w:bottom w:val="single" w:sz="6" w:space="0" w:color="auto"/>
              <w:right w:val="single" w:sz="6" w:space="0" w:color="auto"/>
            </w:tcBorders>
            <w:hideMark/>
          </w:tcPr>
          <w:p w14:paraId="7C93D7EE" w14:textId="77777777" w:rsidR="00270109" w:rsidRPr="00306F4D" w:rsidRDefault="00270109" w:rsidP="00FC2E4E">
            <w:pPr>
              <w:spacing w:after="0" w:line="276" w:lineRule="auto"/>
              <w:textAlignment w:val="baseline"/>
              <w:rPr>
                <w:rFonts w:ascii="Arial" w:eastAsia="Arial" w:hAnsi="Arial" w:cs="Arial"/>
                <w:sz w:val="20"/>
                <w:szCs w:val="20"/>
              </w:rPr>
            </w:pPr>
            <w:r w:rsidRPr="00306F4D">
              <w:rPr>
                <w:rFonts w:ascii="Arial" w:eastAsia="Arial" w:hAnsi="Arial" w:cs="Arial"/>
                <w:sz w:val="20"/>
                <w:szCs w:val="20"/>
                <w:lang w:val="en-GB"/>
              </w:rPr>
              <w:t>Terminal Evaluation</w:t>
            </w:r>
            <w:r w:rsidRPr="00306F4D">
              <w:rPr>
                <w:rFonts w:ascii="Arial" w:eastAsia="Arial" w:hAnsi="Arial" w:cs="Arial"/>
                <w:sz w:val="20"/>
                <w:szCs w:val="20"/>
              </w:rPr>
              <w:t> </w:t>
            </w:r>
          </w:p>
        </w:tc>
        <w:tc>
          <w:tcPr>
            <w:tcW w:w="1629" w:type="pct"/>
            <w:tcBorders>
              <w:top w:val="single" w:sz="6" w:space="0" w:color="auto"/>
              <w:left w:val="single" w:sz="6" w:space="0" w:color="auto"/>
              <w:bottom w:val="single" w:sz="6" w:space="0" w:color="auto"/>
              <w:right w:val="single" w:sz="6" w:space="0" w:color="auto"/>
            </w:tcBorders>
            <w:hideMark/>
          </w:tcPr>
          <w:p w14:paraId="4ECFBE8B" w14:textId="77777777" w:rsidR="00270109" w:rsidRPr="00306F4D" w:rsidRDefault="00270109" w:rsidP="00FC2E4E">
            <w:pPr>
              <w:spacing w:after="0" w:line="276" w:lineRule="auto"/>
              <w:jc w:val="center"/>
              <w:textAlignment w:val="baseline"/>
              <w:rPr>
                <w:rFonts w:ascii="Arial" w:eastAsia="Arial" w:hAnsi="Arial" w:cs="Arial"/>
                <w:sz w:val="20"/>
                <w:szCs w:val="20"/>
              </w:rPr>
            </w:pPr>
            <w:r w:rsidRPr="00306F4D">
              <w:rPr>
                <w:rFonts w:ascii="Arial" w:eastAsia="Arial" w:hAnsi="Arial" w:cs="Arial"/>
                <w:sz w:val="20"/>
                <w:szCs w:val="20"/>
                <w:lang w:val="en-GB"/>
              </w:rPr>
              <w:t>15 December 2029</w:t>
            </w:r>
            <w:r w:rsidRPr="00306F4D">
              <w:rPr>
                <w:rFonts w:ascii="Arial" w:eastAsia="Arial" w:hAnsi="Arial" w:cs="Arial"/>
                <w:sz w:val="20"/>
                <w:szCs w:val="20"/>
              </w:rPr>
              <w:t> </w:t>
            </w:r>
          </w:p>
        </w:tc>
      </w:tr>
    </w:tbl>
    <w:p w14:paraId="5E31C87A" w14:textId="198DA13D" w:rsidR="00F04FEE" w:rsidRPr="00306F4D" w:rsidRDefault="00F04FEE" w:rsidP="00FC2E4E">
      <w:pPr>
        <w:pStyle w:val="Footer"/>
        <w:spacing w:line="276" w:lineRule="auto"/>
        <w:rPr>
          <w:rFonts w:ascii="Arial" w:eastAsia="Arial" w:hAnsi="Arial" w:cs="Arial"/>
          <w:b/>
          <w:bCs/>
          <w:caps/>
          <w:sz w:val="20"/>
          <w:szCs w:val="20"/>
          <w:lang w:val="en-GB"/>
        </w:rPr>
      </w:pPr>
    </w:p>
    <w:p w14:paraId="74B90B7C" w14:textId="5EF90C81" w:rsidR="008E5930" w:rsidRPr="00306F4D" w:rsidRDefault="008E5930" w:rsidP="02E2BB75">
      <w:pPr>
        <w:pStyle w:val="Heading1"/>
        <w:spacing w:before="240" w:after="240" w:line="276" w:lineRule="auto"/>
        <w:ind w:left="0" w:firstLine="0"/>
        <w:jc w:val="both"/>
        <w:rPr>
          <w:rStyle w:val="Heading3Char"/>
          <w:rFonts w:ascii="Arial" w:eastAsiaTheme="minorEastAsia" w:hAnsi="Arial" w:cs="Arial"/>
          <w:sz w:val="20"/>
          <w:szCs w:val="20"/>
          <w:lang w:val="en-GB"/>
        </w:rPr>
        <w:sectPr w:rsidR="008E5930" w:rsidRPr="00306F4D" w:rsidSect="0097496C">
          <w:headerReference w:type="default" r:id="rId27"/>
          <w:footerReference w:type="default" r:id="rId28"/>
          <w:headerReference w:type="first" r:id="rId29"/>
          <w:footerReference w:type="first" r:id="rId30"/>
          <w:pgSz w:w="12240" w:h="15840"/>
          <w:pgMar w:top="737" w:right="1134" w:bottom="1134" w:left="1134" w:header="726" w:footer="1038" w:gutter="0"/>
          <w:cols w:space="720"/>
          <w:docGrid w:linePitch="299"/>
        </w:sectPr>
      </w:pPr>
      <w:bookmarkStart w:id="62" w:name="_Toc1207680440"/>
      <w:bookmarkStart w:id="63" w:name="_Toc1891472268"/>
    </w:p>
    <w:bookmarkEnd w:id="62"/>
    <w:bookmarkEnd w:id="63"/>
    <w:p w14:paraId="7040EBEB" w14:textId="0D0C0A2B" w:rsidR="6D0FE944" w:rsidRPr="00306F4D" w:rsidRDefault="008E5930" w:rsidP="00F57388">
      <w:pPr>
        <w:ind w:left="-1134"/>
      </w:pPr>
      <w:r w:rsidRPr="00306F4D">
        <w:rPr>
          <w:noProof/>
        </w:rPr>
        <mc:AlternateContent>
          <mc:Choice Requires="wpg">
            <w:drawing>
              <wp:inline distT="0" distB="0" distL="0" distR="0" wp14:anchorId="53D7E7DD" wp14:editId="2864F6CC">
                <wp:extent cx="8328659" cy="411480"/>
                <wp:effectExtent l="0" t="0" r="0" b="7620"/>
                <wp:docPr id="1081395239" name="Group 1"/>
                <wp:cNvGraphicFramePr/>
                <a:graphic xmlns:a="http://schemas.openxmlformats.org/drawingml/2006/main">
                  <a:graphicData uri="http://schemas.microsoft.com/office/word/2010/wordprocessingGroup">
                    <wpg:wgp>
                      <wpg:cNvGrpSpPr/>
                      <wpg:grpSpPr>
                        <a:xfrm>
                          <a:off x="0" y="0"/>
                          <a:ext cx="8328659" cy="411480"/>
                          <a:chOff x="0" y="0"/>
                          <a:chExt cx="6294917" cy="577870"/>
                        </a:xfrm>
                      </wpg:grpSpPr>
                      <pic:pic xmlns:pic="http://schemas.openxmlformats.org/drawingml/2006/picture">
                        <pic:nvPicPr>
                          <pic:cNvPr id="1022654909" name="Picture 1022654909" descr="Rectangle: Rounded Corners 20, Shape"/>
                          <pic:cNvPicPr>
                            <a:picLocks noChangeAspect="1"/>
                          </pic:cNvPicPr>
                        </pic:nvPicPr>
                        <pic:blipFill>
                          <a:blip r:embed="rId31"/>
                          <a:stretch>
                            <a:fillRect/>
                          </a:stretch>
                        </pic:blipFill>
                        <pic:spPr>
                          <a:xfrm>
                            <a:off x="0" y="0"/>
                            <a:ext cx="5943600" cy="577870"/>
                          </a:xfrm>
                          <a:prstGeom prst="rect">
                            <a:avLst/>
                          </a:prstGeom>
                        </pic:spPr>
                      </pic:pic>
                      <wps:wsp>
                        <wps:cNvPr id="1035383370" name="Rectangle 1035383370"/>
                        <wps:cNvSpPr/>
                        <wps:spPr>
                          <a:xfrm>
                            <a:off x="446567" y="21823"/>
                            <a:ext cx="5848350" cy="371892"/>
                          </a:xfrm>
                          <a:prstGeom prst="rect">
                            <a:avLst/>
                          </a:prstGeom>
                          <a:noFill/>
                          <a:ln>
                            <a:noFill/>
                          </a:ln>
                        </wps:spPr>
                        <wps:txbx>
                          <w:txbxContent>
                            <w:p w14:paraId="4DF246D7" w14:textId="77777777" w:rsidR="005B37F5" w:rsidRDefault="005B37F5" w:rsidP="005B37F5">
                              <w:pPr>
                                <w:spacing w:line="276" w:lineRule="auto"/>
                                <w:rPr>
                                  <w:rFonts w:ascii="Arial" w:hAnsi="Arial" w:cs="Arial"/>
                                  <w:b/>
                                  <w:bCs/>
                                </w:rPr>
                              </w:pPr>
                              <w:r>
                                <w:rPr>
                                  <w:rFonts w:ascii="Arial" w:hAnsi="Arial" w:cs="Arial"/>
                                  <w:b/>
                                  <w:bCs/>
                                </w:rPr>
                                <w:t>PART II:  PROJECT JUSTIFICATION</w:t>
                              </w:r>
                            </w:p>
                          </w:txbxContent>
                        </wps:txbx>
                        <wps:bodyPr anchor="t"/>
                      </wps:wsp>
                    </wpg:wgp>
                  </a:graphicData>
                </a:graphic>
              </wp:inline>
            </w:drawing>
          </mc:Choice>
          <mc:Fallback>
            <w:pict>
              <v:group w14:anchorId="53D7E7DD" id="Group 1" o:spid="_x0000_s1028" style="width:655.8pt;height:32.4pt;mso-position-horizontal-relative:char;mso-position-vertical-relative:line" coordsize="62949,57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2654909" o:spid="_x0000_s1029" type="#_x0000_t75" alt="Rectangle: Rounded Corners 20, Shape" style="position:absolute;width:59436;height:5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">
                  <v:imagedata r:id="rId32" o:title=" Rounded Corners 20, Shape"/>
                </v:shape>
                <v:rect id="Rectangle 1035383370" o:spid="_x0000_s1030" style="position:absolute;left:4465;top:218;width:58484;height:3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" filled="f" stroked="f">
                  <v:textbox>
                    <w:txbxContent>
                      <w:p w14:paraId="4DF246D7" w14:textId="77777777" w:rsidR="005B37F5" w:rsidRDefault="005B37F5" w:rsidP="005B37F5">
                        <w:pPr>
                          <w:spacing w:line="276" w:lineRule="auto"/>
                          <w:rPr>
                            <w:rFonts w:ascii="Arial" w:hAnsi="Arial" w:cs="Arial"/>
                            <w:b/>
                            <w:bCs/>
                          </w:rPr>
                        </w:pPr>
                        <w:r>
                          <w:rPr>
                            <w:rFonts w:ascii="Arial" w:hAnsi="Arial" w:cs="Arial"/>
                            <w:b/>
                            <w:bCs/>
                          </w:rPr>
                          <w:t>PART II:  PROJECT JUSTIFICATION</w:t>
                        </w:r>
                      </w:p>
                    </w:txbxContent>
                  </v:textbox>
                </v:rect>
                <w10:anchorlock/>
              </v:group>
            </w:pict>
          </mc:Fallback>
        </mc:AlternateContent>
      </w:r>
    </w:p>
    <w:p w14:paraId="7CD6CF5D" w14:textId="3FBE67A3" w:rsidR="6D0FE944" w:rsidRPr="00306F4D" w:rsidRDefault="3ABE934D" w:rsidP="338C5E83">
      <w:pPr>
        <w:pStyle w:val="Heading1"/>
        <w:rPr>
          <w:sz w:val="20"/>
          <w:szCs w:val="20"/>
          <w:lang w:val="en-GB"/>
        </w:rPr>
      </w:pPr>
      <w:bookmarkStart w:id="64" w:name="_Toc202893736"/>
      <w:r w:rsidRPr="00306F4D">
        <w:rPr>
          <w:lang w:val="en-GB"/>
        </w:rPr>
        <w:t>PART II: PROJECT JUSTIFICATION</w:t>
      </w:r>
      <w:bookmarkEnd w:id="64"/>
    </w:p>
    <w:p w14:paraId="53D160AC" w14:textId="77777777" w:rsidR="008E7076" w:rsidRPr="00306F4D" w:rsidRDefault="008E7076" w:rsidP="008E7076">
      <w:pPr>
        <w:pStyle w:val="Footer"/>
        <w:numPr>
          <w:ilvl w:val="0"/>
          <w:numId w:val="23"/>
        </w:numPr>
        <w:tabs>
          <w:tab w:val="clear" w:pos="720"/>
          <w:tab w:val="clear" w:pos="4680"/>
          <w:tab w:val="clear" w:pos="9360"/>
        </w:tabs>
        <w:spacing w:line="276" w:lineRule="auto"/>
        <w:ind w:left="360"/>
        <w:rPr>
          <w:rFonts w:ascii="Arial" w:eastAsia="Arial" w:hAnsi="Arial" w:cs="Arial"/>
          <w:color w:val="AEAAAA" w:themeColor="background2" w:themeShade="BF"/>
          <w:lang w:val="en-GB"/>
        </w:rPr>
      </w:pPr>
      <w:r w:rsidRPr="00306F4D">
        <w:rPr>
          <w:rFonts w:ascii="Arial" w:eastAsia="Arial" w:hAnsi="Arial" w:cs="Arial"/>
          <w:color w:val="AEAAAA" w:themeColor="background2" w:themeShade="BF"/>
          <w:lang w:val="en-GB"/>
        </w:rPr>
        <w:t>Describe the project / programme components, particularly focusing on the concrete adaptation activities, how these activities would contribute to climate resilience. For regional projects describe also how they would build added value through the regional approach, compared to implementing similar activities in each country individually. For the case of a programme, show how the combination of individual projects would contribute to the overall increase in resilience.</w:t>
      </w:r>
    </w:p>
    <w:p w14:paraId="0C740A08" w14:textId="42A48832" w:rsidR="338C5E83" w:rsidRPr="00306F4D" w:rsidRDefault="338C5E83" w:rsidP="338C5E83">
      <w:pPr>
        <w:rPr>
          <w:lang w:val="en-GB"/>
        </w:rPr>
      </w:pPr>
    </w:p>
    <w:p w14:paraId="4056EDFF" w14:textId="391AECAD" w:rsidR="000B29E6" w:rsidRPr="00306F4D" w:rsidRDefault="5B1B6459" w:rsidP="00677710">
      <w:pPr>
        <w:pStyle w:val="Heading2"/>
        <w:spacing w:line="276" w:lineRule="auto"/>
        <w:rPr>
          <w:rFonts w:ascii="Arial" w:eastAsia="Arial" w:hAnsi="Arial" w:cs="Arial"/>
          <w:sz w:val="20"/>
          <w:szCs w:val="20"/>
          <w:lang w:val="en-GB"/>
        </w:rPr>
      </w:pPr>
      <w:bookmarkStart w:id="65" w:name="_Toc237680193"/>
      <w:bookmarkStart w:id="66" w:name="_Toc116208025"/>
      <w:bookmarkStart w:id="67" w:name="_Toc202165707"/>
      <w:bookmarkStart w:id="68" w:name="_Toc202893737"/>
      <w:r w:rsidRPr="00306F4D">
        <w:rPr>
          <w:rFonts w:ascii="Arial" w:eastAsia="Arial" w:hAnsi="Arial" w:cs="Arial"/>
          <w:sz w:val="20"/>
          <w:szCs w:val="20"/>
          <w:lang w:val="en-GB"/>
        </w:rPr>
        <w:t>Project Components and Contribution to Climate Resilience</w:t>
      </w:r>
      <w:bookmarkEnd w:id="65"/>
      <w:bookmarkEnd w:id="66"/>
      <w:bookmarkEnd w:id="67"/>
      <w:bookmarkEnd w:id="68"/>
    </w:p>
    <w:p w14:paraId="28D5C8D5" w14:textId="4B47238A" w:rsidR="000B29E6" w:rsidRPr="00306F4D" w:rsidRDefault="5B1B6459" w:rsidP="000B29E6">
      <w:bookmarkStart w:id="69" w:name="_Toc2032775633"/>
      <w:bookmarkStart w:id="70" w:name="_Toc619630862"/>
      <w:r w:rsidRPr="00306F4D">
        <w:rPr>
          <w:rFonts w:ascii="Arial" w:eastAsia="Arial" w:hAnsi="Arial" w:cs="Arial"/>
          <w:sz w:val="20"/>
          <w:szCs w:val="20"/>
        </w:rPr>
        <w:t>Theory of Change</w:t>
      </w:r>
      <w:bookmarkEnd w:id="69"/>
      <w:bookmarkEnd w:id="70"/>
    </w:p>
    <w:p w14:paraId="177158A2" w14:textId="77777777" w:rsidR="007D5673" w:rsidRPr="00306F4D" w:rsidRDefault="39EC56AF" w:rsidP="4186447D">
      <w:pPr>
        <w:spacing w:line="276" w:lineRule="auto"/>
        <w:jc w:val="both"/>
        <w:rPr>
          <w:rFonts w:ascii="Arial" w:eastAsia="Arial" w:hAnsi="Arial" w:cs="Arial"/>
          <w:sz w:val="20"/>
          <w:szCs w:val="20"/>
          <w:lang w:val="en-GB"/>
        </w:rPr>
      </w:pPr>
      <w:r w:rsidRPr="00306F4D">
        <w:rPr>
          <w:rFonts w:ascii="Arial" w:eastAsia="Arial" w:hAnsi="Arial" w:cs="Arial"/>
          <w:sz w:val="20"/>
          <w:szCs w:val="20"/>
          <w:lang w:val="en-GB"/>
        </w:rPr>
        <w:t xml:space="preserve">This Theory of Change is grounded in the belief that locally led innovation, when supported with the right resources, partnerships, and knowledge systems, can drive inclusive, scalable, replicable, and gender-responsive adaptation across the Western Balkans. It recognizes that climate adaptation innovation emerges through interconnected </w:t>
      </w:r>
      <w:r w:rsidRPr="00306F4D">
        <w:rPr>
          <w:rFonts w:ascii="Arial" w:eastAsia="Arial" w:hAnsi="Arial" w:cs="Arial"/>
          <w:sz w:val="20"/>
          <w:szCs w:val="20"/>
          <w:lang w:val="en-GB"/>
        </w:rPr>
        <w:lastRenderedPageBreak/>
        <w:t>dynamics rather than linear cause-and-effect relationships, creating the conditions for an innovation ecosystem to flourish.</w:t>
      </w:r>
    </w:p>
    <w:p w14:paraId="52F568F3" w14:textId="45865277" w:rsidR="00F04FEE" w:rsidRPr="00306F4D" w:rsidRDefault="12E9A9C0" w:rsidP="4186447D">
      <w:pPr>
        <w:spacing w:line="276" w:lineRule="auto"/>
        <w:jc w:val="both"/>
        <w:rPr>
          <w:rFonts w:ascii="Arial" w:eastAsia="Arial" w:hAnsi="Arial" w:cs="Arial"/>
          <w:sz w:val="20"/>
          <w:szCs w:val="20"/>
          <w:lang w:val="en-GB"/>
        </w:rPr>
      </w:pPr>
      <w:r w:rsidRPr="00306F4D">
        <w:rPr>
          <w:rFonts w:ascii="Arial" w:eastAsia="Arial" w:hAnsi="Arial" w:cs="Arial"/>
          <w:b/>
          <w:sz w:val="20"/>
          <w:szCs w:val="20"/>
          <w:lang w:val="en-GB"/>
        </w:rPr>
        <w:t xml:space="preserve">If </w:t>
      </w:r>
      <w:r w:rsidRPr="00306F4D">
        <w:rPr>
          <w:rFonts w:ascii="Arial" w:eastAsia="Arial" w:hAnsi="Arial" w:cs="Arial"/>
          <w:sz w:val="20"/>
          <w:szCs w:val="20"/>
          <w:lang w:val="en-GB"/>
        </w:rPr>
        <w:t xml:space="preserve">local innovators, actors and communities in the Western Balkans, particularly women and the most vulnerable, are empowered with </w:t>
      </w:r>
      <w:r w:rsidR="3138102F" w:rsidRPr="00306F4D">
        <w:rPr>
          <w:rFonts w:ascii="Arial" w:eastAsia="Arial" w:hAnsi="Arial" w:cs="Arial"/>
          <w:sz w:val="20"/>
          <w:szCs w:val="20"/>
          <w:lang w:val="en-GB"/>
        </w:rPr>
        <w:t xml:space="preserve">interconnected innovation </w:t>
      </w:r>
      <w:r w:rsidR="7134CFDA" w:rsidRPr="00306F4D">
        <w:rPr>
          <w:rFonts w:ascii="Arial" w:eastAsia="Arial" w:hAnsi="Arial" w:cs="Arial"/>
          <w:sz w:val="20"/>
          <w:szCs w:val="20"/>
          <w:lang w:val="en-GB"/>
        </w:rPr>
        <w:t>cy</w:t>
      </w:r>
      <w:r w:rsidR="5D9C01F4" w:rsidRPr="00306F4D">
        <w:rPr>
          <w:rFonts w:ascii="Arial" w:eastAsia="Arial" w:hAnsi="Arial" w:cs="Arial"/>
          <w:sz w:val="20"/>
          <w:szCs w:val="20"/>
          <w:lang w:val="en-GB"/>
        </w:rPr>
        <w:t xml:space="preserve">cles that </w:t>
      </w:r>
      <w:r w:rsidR="0752FCC8" w:rsidRPr="00306F4D">
        <w:rPr>
          <w:rFonts w:ascii="Arial" w:eastAsia="Arial" w:hAnsi="Arial" w:cs="Arial"/>
          <w:sz w:val="20"/>
          <w:szCs w:val="20"/>
          <w:lang w:val="en-GB"/>
        </w:rPr>
        <w:t>build</w:t>
      </w:r>
      <w:r w:rsidRPr="00306F4D">
        <w:rPr>
          <w:rFonts w:ascii="Arial" w:eastAsia="Arial" w:hAnsi="Arial" w:cs="Arial"/>
          <w:sz w:val="20"/>
          <w:szCs w:val="20"/>
          <w:lang w:val="en-GB"/>
        </w:rPr>
        <w:t xml:space="preserve"> capabilities, </w:t>
      </w:r>
      <w:r w:rsidR="4A010918" w:rsidRPr="00306F4D">
        <w:rPr>
          <w:rFonts w:ascii="Arial" w:eastAsia="Arial" w:hAnsi="Arial" w:cs="Arial"/>
          <w:sz w:val="20"/>
          <w:szCs w:val="20"/>
          <w:lang w:val="en-GB"/>
        </w:rPr>
        <w:t xml:space="preserve">credibility, </w:t>
      </w:r>
      <w:r w:rsidRPr="00306F4D">
        <w:rPr>
          <w:rFonts w:ascii="Arial" w:eastAsia="Arial" w:hAnsi="Arial" w:cs="Arial"/>
          <w:sz w:val="20"/>
          <w:szCs w:val="20"/>
          <w:lang w:val="en-GB"/>
        </w:rPr>
        <w:t xml:space="preserve">and enabling networks to develop and scale adaptation solutions, </w:t>
      </w:r>
    </w:p>
    <w:p w14:paraId="481A093E" w14:textId="3AB4AA3F" w:rsidR="00F04FEE" w:rsidRPr="00306F4D" w:rsidRDefault="12E9A9C0" w:rsidP="4186447D">
      <w:pPr>
        <w:spacing w:before="240" w:after="240" w:line="276" w:lineRule="auto"/>
        <w:jc w:val="both"/>
        <w:rPr>
          <w:rFonts w:ascii="Arial" w:eastAsia="Arial" w:hAnsi="Arial" w:cs="Arial"/>
          <w:sz w:val="20"/>
          <w:szCs w:val="20"/>
          <w:lang w:val="en-GB"/>
        </w:rPr>
      </w:pPr>
      <w:r w:rsidRPr="00306F4D">
        <w:rPr>
          <w:rFonts w:ascii="Arial" w:eastAsia="Arial" w:hAnsi="Arial" w:cs="Arial"/>
          <w:b/>
          <w:sz w:val="20"/>
          <w:szCs w:val="20"/>
          <w:lang w:val="en-GB"/>
        </w:rPr>
        <w:t xml:space="preserve">Then </w:t>
      </w:r>
      <w:r w:rsidR="746A86B2" w:rsidRPr="00306F4D">
        <w:rPr>
          <w:rFonts w:ascii="Arial" w:eastAsia="Arial" w:hAnsi="Arial" w:cs="Arial"/>
          <w:sz w:val="20"/>
          <w:szCs w:val="20"/>
          <w:lang w:val="en-GB"/>
        </w:rPr>
        <w:t>a</w:t>
      </w:r>
      <w:r w:rsidR="3989DF39" w:rsidRPr="00306F4D">
        <w:rPr>
          <w:rFonts w:ascii="Arial" w:eastAsia="Arial" w:hAnsi="Arial" w:cs="Arial"/>
          <w:sz w:val="20"/>
          <w:szCs w:val="20"/>
          <w:lang w:val="en-GB"/>
        </w:rPr>
        <w:t>n ecosystem</w:t>
      </w:r>
      <w:r w:rsidRPr="00306F4D">
        <w:rPr>
          <w:rFonts w:ascii="Arial" w:eastAsia="Arial" w:hAnsi="Arial" w:cs="Arial"/>
          <w:sz w:val="20"/>
          <w:szCs w:val="20"/>
          <w:lang w:val="en-GB"/>
        </w:rPr>
        <w:t xml:space="preserve"> of locally led adaptation innovations will emerge, strengthen resilience across the region, and contribute to more sustainable, inclusive and gender-responsive adaptation and responses to climate change, </w:t>
      </w:r>
    </w:p>
    <w:p w14:paraId="518145A5" w14:textId="1701A125" w:rsidR="00F04FEE" w:rsidRPr="00306F4D" w:rsidRDefault="746A86B2" w:rsidP="4186447D">
      <w:pPr>
        <w:spacing w:before="240" w:after="240" w:line="276" w:lineRule="auto"/>
        <w:jc w:val="both"/>
        <w:rPr>
          <w:rFonts w:ascii="Arial" w:eastAsia="Arial" w:hAnsi="Arial" w:cs="Arial"/>
          <w:sz w:val="20"/>
          <w:szCs w:val="20"/>
          <w:lang w:val="en-GB"/>
        </w:rPr>
      </w:pPr>
      <w:r w:rsidRPr="00306F4D">
        <w:rPr>
          <w:rFonts w:ascii="Arial" w:eastAsia="Arial" w:hAnsi="Arial" w:cs="Arial"/>
          <w:b/>
          <w:bCs/>
          <w:sz w:val="20"/>
          <w:szCs w:val="20"/>
          <w:lang w:val="en-GB"/>
        </w:rPr>
        <w:t xml:space="preserve">Because </w:t>
      </w:r>
      <w:r w:rsidR="1C10D73E" w:rsidRPr="00306F4D">
        <w:rPr>
          <w:rFonts w:ascii="Arial" w:eastAsia="Arial" w:hAnsi="Arial" w:cs="Arial"/>
          <w:sz w:val="20"/>
          <w:szCs w:val="20"/>
          <w:lang w:val="en-GB"/>
        </w:rPr>
        <w:t>they are supported through three mutually reinforcing components that create upward spirals of innovation, learning, and scaling.</w:t>
      </w:r>
    </w:p>
    <w:p w14:paraId="0FD28BDB" w14:textId="09C57993" w:rsidR="00F04FEE" w:rsidRPr="00306F4D" w:rsidRDefault="7FC1BE72" w:rsidP="4186447D">
      <w:pPr>
        <w:spacing w:before="240" w:after="240" w:line="276" w:lineRule="auto"/>
        <w:jc w:val="both"/>
        <w:rPr>
          <w:rFonts w:ascii="Arial" w:eastAsia="Arial" w:hAnsi="Arial" w:cs="Arial"/>
          <w:sz w:val="20"/>
          <w:szCs w:val="20"/>
          <w:lang w:val="en-GB"/>
        </w:rPr>
      </w:pPr>
      <w:r w:rsidRPr="00306F4D">
        <w:rPr>
          <w:rFonts w:ascii="Arial" w:eastAsia="Arial" w:hAnsi="Arial" w:cs="Arial"/>
          <w:color w:val="000000" w:themeColor="text1"/>
          <w:sz w:val="20"/>
          <w:szCs w:val="20"/>
          <w:lang w:val="en-GB"/>
        </w:rPr>
        <w:t>Theory</w:t>
      </w:r>
      <w:r w:rsidRPr="00306F4D">
        <w:rPr>
          <w:rFonts w:ascii="Arial" w:eastAsia="Arial" w:hAnsi="Arial" w:cs="Arial"/>
          <w:sz w:val="20"/>
          <w:szCs w:val="20"/>
          <w:lang w:val="en-GB"/>
        </w:rPr>
        <w:t xml:space="preserve"> of Change is supported by </w:t>
      </w:r>
      <w:r w:rsidR="3EB2613C" w:rsidRPr="00306F4D">
        <w:rPr>
          <w:rFonts w:ascii="Arial" w:eastAsia="Arial" w:hAnsi="Arial" w:cs="Arial"/>
          <w:sz w:val="20"/>
          <w:szCs w:val="20"/>
          <w:lang w:val="en-GB"/>
        </w:rPr>
        <w:t>three</w:t>
      </w:r>
      <w:r w:rsidRPr="00306F4D">
        <w:rPr>
          <w:rFonts w:ascii="Arial" w:eastAsia="Arial" w:hAnsi="Arial" w:cs="Arial"/>
          <w:sz w:val="20"/>
          <w:szCs w:val="20"/>
          <w:lang w:val="en-GB"/>
        </w:rPr>
        <w:t xml:space="preserve"> key </w:t>
      </w:r>
      <w:r w:rsidR="50981C42" w:rsidRPr="00306F4D">
        <w:rPr>
          <w:rFonts w:ascii="Arial" w:eastAsia="Arial" w:hAnsi="Arial" w:cs="Arial"/>
          <w:sz w:val="20"/>
          <w:szCs w:val="20"/>
          <w:lang w:val="en-GB"/>
        </w:rPr>
        <w:t>components</w:t>
      </w:r>
      <w:r w:rsidRPr="00306F4D">
        <w:rPr>
          <w:rFonts w:ascii="Arial" w:eastAsia="Arial" w:hAnsi="Arial" w:cs="Arial"/>
          <w:sz w:val="20"/>
          <w:szCs w:val="20"/>
          <w:lang w:val="en-GB"/>
        </w:rPr>
        <w:t>:</w:t>
      </w:r>
    </w:p>
    <w:p w14:paraId="6F1BEB00" w14:textId="535822AA" w:rsidR="03A9E975" w:rsidRPr="00306F4D" w:rsidRDefault="589B6338" w:rsidP="4186447D">
      <w:pPr>
        <w:pStyle w:val="ListParagraph"/>
        <w:numPr>
          <w:ilvl w:val="0"/>
          <w:numId w:val="18"/>
        </w:numPr>
        <w:spacing w:before="240" w:after="240" w:line="276" w:lineRule="auto"/>
        <w:jc w:val="both"/>
        <w:rPr>
          <w:rFonts w:ascii="Arial" w:eastAsia="Arial" w:hAnsi="Arial" w:cs="Arial"/>
          <w:color w:val="000000" w:themeColor="text1"/>
        </w:rPr>
      </w:pPr>
      <w:r w:rsidRPr="00306F4D">
        <w:rPr>
          <w:b/>
          <w:bCs/>
          <w:color w:val="02494C"/>
          <w:u w:val="single"/>
        </w:rPr>
        <w:t>Innovation Facility for Climate Adaptation</w:t>
      </w:r>
      <w:r w:rsidR="7536A920" w:rsidRPr="00306F4D">
        <w:rPr>
          <w:rFonts w:ascii="Arial" w:eastAsia="Arial" w:hAnsi="Arial" w:cs="Arial"/>
          <w:b/>
          <w:bCs/>
          <w:sz w:val="20"/>
          <w:szCs w:val="20"/>
        </w:rPr>
        <w:t>:</w:t>
      </w:r>
      <w:r w:rsidR="7536A920" w:rsidRPr="00306F4D">
        <w:rPr>
          <w:rFonts w:ascii="Arial" w:eastAsia="Arial" w:hAnsi="Arial" w:cs="Arial"/>
          <w:sz w:val="20"/>
          <w:szCs w:val="20"/>
        </w:rPr>
        <w:t xml:space="preserve"> </w:t>
      </w:r>
      <w:r w:rsidR="01C2EE6E" w:rsidRPr="00306F4D">
        <w:rPr>
          <w:rFonts w:ascii="Arial" w:eastAsia="Arial" w:hAnsi="Arial" w:cs="Arial"/>
          <w:sz w:val="20"/>
          <w:szCs w:val="20"/>
        </w:rPr>
        <w:t>the</w:t>
      </w:r>
      <w:r w:rsidR="7536A920" w:rsidRPr="00306F4D">
        <w:rPr>
          <w:rFonts w:ascii="Arial" w:eastAsia="Arial" w:hAnsi="Arial" w:cs="Arial"/>
          <w:sz w:val="20"/>
          <w:szCs w:val="20"/>
        </w:rPr>
        <w:t xml:space="preserve"> call for p</w:t>
      </w:r>
      <w:r w:rsidR="48203FCC" w:rsidRPr="00306F4D">
        <w:rPr>
          <w:rFonts w:ascii="Arial" w:eastAsia="Arial" w:hAnsi="Arial" w:cs="Arial"/>
          <w:sz w:val="20"/>
          <w:szCs w:val="20"/>
        </w:rPr>
        <w:t>r</w:t>
      </w:r>
      <w:r w:rsidR="7536A920" w:rsidRPr="00306F4D">
        <w:rPr>
          <w:rFonts w:ascii="Arial" w:eastAsia="Arial" w:hAnsi="Arial" w:cs="Arial"/>
          <w:sz w:val="20"/>
          <w:szCs w:val="20"/>
        </w:rPr>
        <w:t xml:space="preserve">oposal </w:t>
      </w:r>
      <w:r w:rsidR="725CBF3E" w:rsidRPr="00306F4D">
        <w:rPr>
          <w:rFonts w:ascii="Arial" w:eastAsia="Arial" w:hAnsi="Arial" w:cs="Arial"/>
          <w:sz w:val="20"/>
          <w:szCs w:val="20"/>
        </w:rPr>
        <w:t xml:space="preserve">and innovation sprint </w:t>
      </w:r>
      <w:proofErr w:type="gramStart"/>
      <w:r w:rsidR="6DACB688" w:rsidRPr="00306F4D">
        <w:rPr>
          <w:rFonts w:ascii="Arial" w:eastAsia="Arial" w:hAnsi="Arial" w:cs="Arial"/>
          <w:sz w:val="20"/>
          <w:szCs w:val="20"/>
        </w:rPr>
        <w:t>recognize</w:t>
      </w:r>
      <w:proofErr w:type="gramEnd"/>
      <w:r w:rsidR="6DACB688" w:rsidRPr="00306F4D">
        <w:rPr>
          <w:rFonts w:ascii="Arial" w:eastAsia="Arial" w:hAnsi="Arial" w:cs="Arial"/>
          <w:sz w:val="20"/>
          <w:szCs w:val="20"/>
        </w:rPr>
        <w:t xml:space="preserve"> and elevate local solutions while building </w:t>
      </w:r>
      <w:r w:rsidR="6DACB688" w:rsidRPr="00306F4D">
        <w:rPr>
          <w:rFonts w:ascii="Arial" w:eastAsia="Arial" w:hAnsi="Arial" w:cs="Arial"/>
          <w:color w:val="000000" w:themeColor="text1"/>
          <w:sz w:val="20"/>
          <w:szCs w:val="20"/>
        </w:rPr>
        <w:t>context-specific adaptation technologies and practices</w:t>
      </w:r>
      <w:r w:rsidR="5317470F" w:rsidRPr="00306F4D">
        <w:rPr>
          <w:rFonts w:ascii="Arial" w:eastAsia="Arial" w:hAnsi="Arial" w:cs="Arial"/>
          <w:color w:val="000000" w:themeColor="text1"/>
          <w:sz w:val="20"/>
          <w:szCs w:val="20"/>
        </w:rPr>
        <w:t xml:space="preserve">, </w:t>
      </w:r>
      <w:r w:rsidR="5317470F" w:rsidRPr="00306F4D">
        <w:rPr>
          <w:rFonts w:ascii="Arial" w:eastAsia="Arial" w:hAnsi="Arial" w:cs="Arial"/>
          <w:sz w:val="20"/>
          <w:szCs w:val="20"/>
          <w:lang w:val="en-GB"/>
        </w:rPr>
        <w:t>addressing priority climate risks identified by the four countries</w:t>
      </w:r>
      <w:r w:rsidR="6DACB688" w:rsidRPr="00306F4D">
        <w:rPr>
          <w:rFonts w:ascii="Arial" w:eastAsia="Arial" w:hAnsi="Arial" w:cs="Arial"/>
          <w:color w:val="000000" w:themeColor="text1"/>
          <w:sz w:val="20"/>
          <w:szCs w:val="20"/>
        </w:rPr>
        <w:t>. This</w:t>
      </w:r>
      <w:r w:rsidR="7F9C4385" w:rsidRPr="00306F4D">
        <w:rPr>
          <w:rFonts w:ascii="Arial" w:eastAsia="Arial" w:hAnsi="Arial" w:cs="Arial"/>
          <w:color w:val="000000" w:themeColor="text1"/>
          <w:sz w:val="20"/>
          <w:szCs w:val="20"/>
        </w:rPr>
        <w:t xml:space="preserve"> generates a “capacity-confidence-investment cycle” where successful recognition</w:t>
      </w:r>
      <w:r w:rsidR="6E14C260" w:rsidRPr="00306F4D">
        <w:rPr>
          <w:rFonts w:ascii="Arial" w:eastAsia="Arial" w:hAnsi="Arial" w:cs="Arial"/>
          <w:color w:val="000000" w:themeColor="text1"/>
          <w:sz w:val="20"/>
          <w:szCs w:val="20"/>
        </w:rPr>
        <w:t xml:space="preserve"> of local expertise builds confidence</w:t>
      </w:r>
      <w:r w:rsidR="51F01338" w:rsidRPr="00306F4D">
        <w:rPr>
          <w:rFonts w:ascii="Arial" w:eastAsia="Arial" w:hAnsi="Arial" w:cs="Arial"/>
          <w:color w:val="000000" w:themeColor="text1"/>
          <w:sz w:val="20"/>
          <w:szCs w:val="20"/>
        </w:rPr>
        <w:t xml:space="preserve">, attracts investment, and enables further capacity building. </w:t>
      </w:r>
    </w:p>
    <w:p w14:paraId="1322C8AD" w14:textId="11BABE04" w:rsidR="19272599" w:rsidRPr="00306F4D" w:rsidRDefault="230205D5" w:rsidP="4186447D">
      <w:pPr>
        <w:pStyle w:val="ListParagraph"/>
        <w:numPr>
          <w:ilvl w:val="0"/>
          <w:numId w:val="18"/>
        </w:numPr>
        <w:spacing w:before="240" w:after="240" w:line="276" w:lineRule="auto"/>
        <w:jc w:val="both"/>
        <w:rPr>
          <w:rFonts w:ascii="Arial" w:eastAsia="Arial" w:hAnsi="Arial" w:cs="Arial"/>
          <w:color w:val="000000" w:themeColor="text1"/>
        </w:rPr>
      </w:pPr>
      <w:r w:rsidRPr="00306F4D">
        <w:rPr>
          <w:b/>
          <w:lang w:val="en-GB"/>
        </w:rPr>
        <w:t xml:space="preserve">Technical assistance and </w:t>
      </w:r>
      <w:r w:rsidR="393BF6C8" w:rsidRPr="00306F4D">
        <w:rPr>
          <w:b/>
          <w:bCs/>
          <w:lang w:val="en-GB"/>
        </w:rPr>
        <w:t xml:space="preserve">capability development for </w:t>
      </w:r>
      <w:proofErr w:type="gramStart"/>
      <w:r w:rsidR="393BF6C8" w:rsidRPr="00306F4D">
        <w:rPr>
          <w:b/>
          <w:bCs/>
          <w:lang w:val="en-GB"/>
        </w:rPr>
        <w:t>scale</w:t>
      </w:r>
      <w:r w:rsidRPr="00306F4D">
        <w:rPr>
          <w:rFonts w:ascii="Arial" w:eastAsia="Arial" w:hAnsi="Arial" w:cs="Arial"/>
          <w:b/>
          <w:bCs/>
          <w:color w:val="000000" w:themeColor="text1"/>
          <w:sz w:val="20"/>
          <w:szCs w:val="20"/>
        </w:rPr>
        <w:t>:</w:t>
      </w:r>
      <w:proofErr w:type="gramEnd"/>
      <w:r w:rsidRPr="00306F4D">
        <w:rPr>
          <w:rFonts w:ascii="Arial" w:eastAsia="Arial" w:hAnsi="Arial" w:cs="Arial"/>
          <w:b/>
          <w:bCs/>
          <w:color w:val="000000" w:themeColor="text1"/>
          <w:sz w:val="20"/>
          <w:szCs w:val="20"/>
        </w:rPr>
        <w:t xml:space="preserve"> </w:t>
      </w:r>
      <w:r w:rsidRPr="00306F4D">
        <w:rPr>
          <w:rFonts w:ascii="Arial" w:eastAsia="Arial" w:hAnsi="Arial" w:cs="Arial"/>
          <w:color w:val="000000" w:themeColor="text1"/>
          <w:sz w:val="20"/>
          <w:szCs w:val="20"/>
        </w:rPr>
        <w:t>supports the transition from pilots to scalable solutions through targeted business support, technical assistance and ac</w:t>
      </w:r>
      <w:r w:rsidR="6C710A74" w:rsidRPr="00306F4D">
        <w:rPr>
          <w:rFonts w:ascii="Arial" w:eastAsia="Arial" w:hAnsi="Arial" w:cs="Arial"/>
          <w:color w:val="000000" w:themeColor="text1"/>
          <w:sz w:val="20"/>
          <w:szCs w:val="20"/>
        </w:rPr>
        <w:t>celeration. This creates a “visibility-credibility-support cycle” where su</w:t>
      </w:r>
      <w:r w:rsidR="5AE22A00" w:rsidRPr="00306F4D">
        <w:rPr>
          <w:rFonts w:ascii="Arial" w:eastAsia="Arial" w:hAnsi="Arial" w:cs="Arial"/>
          <w:color w:val="000000" w:themeColor="text1"/>
          <w:sz w:val="20"/>
          <w:szCs w:val="20"/>
        </w:rPr>
        <w:t xml:space="preserve">ccessful pilots enhance the local </w:t>
      </w:r>
      <w:proofErr w:type="gramStart"/>
      <w:r w:rsidR="5AE22A00" w:rsidRPr="00306F4D">
        <w:rPr>
          <w:rFonts w:ascii="Arial" w:eastAsia="Arial" w:hAnsi="Arial" w:cs="Arial"/>
          <w:color w:val="000000" w:themeColor="text1"/>
          <w:sz w:val="20"/>
          <w:szCs w:val="20"/>
        </w:rPr>
        <w:t>actors</w:t>
      </w:r>
      <w:proofErr w:type="gramEnd"/>
      <w:r w:rsidR="5AE22A00" w:rsidRPr="00306F4D">
        <w:rPr>
          <w:rFonts w:ascii="Arial" w:eastAsia="Arial" w:hAnsi="Arial" w:cs="Arial"/>
          <w:color w:val="000000" w:themeColor="text1"/>
          <w:sz w:val="20"/>
          <w:szCs w:val="20"/>
        </w:rPr>
        <w:t xml:space="preserve"> credibility, attract additional support from funders and policy makers, and creates opportunities for recognition</w:t>
      </w:r>
      <w:r w:rsidR="6D32C06A" w:rsidRPr="00306F4D">
        <w:rPr>
          <w:rFonts w:ascii="Arial" w:eastAsia="Arial" w:hAnsi="Arial" w:cs="Arial"/>
          <w:color w:val="000000" w:themeColor="text1"/>
          <w:sz w:val="20"/>
          <w:szCs w:val="20"/>
        </w:rPr>
        <w:t>.</w:t>
      </w:r>
    </w:p>
    <w:p w14:paraId="3BC67AB9" w14:textId="54D0BE26" w:rsidR="77FB5912" w:rsidRPr="00306F4D" w:rsidRDefault="70D37B2F" w:rsidP="4186447D">
      <w:pPr>
        <w:pStyle w:val="ListParagraph"/>
        <w:numPr>
          <w:ilvl w:val="0"/>
          <w:numId w:val="18"/>
        </w:numPr>
        <w:spacing w:before="240" w:after="240" w:line="276" w:lineRule="auto"/>
        <w:jc w:val="both"/>
        <w:rPr>
          <w:rFonts w:ascii="Arial" w:eastAsia="Arial" w:hAnsi="Arial" w:cs="Arial"/>
          <w:color w:val="000000" w:themeColor="text1"/>
          <w:sz w:val="20"/>
          <w:szCs w:val="20"/>
        </w:rPr>
      </w:pPr>
      <w:r w:rsidRPr="00306F4D">
        <w:rPr>
          <w:b/>
        </w:rPr>
        <w:t>Knowledge</w:t>
      </w:r>
      <w:r w:rsidR="06EF072B" w:rsidRPr="00306F4D">
        <w:rPr>
          <w:b/>
          <w:bCs/>
        </w:rPr>
        <w:t xml:space="preserve"> Management</w:t>
      </w:r>
      <w:r w:rsidRPr="00306F4D">
        <w:rPr>
          <w:b/>
        </w:rPr>
        <w:t xml:space="preserve"> and </w:t>
      </w:r>
      <w:r w:rsidR="06EF072B" w:rsidRPr="00306F4D">
        <w:rPr>
          <w:b/>
          <w:bCs/>
        </w:rPr>
        <w:t>Regional Collaboration</w:t>
      </w:r>
      <w:r w:rsidRPr="00306F4D">
        <w:rPr>
          <w:b/>
        </w:rPr>
        <w:t>:</w:t>
      </w:r>
      <w:r w:rsidRPr="00306F4D">
        <w:rPr>
          <w:rFonts w:ascii="Arial" w:eastAsia="Arial" w:hAnsi="Arial" w:cs="Arial"/>
          <w:b/>
          <w:bCs/>
          <w:color w:val="000000" w:themeColor="text1"/>
          <w:sz w:val="20"/>
          <w:szCs w:val="20"/>
        </w:rPr>
        <w:t xml:space="preserve"> </w:t>
      </w:r>
      <w:r w:rsidRPr="00306F4D">
        <w:rPr>
          <w:rFonts w:ascii="Arial" w:eastAsia="Arial" w:hAnsi="Arial" w:cs="Arial"/>
          <w:color w:val="000000" w:themeColor="text1"/>
          <w:sz w:val="20"/>
          <w:szCs w:val="20"/>
        </w:rPr>
        <w:t xml:space="preserve">captures and amplifies learnings through </w:t>
      </w:r>
      <w:r w:rsidR="580F73B4" w:rsidRPr="00306F4D">
        <w:rPr>
          <w:rFonts w:ascii="Arial" w:eastAsia="Arial" w:hAnsi="Arial" w:cs="Arial"/>
          <w:color w:val="000000" w:themeColor="text1"/>
          <w:sz w:val="20"/>
          <w:szCs w:val="20"/>
        </w:rPr>
        <w:t xml:space="preserve">peer exchange, </w:t>
      </w:r>
      <w:r w:rsidRPr="00306F4D">
        <w:rPr>
          <w:rFonts w:ascii="Arial" w:eastAsia="Arial" w:hAnsi="Arial" w:cs="Arial"/>
          <w:color w:val="000000" w:themeColor="text1"/>
          <w:sz w:val="20"/>
          <w:szCs w:val="20"/>
        </w:rPr>
        <w:t>regional platforms and systematic documentation</w:t>
      </w:r>
      <w:r w:rsidR="3F3C6842" w:rsidRPr="00306F4D">
        <w:rPr>
          <w:rFonts w:ascii="Arial" w:eastAsia="Arial" w:hAnsi="Arial" w:cs="Arial"/>
          <w:color w:val="000000" w:themeColor="text1"/>
          <w:sz w:val="20"/>
          <w:szCs w:val="20"/>
        </w:rPr>
        <w:t xml:space="preserve"> of effective </w:t>
      </w:r>
      <w:r w:rsidR="36C3E697" w:rsidRPr="00306F4D">
        <w:rPr>
          <w:rFonts w:ascii="Arial" w:eastAsia="Arial" w:hAnsi="Arial" w:cs="Arial"/>
          <w:color w:val="000000" w:themeColor="text1"/>
          <w:sz w:val="20"/>
          <w:szCs w:val="20"/>
        </w:rPr>
        <w:t xml:space="preserve">practices. This generates a “regional-local learning loop” where cross-border knowledge exchange </w:t>
      </w:r>
      <w:r w:rsidR="3E02F9FB" w:rsidRPr="00306F4D">
        <w:rPr>
          <w:rFonts w:ascii="Arial" w:eastAsia="Arial" w:hAnsi="Arial" w:cs="Arial"/>
          <w:color w:val="000000" w:themeColor="text1"/>
          <w:sz w:val="20"/>
          <w:szCs w:val="20"/>
        </w:rPr>
        <w:t>strengthens the entire regional adaptation ecosystem.</w:t>
      </w:r>
    </w:p>
    <w:p w14:paraId="5C24E9C9" w14:textId="32098972" w:rsidR="00F66340" w:rsidRPr="00306F4D" w:rsidRDefault="3BC3562A" w:rsidP="12701089">
      <w:pPr>
        <w:spacing w:before="240" w:after="240" w:line="276" w:lineRule="auto"/>
        <w:rPr>
          <w:rFonts w:ascii="Arial" w:eastAsia="Arial" w:hAnsi="Arial" w:cs="Arial"/>
          <w:sz w:val="20"/>
          <w:szCs w:val="20"/>
          <w:lang w:val="en-GB"/>
        </w:rPr>
      </w:pPr>
      <w:r w:rsidRPr="00306F4D">
        <w:rPr>
          <w:rFonts w:ascii="Arial" w:eastAsia="Arial" w:hAnsi="Arial" w:cs="Arial"/>
          <w:sz w:val="20"/>
          <w:szCs w:val="20"/>
          <w:lang w:val="en-GB"/>
        </w:rPr>
        <w:t>This approach rests on several assumptions, including the willingness and capacity of local actors to drive innovation, the engagement of women-led initiatives, the existence of policy and market space to support scaling, and continued regional cooperation driven by shared climate priorities.</w:t>
      </w:r>
    </w:p>
    <w:p w14:paraId="06306707" w14:textId="4F5AE9AB" w:rsidR="3E9D5A37" w:rsidRPr="00306F4D" w:rsidRDefault="20C6F1E5" w:rsidP="3E9D5A37">
      <w:pPr>
        <w:spacing w:before="240" w:after="240" w:line="276" w:lineRule="auto"/>
        <w:jc w:val="center"/>
        <w:rPr>
          <w:rFonts w:ascii="Arial" w:eastAsia="Arial" w:hAnsi="Arial" w:cs="Arial"/>
          <w:b/>
          <w:bCs/>
          <w:sz w:val="16"/>
          <w:szCs w:val="16"/>
        </w:rPr>
      </w:pPr>
      <w:r w:rsidRPr="00306F4D">
        <w:rPr>
          <w:noProof/>
        </w:rPr>
        <w:lastRenderedPageBreak/>
        <w:drawing>
          <wp:inline distT="0" distB="0" distL="0" distR="0" wp14:anchorId="539D6A72" wp14:editId="57BB2BEE">
            <wp:extent cx="6343650" cy="5429250"/>
            <wp:effectExtent l="0" t="0" r="0" b="0"/>
            <wp:docPr id="64505323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053233" name=""/>
                    <pic:cNvPicPr/>
                  </pic:nvPicPr>
                  <pic:blipFill>
                    <a:blip r:embed="rId33">
                      <a:extLst>
                        <a:ext uri="{28A0092B-C50C-407E-A947-70E740481C1C}">
                          <a14:useLocalDpi xmlns:a14="http://schemas.microsoft.com/office/drawing/2010/main" val="0"/>
                        </a:ext>
                      </a:extLst>
                    </a:blip>
                    <a:stretch>
                      <a:fillRect/>
                    </a:stretch>
                  </pic:blipFill>
                  <pic:spPr>
                    <a:xfrm>
                      <a:off x="0" y="0"/>
                      <a:ext cx="6343650" cy="5429250"/>
                    </a:xfrm>
                    <a:prstGeom prst="rect">
                      <a:avLst/>
                    </a:prstGeom>
                  </pic:spPr>
                </pic:pic>
              </a:graphicData>
            </a:graphic>
          </wp:inline>
        </w:drawing>
      </w:r>
    </w:p>
    <w:p w14:paraId="694BA268" w14:textId="3C318FA9" w:rsidR="00F66340" w:rsidRPr="00306F4D" w:rsidRDefault="6A8441AC" w:rsidP="000B29E6">
      <w:pPr>
        <w:spacing w:before="240" w:after="240" w:line="276" w:lineRule="auto"/>
        <w:jc w:val="center"/>
        <w:rPr>
          <w:rFonts w:ascii="Arial" w:eastAsia="Arial" w:hAnsi="Arial" w:cs="Arial"/>
          <w:b/>
          <w:sz w:val="20"/>
          <w:szCs w:val="20"/>
        </w:rPr>
      </w:pPr>
      <w:r w:rsidRPr="00306F4D">
        <w:rPr>
          <w:rFonts w:ascii="Arial" w:eastAsia="Arial" w:hAnsi="Arial" w:cs="Arial"/>
          <w:b/>
          <w:sz w:val="16"/>
          <w:szCs w:val="16"/>
        </w:rPr>
        <w:t xml:space="preserve">Figure </w:t>
      </w:r>
      <w:r w:rsidR="00FC7D9D" w:rsidRPr="00306F4D">
        <w:rPr>
          <w:rFonts w:ascii="Arial" w:eastAsia="Arial" w:hAnsi="Arial" w:cs="Arial"/>
          <w:b/>
          <w:sz w:val="16"/>
          <w:szCs w:val="16"/>
        </w:rPr>
        <w:t>11</w:t>
      </w:r>
      <w:r w:rsidR="62F08E3E" w:rsidRPr="00306F4D">
        <w:rPr>
          <w:rFonts w:ascii="Arial" w:eastAsia="Arial" w:hAnsi="Arial" w:cs="Arial"/>
          <w:b/>
          <w:sz w:val="16"/>
          <w:szCs w:val="16"/>
        </w:rPr>
        <w:t>-</w:t>
      </w:r>
      <w:r w:rsidR="000B29E6" w:rsidRPr="00306F4D">
        <w:rPr>
          <w:rFonts w:ascii="Arial" w:eastAsia="Arial" w:hAnsi="Arial" w:cs="Arial"/>
          <w:b/>
          <w:sz w:val="16"/>
          <w:szCs w:val="16"/>
        </w:rPr>
        <w:t>12</w:t>
      </w:r>
      <w:r w:rsidRPr="00306F4D">
        <w:rPr>
          <w:rFonts w:ascii="Arial" w:eastAsia="Arial" w:hAnsi="Arial" w:cs="Arial"/>
          <w:b/>
          <w:sz w:val="16"/>
          <w:szCs w:val="16"/>
        </w:rPr>
        <w:t>. Regional Project Theory of Change</w:t>
      </w:r>
    </w:p>
    <w:p w14:paraId="7603F093" w14:textId="052960F2" w:rsidR="00AA3060" w:rsidRPr="00306F4D" w:rsidRDefault="00AA3060" w:rsidP="00AA3060">
      <w:pPr>
        <w:tabs>
          <w:tab w:val="left" w:pos="360"/>
        </w:tabs>
        <w:spacing w:after="0" w:line="276" w:lineRule="auto"/>
        <w:jc w:val="both"/>
        <w:rPr>
          <w:rFonts w:ascii="Arial" w:eastAsia="Arial" w:hAnsi="Arial" w:cs="Arial"/>
          <w:sz w:val="20"/>
          <w:szCs w:val="20"/>
          <w:lang w:val="en-GB"/>
        </w:rPr>
      </w:pPr>
      <w:r w:rsidRPr="00306F4D">
        <w:rPr>
          <w:rFonts w:ascii="Arial" w:eastAsia="Arial" w:hAnsi="Arial" w:cs="Arial"/>
          <w:sz w:val="20"/>
          <w:szCs w:val="20"/>
          <w:lang w:val="en-GB"/>
        </w:rPr>
        <w:t>To achieve the programme’s objective of supporting the development and diffusion of innovative adaptation practices, tools, and technologies, the Regional Project will be established and managed by UNDP with four main functions: (1) Sourcing, screening, and selection; (2) Grant Administration and Management; (3) Aggregated technical advisory and business development support; and (4) Knowledge coordination and result aggregation. All the funding windows under the UNDP’s Adaptation Innovation Marketplace (AIM) follow</w:t>
      </w:r>
      <w:r w:rsidR="5F1FE9D0" w:rsidRPr="00306F4D">
        <w:rPr>
          <w:rFonts w:ascii="Arial" w:eastAsia="Arial" w:hAnsi="Arial" w:cs="Arial"/>
          <w:sz w:val="20"/>
          <w:szCs w:val="20"/>
          <w:lang w:val="en-GB"/>
        </w:rPr>
        <w:t>s</w:t>
      </w:r>
      <w:r w:rsidRPr="00306F4D">
        <w:rPr>
          <w:rFonts w:ascii="Arial" w:eastAsia="Arial" w:hAnsi="Arial" w:cs="Arial"/>
          <w:sz w:val="20"/>
          <w:szCs w:val="20"/>
          <w:lang w:val="en-GB"/>
        </w:rPr>
        <w:t xml:space="preserve"> a similar structure.</w:t>
      </w:r>
    </w:p>
    <w:p w14:paraId="52DD0B30" w14:textId="36D6B453" w:rsidR="00AA3060" w:rsidRPr="00306F4D" w:rsidRDefault="7B48ABF2" w:rsidP="58D8FBEF">
      <w:pPr>
        <w:tabs>
          <w:tab w:val="left" w:pos="360"/>
        </w:tabs>
        <w:spacing w:after="0" w:line="276" w:lineRule="auto"/>
        <w:jc w:val="center"/>
        <w:rPr>
          <w:rFonts w:ascii="Arial" w:eastAsia="Arial" w:hAnsi="Arial" w:cs="Arial"/>
          <w:sz w:val="20"/>
          <w:szCs w:val="20"/>
        </w:rPr>
      </w:pPr>
      <w:r w:rsidRPr="00306F4D">
        <w:rPr>
          <w:noProof/>
        </w:rPr>
        <w:lastRenderedPageBreak/>
        <w:drawing>
          <wp:inline distT="0" distB="0" distL="0" distR="0" wp14:anchorId="1061361B" wp14:editId="184E9490">
            <wp:extent cx="5086350" cy="1636697"/>
            <wp:effectExtent l="0" t="0" r="0" b="0"/>
            <wp:docPr id="1398377389" name="Picture 1398377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377389"/>
                    <pic:cNvPicPr/>
                  </pic:nvPicPr>
                  <pic:blipFill>
                    <a:blip r:embed="rId34">
                      <a:extLst>
                        <a:ext uri="{28A0092B-C50C-407E-A947-70E740481C1C}">
                          <a14:useLocalDpi xmlns:a14="http://schemas.microsoft.com/office/drawing/2010/main" val="0"/>
                        </a:ext>
                      </a:extLst>
                    </a:blip>
                    <a:stretch>
                      <a:fillRect/>
                    </a:stretch>
                  </pic:blipFill>
                  <pic:spPr>
                    <a:xfrm>
                      <a:off x="0" y="0"/>
                      <a:ext cx="5086350" cy="1636697"/>
                    </a:xfrm>
                    <a:prstGeom prst="rect">
                      <a:avLst/>
                    </a:prstGeom>
                  </pic:spPr>
                </pic:pic>
              </a:graphicData>
            </a:graphic>
          </wp:inline>
        </w:drawing>
      </w:r>
    </w:p>
    <w:p w14:paraId="2DF72A6C" w14:textId="6CE19470" w:rsidR="00AA3060" w:rsidRPr="00306F4D" w:rsidRDefault="7B48ABF2" w:rsidP="00AA3060">
      <w:pPr>
        <w:tabs>
          <w:tab w:val="left" w:pos="360"/>
        </w:tabs>
        <w:spacing w:after="0" w:line="276" w:lineRule="auto"/>
        <w:jc w:val="center"/>
        <w:rPr>
          <w:rFonts w:ascii="Arial" w:eastAsia="Arial" w:hAnsi="Arial" w:cs="Arial"/>
          <w:sz w:val="16"/>
          <w:szCs w:val="16"/>
        </w:rPr>
      </w:pPr>
      <w:r w:rsidRPr="00306F4D">
        <w:rPr>
          <w:rFonts w:ascii="Arial" w:eastAsia="Arial" w:hAnsi="Arial" w:cs="Arial"/>
          <w:b/>
          <w:color w:val="000000" w:themeColor="text1"/>
          <w:sz w:val="16"/>
          <w:szCs w:val="16"/>
        </w:rPr>
        <w:t>Figure 1</w:t>
      </w:r>
      <w:r w:rsidR="000B29E6" w:rsidRPr="00306F4D">
        <w:rPr>
          <w:rFonts w:ascii="Arial" w:eastAsia="Arial" w:hAnsi="Arial" w:cs="Arial"/>
          <w:b/>
          <w:color w:val="000000" w:themeColor="text1"/>
          <w:sz w:val="16"/>
          <w:szCs w:val="16"/>
        </w:rPr>
        <w:t>2</w:t>
      </w:r>
      <w:r w:rsidRPr="00306F4D">
        <w:rPr>
          <w:rFonts w:ascii="Arial" w:eastAsia="Arial" w:hAnsi="Arial" w:cs="Arial"/>
          <w:b/>
          <w:color w:val="000000" w:themeColor="text1"/>
          <w:sz w:val="16"/>
          <w:szCs w:val="16"/>
        </w:rPr>
        <w:t xml:space="preserve">. </w:t>
      </w:r>
      <w:r w:rsidR="5B1B6459" w:rsidRPr="00306F4D">
        <w:rPr>
          <w:rFonts w:ascii="Arial" w:eastAsia="Arial" w:hAnsi="Arial" w:cs="Arial"/>
          <w:b/>
          <w:color w:val="000000" w:themeColor="text1"/>
          <w:sz w:val="16"/>
          <w:szCs w:val="16"/>
        </w:rPr>
        <w:t xml:space="preserve">Major Functions </w:t>
      </w:r>
      <w:r w:rsidRPr="00306F4D">
        <w:rPr>
          <w:rFonts w:ascii="Arial" w:eastAsia="Arial" w:hAnsi="Arial" w:cs="Arial"/>
          <w:b/>
          <w:color w:val="000000" w:themeColor="text1"/>
          <w:sz w:val="16"/>
          <w:szCs w:val="16"/>
        </w:rPr>
        <w:t>of the Regional Project</w:t>
      </w:r>
    </w:p>
    <w:p w14:paraId="7E2336B0" w14:textId="77777777" w:rsidR="001472F1" w:rsidRPr="00306F4D" w:rsidRDefault="001472F1" w:rsidP="001472F1">
      <w:pPr>
        <w:spacing w:after="0" w:line="240" w:lineRule="auto"/>
        <w:rPr>
          <w:rFonts w:ascii="Arial" w:eastAsia="Arial" w:hAnsi="Arial" w:cs="Arial"/>
          <w:color w:val="000000" w:themeColor="text1"/>
          <w:sz w:val="20"/>
          <w:szCs w:val="20"/>
        </w:rPr>
      </w:pPr>
    </w:p>
    <w:p w14:paraId="27F60CC1" w14:textId="412C602F" w:rsidR="00AA3060" w:rsidRPr="00306F4D" w:rsidRDefault="00AA3060" w:rsidP="006E637C">
      <w:pPr>
        <w:spacing w:after="0" w:line="240" w:lineRule="auto"/>
        <w:jc w:val="both"/>
        <w:rPr>
          <w:rFonts w:ascii="Arial" w:eastAsia="Arial" w:hAnsi="Arial" w:cs="Arial"/>
          <w:color w:val="auto"/>
          <w:sz w:val="20"/>
          <w:szCs w:val="20"/>
          <w:lang w:val="en-GB"/>
        </w:rPr>
      </w:pPr>
      <w:r w:rsidRPr="00306F4D">
        <w:rPr>
          <w:rFonts w:ascii="Arial" w:eastAsia="Arial" w:hAnsi="Arial" w:cs="Arial"/>
          <w:color w:val="auto"/>
          <w:sz w:val="20"/>
          <w:szCs w:val="20"/>
          <w:lang w:val="en-GB"/>
        </w:rPr>
        <w:t xml:space="preserve">The four major </w:t>
      </w:r>
      <w:r w:rsidR="61C6B9CE" w:rsidRPr="00306F4D">
        <w:rPr>
          <w:rFonts w:ascii="Arial" w:eastAsia="Arial" w:hAnsi="Arial" w:cs="Arial"/>
          <w:color w:val="auto"/>
          <w:sz w:val="20"/>
          <w:szCs w:val="20"/>
          <w:lang w:val="en-GB"/>
        </w:rPr>
        <w:t>functions</w:t>
      </w:r>
      <w:r w:rsidRPr="00306F4D">
        <w:rPr>
          <w:rFonts w:ascii="Arial" w:eastAsia="Arial" w:hAnsi="Arial" w:cs="Arial"/>
          <w:color w:val="auto"/>
          <w:sz w:val="20"/>
          <w:szCs w:val="20"/>
          <w:lang w:val="en-GB"/>
        </w:rPr>
        <w:t xml:space="preserve"> are described as following briefly:</w:t>
      </w:r>
    </w:p>
    <w:p w14:paraId="255403AF" w14:textId="77777777" w:rsidR="00AA3060" w:rsidRPr="00306F4D" w:rsidRDefault="00AA3060" w:rsidP="006E637C">
      <w:pPr>
        <w:spacing w:after="0" w:line="240" w:lineRule="auto"/>
        <w:ind w:left="360"/>
        <w:jc w:val="both"/>
        <w:rPr>
          <w:rFonts w:ascii="Arial" w:eastAsia="Arial" w:hAnsi="Arial" w:cs="Arial"/>
          <w:color w:val="auto"/>
          <w:sz w:val="20"/>
          <w:szCs w:val="20"/>
          <w:lang w:val="en-GB"/>
        </w:rPr>
      </w:pPr>
    </w:p>
    <w:p w14:paraId="231E1390" w14:textId="2D0166FC" w:rsidR="00AA3060" w:rsidRPr="00306F4D" w:rsidRDefault="00294686" w:rsidP="00093F5F">
      <w:pPr>
        <w:pStyle w:val="ListParagraph"/>
        <w:numPr>
          <w:ilvl w:val="0"/>
          <w:numId w:val="67"/>
        </w:numPr>
        <w:spacing w:after="0" w:line="240" w:lineRule="auto"/>
        <w:jc w:val="both"/>
        <w:rPr>
          <w:rFonts w:ascii="Arial" w:eastAsia="Arial" w:hAnsi="Arial" w:cs="Arial"/>
          <w:color w:val="auto"/>
          <w:sz w:val="20"/>
          <w:szCs w:val="20"/>
          <w:lang w:val="en-GB"/>
        </w:rPr>
      </w:pPr>
      <w:r w:rsidRPr="00306F4D">
        <w:rPr>
          <w:rFonts w:ascii="Arial" w:eastAsia="Arial" w:hAnsi="Arial" w:cs="Arial"/>
          <w:b/>
          <w:color w:val="auto"/>
          <w:sz w:val="20"/>
          <w:szCs w:val="20"/>
          <w:lang w:val="en-GB"/>
        </w:rPr>
        <w:t>Sourcing, screening and Selection of grants</w:t>
      </w:r>
      <w:r w:rsidRPr="00306F4D">
        <w:rPr>
          <w:rFonts w:ascii="Arial" w:eastAsia="Arial" w:hAnsi="Arial" w:cs="Arial"/>
          <w:color w:val="auto"/>
          <w:sz w:val="20"/>
          <w:szCs w:val="20"/>
          <w:lang w:val="en-GB"/>
        </w:rPr>
        <w:t xml:space="preserve">. </w:t>
      </w:r>
      <w:r w:rsidR="00AA3060" w:rsidRPr="00306F4D">
        <w:rPr>
          <w:rFonts w:ascii="Arial" w:eastAsia="Arial" w:hAnsi="Arial" w:cs="Arial"/>
          <w:color w:val="auto"/>
          <w:sz w:val="20"/>
          <w:szCs w:val="20"/>
          <w:lang w:val="en-GB"/>
        </w:rPr>
        <w:t>The small grant size will be grouped into t</w:t>
      </w:r>
      <w:r w:rsidR="0007268E" w:rsidRPr="00306F4D">
        <w:rPr>
          <w:rFonts w:ascii="Arial" w:eastAsia="Arial" w:hAnsi="Arial" w:cs="Arial"/>
          <w:color w:val="auto"/>
          <w:sz w:val="20"/>
          <w:szCs w:val="20"/>
          <w:lang w:val="en-GB"/>
        </w:rPr>
        <w:t>wo</w:t>
      </w:r>
      <w:r w:rsidR="00AA3060" w:rsidRPr="00306F4D">
        <w:rPr>
          <w:rFonts w:ascii="Arial" w:eastAsia="Arial" w:hAnsi="Arial" w:cs="Arial"/>
          <w:color w:val="auto"/>
          <w:sz w:val="20"/>
          <w:szCs w:val="20"/>
          <w:lang w:val="en-GB"/>
        </w:rPr>
        <w:t xml:space="preserve"> </w:t>
      </w:r>
      <w:r w:rsidR="00140D65" w:rsidRPr="00306F4D">
        <w:rPr>
          <w:rFonts w:ascii="Arial" w:eastAsia="Arial" w:hAnsi="Arial" w:cs="Arial"/>
          <w:color w:val="auto"/>
          <w:sz w:val="20"/>
          <w:szCs w:val="20"/>
          <w:lang w:val="en-GB"/>
        </w:rPr>
        <w:t>lots</w:t>
      </w:r>
      <w:r w:rsidR="00AA3060" w:rsidRPr="00306F4D">
        <w:rPr>
          <w:rFonts w:ascii="Arial" w:eastAsia="Arial" w:hAnsi="Arial" w:cs="Arial"/>
          <w:color w:val="auto"/>
          <w:sz w:val="20"/>
          <w:szCs w:val="20"/>
          <w:lang w:val="en-GB"/>
        </w:rPr>
        <w:t xml:space="preserve">: (i) </w:t>
      </w:r>
      <w:r w:rsidR="005B2335" w:rsidRPr="00306F4D">
        <w:rPr>
          <w:rFonts w:ascii="Arial" w:eastAsia="Arial" w:hAnsi="Arial" w:cs="Arial"/>
          <w:color w:val="auto"/>
          <w:sz w:val="20"/>
          <w:szCs w:val="20"/>
          <w:lang w:val="en-GB"/>
        </w:rPr>
        <w:t xml:space="preserve">Between </w:t>
      </w:r>
      <w:r w:rsidR="00AB00D7" w:rsidRPr="00306F4D">
        <w:rPr>
          <w:rFonts w:ascii="Arial" w:eastAsia="Arial" w:hAnsi="Arial" w:cs="Arial"/>
          <w:color w:val="auto"/>
          <w:sz w:val="20"/>
          <w:szCs w:val="20"/>
          <w:lang w:val="en-GB"/>
        </w:rPr>
        <w:t xml:space="preserve">USD </w:t>
      </w:r>
      <w:r w:rsidR="00810ED5" w:rsidRPr="00306F4D">
        <w:rPr>
          <w:rFonts w:ascii="Arial" w:eastAsia="Arial" w:hAnsi="Arial" w:cs="Arial"/>
          <w:color w:val="auto"/>
          <w:sz w:val="20"/>
          <w:szCs w:val="20"/>
          <w:lang w:val="en-GB"/>
        </w:rPr>
        <w:t>15</w:t>
      </w:r>
      <w:r w:rsidR="00AB00D7" w:rsidRPr="00306F4D">
        <w:rPr>
          <w:rFonts w:ascii="Arial" w:eastAsia="Arial" w:hAnsi="Arial" w:cs="Arial"/>
          <w:color w:val="auto"/>
          <w:sz w:val="20"/>
          <w:szCs w:val="20"/>
          <w:lang w:val="en-GB"/>
        </w:rPr>
        <w:t xml:space="preserve">,000 USD to USD </w:t>
      </w:r>
      <w:r w:rsidR="00810ED5" w:rsidRPr="00306F4D">
        <w:rPr>
          <w:rFonts w:ascii="Arial" w:eastAsia="Arial" w:hAnsi="Arial" w:cs="Arial"/>
          <w:color w:val="auto"/>
          <w:sz w:val="20"/>
          <w:szCs w:val="20"/>
          <w:lang w:val="en-GB"/>
        </w:rPr>
        <w:t>40</w:t>
      </w:r>
      <w:r w:rsidR="00AB00D7" w:rsidRPr="00306F4D">
        <w:rPr>
          <w:rFonts w:ascii="Arial" w:eastAsia="Arial" w:hAnsi="Arial" w:cs="Arial"/>
          <w:color w:val="auto"/>
          <w:sz w:val="20"/>
          <w:szCs w:val="20"/>
          <w:lang w:val="en-GB"/>
        </w:rPr>
        <w:t>,000 USD</w:t>
      </w:r>
      <w:r w:rsidR="0007268E" w:rsidRPr="00306F4D">
        <w:rPr>
          <w:rFonts w:ascii="Arial" w:eastAsia="Arial" w:hAnsi="Arial" w:cs="Arial"/>
          <w:color w:val="auto"/>
          <w:sz w:val="20"/>
          <w:szCs w:val="20"/>
          <w:lang w:val="en-GB"/>
        </w:rPr>
        <w:t xml:space="preserve"> (for testing, new solutions)</w:t>
      </w:r>
      <w:r w:rsidR="00AA3060" w:rsidRPr="00306F4D">
        <w:rPr>
          <w:rFonts w:ascii="Arial" w:eastAsia="Arial" w:hAnsi="Arial" w:cs="Arial"/>
          <w:color w:val="auto"/>
          <w:sz w:val="20"/>
          <w:szCs w:val="20"/>
          <w:lang w:val="en-GB"/>
        </w:rPr>
        <w:t xml:space="preserve">; (ii) between USD </w:t>
      </w:r>
      <w:r w:rsidR="00C90D0C" w:rsidRPr="00306F4D">
        <w:rPr>
          <w:rFonts w:ascii="Arial" w:eastAsia="Arial" w:hAnsi="Arial" w:cs="Arial"/>
          <w:color w:val="auto"/>
          <w:sz w:val="20"/>
          <w:szCs w:val="20"/>
          <w:lang w:val="en-GB"/>
        </w:rPr>
        <w:t>40</w:t>
      </w:r>
      <w:r w:rsidR="00AA3060" w:rsidRPr="00306F4D">
        <w:rPr>
          <w:rFonts w:ascii="Arial" w:eastAsia="Arial" w:hAnsi="Arial" w:cs="Arial"/>
          <w:color w:val="auto"/>
          <w:sz w:val="20"/>
          <w:szCs w:val="20"/>
          <w:lang w:val="en-GB"/>
        </w:rPr>
        <w:t>,000 to USD 1</w:t>
      </w:r>
      <w:r w:rsidR="0007268E" w:rsidRPr="00306F4D">
        <w:rPr>
          <w:rFonts w:ascii="Arial" w:eastAsia="Arial" w:hAnsi="Arial" w:cs="Arial"/>
          <w:color w:val="auto"/>
          <w:sz w:val="20"/>
          <w:szCs w:val="20"/>
          <w:lang w:val="en-GB"/>
        </w:rPr>
        <w:t>50</w:t>
      </w:r>
      <w:r w:rsidR="00AA3060" w:rsidRPr="00306F4D">
        <w:rPr>
          <w:rFonts w:ascii="Arial" w:eastAsia="Arial" w:hAnsi="Arial" w:cs="Arial"/>
          <w:color w:val="auto"/>
          <w:sz w:val="20"/>
          <w:szCs w:val="20"/>
          <w:lang w:val="en-GB"/>
        </w:rPr>
        <w:t>,000</w:t>
      </w:r>
      <w:r w:rsidR="0007268E" w:rsidRPr="00306F4D">
        <w:rPr>
          <w:rFonts w:ascii="Arial" w:eastAsia="Arial" w:hAnsi="Arial" w:cs="Arial"/>
          <w:color w:val="auto"/>
          <w:sz w:val="20"/>
          <w:szCs w:val="20"/>
          <w:lang w:val="en-GB"/>
        </w:rPr>
        <w:t xml:space="preserve"> (for scaling or replicating solutions)</w:t>
      </w:r>
      <w:r w:rsidR="00AA3060" w:rsidRPr="00306F4D">
        <w:rPr>
          <w:rFonts w:ascii="Arial" w:eastAsia="Arial" w:hAnsi="Arial" w:cs="Arial"/>
          <w:color w:val="auto"/>
          <w:sz w:val="20"/>
          <w:szCs w:val="20"/>
          <w:lang w:val="en-GB"/>
        </w:rPr>
        <w:t xml:space="preserve">. </w:t>
      </w:r>
      <w:r w:rsidR="004F36BC" w:rsidRPr="00306F4D">
        <w:rPr>
          <w:rFonts w:ascii="Arial" w:eastAsia="Arial" w:hAnsi="Arial" w:cs="Arial"/>
          <w:color w:val="auto"/>
          <w:sz w:val="20"/>
          <w:szCs w:val="20"/>
          <w:lang w:val="en-GB"/>
        </w:rPr>
        <w:t>One regional</w:t>
      </w:r>
      <w:r w:rsidR="00402DDD" w:rsidRPr="00306F4D">
        <w:rPr>
          <w:rFonts w:ascii="Arial" w:eastAsia="Arial" w:hAnsi="Arial" w:cs="Arial"/>
          <w:color w:val="auto"/>
          <w:sz w:val="20"/>
          <w:szCs w:val="20"/>
          <w:lang w:val="en-GB"/>
        </w:rPr>
        <w:t xml:space="preserve"> call for proposal</w:t>
      </w:r>
      <w:r w:rsidR="00443AB6" w:rsidRPr="00306F4D">
        <w:rPr>
          <w:rFonts w:ascii="Arial" w:eastAsia="Arial" w:hAnsi="Arial" w:cs="Arial"/>
          <w:color w:val="auto"/>
          <w:sz w:val="20"/>
          <w:szCs w:val="20"/>
          <w:lang w:val="en-GB"/>
        </w:rPr>
        <w:t xml:space="preserve"> will be launched during the project cycle</w:t>
      </w:r>
      <w:r w:rsidR="00AA3060" w:rsidRPr="00306F4D">
        <w:rPr>
          <w:rFonts w:ascii="Arial" w:eastAsia="Arial" w:hAnsi="Arial" w:cs="Arial"/>
          <w:color w:val="auto"/>
          <w:sz w:val="20"/>
          <w:szCs w:val="20"/>
          <w:lang w:val="en-GB"/>
        </w:rPr>
        <w:t xml:space="preserve">. Small grants proposals will be reviewed and screened according to the screening criteria that will comply with </w:t>
      </w:r>
      <w:r w:rsidR="00F523B6" w:rsidRPr="00306F4D">
        <w:rPr>
          <w:rFonts w:ascii="Arial" w:eastAsia="Arial" w:hAnsi="Arial" w:cs="Arial"/>
          <w:color w:val="auto"/>
          <w:sz w:val="20"/>
          <w:szCs w:val="20"/>
          <w:lang w:val="en-GB"/>
        </w:rPr>
        <w:t>the Adaptation Fund´s and</w:t>
      </w:r>
      <w:r w:rsidR="006A4961" w:rsidRPr="00306F4D">
        <w:rPr>
          <w:rFonts w:ascii="Arial" w:eastAsia="Arial" w:hAnsi="Arial" w:cs="Arial"/>
          <w:color w:val="auto"/>
          <w:sz w:val="20"/>
          <w:szCs w:val="20"/>
          <w:lang w:val="en-GB"/>
        </w:rPr>
        <w:t xml:space="preserve"> UNDP´s</w:t>
      </w:r>
      <w:r w:rsidR="00E06BF2" w:rsidRPr="00306F4D">
        <w:rPr>
          <w:rFonts w:ascii="Arial" w:eastAsia="Arial" w:hAnsi="Arial" w:cs="Arial"/>
          <w:color w:val="auto"/>
          <w:sz w:val="20"/>
          <w:szCs w:val="20"/>
          <w:lang w:val="en-GB"/>
        </w:rPr>
        <w:t xml:space="preserve"> guidelines.</w:t>
      </w:r>
      <w:r w:rsidR="7DA0F148" w:rsidRPr="00306F4D">
        <w:rPr>
          <w:rFonts w:ascii="Arial" w:eastAsia="Arial" w:hAnsi="Arial" w:cs="Arial"/>
          <w:color w:val="auto"/>
          <w:sz w:val="20"/>
          <w:szCs w:val="20"/>
          <w:lang w:val="en-GB"/>
        </w:rPr>
        <w:t xml:space="preserve"> Each grantee will have from 18 to maximum 30 months to complete the grant project.</w:t>
      </w:r>
    </w:p>
    <w:p w14:paraId="53E13DA0" w14:textId="77777777" w:rsidR="00AA3060" w:rsidRPr="00306F4D" w:rsidRDefault="00AA3060" w:rsidP="006E637C">
      <w:pPr>
        <w:pStyle w:val="ListParagraph"/>
        <w:spacing w:after="0" w:line="240" w:lineRule="auto"/>
        <w:jc w:val="both"/>
        <w:rPr>
          <w:rFonts w:ascii="Arial" w:eastAsia="Arial" w:hAnsi="Arial" w:cs="Arial"/>
          <w:color w:val="auto"/>
          <w:sz w:val="20"/>
          <w:szCs w:val="20"/>
          <w:lang w:val="en-GB"/>
        </w:rPr>
      </w:pPr>
    </w:p>
    <w:p w14:paraId="0305F374" w14:textId="5FF87A0F" w:rsidR="00AA3060" w:rsidRPr="00306F4D" w:rsidRDefault="005912B7" w:rsidP="00093F5F">
      <w:pPr>
        <w:pStyle w:val="ListParagraph"/>
        <w:numPr>
          <w:ilvl w:val="0"/>
          <w:numId w:val="67"/>
        </w:numPr>
        <w:spacing w:after="0" w:line="240" w:lineRule="auto"/>
        <w:jc w:val="both"/>
        <w:rPr>
          <w:rFonts w:ascii="Arial" w:eastAsia="Arial" w:hAnsi="Arial" w:cs="Arial"/>
          <w:color w:val="auto"/>
          <w:sz w:val="20"/>
          <w:szCs w:val="20"/>
          <w:lang w:val="en-GB"/>
        </w:rPr>
      </w:pPr>
      <w:r w:rsidRPr="00306F4D">
        <w:rPr>
          <w:rFonts w:ascii="Arial" w:eastAsia="Arial" w:hAnsi="Arial" w:cs="Arial"/>
          <w:b/>
          <w:color w:val="auto"/>
          <w:sz w:val="20"/>
          <w:szCs w:val="20"/>
          <w:lang w:val="en-GB"/>
        </w:rPr>
        <w:t>Aggregated Technical Support Facility</w:t>
      </w:r>
      <w:r w:rsidR="00E06BF2" w:rsidRPr="00306F4D">
        <w:rPr>
          <w:rFonts w:ascii="Arial" w:eastAsia="Arial" w:hAnsi="Arial" w:cs="Arial"/>
          <w:color w:val="auto"/>
          <w:sz w:val="20"/>
          <w:szCs w:val="20"/>
          <w:lang w:val="en-GB"/>
        </w:rPr>
        <w:t xml:space="preserve">. The project </w:t>
      </w:r>
      <w:r w:rsidR="00AA3060" w:rsidRPr="00306F4D">
        <w:rPr>
          <w:rFonts w:ascii="Arial" w:eastAsia="Arial" w:hAnsi="Arial" w:cs="Arial"/>
          <w:color w:val="auto"/>
          <w:sz w:val="20"/>
          <w:szCs w:val="20"/>
          <w:lang w:val="en-GB"/>
        </w:rPr>
        <w:t>will leverage both in-house expertise as well as external expertise (on competitive basis) to efficiently deliver Technical and Business Development Capacity Building, Incubation, and Acceleration Support.</w:t>
      </w:r>
    </w:p>
    <w:p w14:paraId="7BA4FDB1" w14:textId="77777777" w:rsidR="00AA3060" w:rsidRPr="00306F4D" w:rsidRDefault="00AA3060" w:rsidP="006E637C">
      <w:pPr>
        <w:spacing w:after="0" w:line="240" w:lineRule="auto"/>
        <w:jc w:val="both"/>
        <w:rPr>
          <w:rFonts w:ascii="Arial" w:eastAsia="Arial" w:hAnsi="Arial" w:cs="Arial"/>
          <w:color w:val="auto"/>
          <w:sz w:val="20"/>
          <w:szCs w:val="20"/>
          <w:lang w:val="en-GB"/>
        </w:rPr>
      </w:pPr>
    </w:p>
    <w:p w14:paraId="03A571AE" w14:textId="49250882" w:rsidR="00AA3060" w:rsidRPr="00306F4D" w:rsidRDefault="00AA3060" w:rsidP="00093F5F">
      <w:pPr>
        <w:pStyle w:val="ListParagraph"/>
        <w:numPr>
          <w:ilvl w:val="0"/>
          <w:numId w:val="67"/>
        </w:numPr>
        <w:spacing w:after="0" w:line="240" w:lineRule="auto"/>
        <w:jc w:val="both"/>
        <w:rPr>
          <w:rFonts w:ascii="Arial" w:eastAsia="Arial" w:hAnsi="Arial" w:cs="Arial"/>
          <w:color w:val="auto"/>
          <w:sz w:val="20"/>
          <w:szCs w:val="20"/>
          <w:lang w:val="en-GB"/>
        </w:rPr>
      </w:pPr>
      <w:r w:rsidRPr="00306F4D">
        <w:rPr>
          <w:rFonts w:ascii="Arial" w:eastAsia="Arial" w:hAnsi="Arial" w:cs="Arial"/>
          <w:b/>
          <w:color w:val="auto"/>
          <w:sz w:val="20"/>
          <w:szCs w:val="20"/>
          <w:lang w:val="en-GB"/>
        </w:rPr>
        <w:t>Knowledge Management and sharing and Result-Based Monitoring and Evaluation</w:t>
      </w:r>
      <w:r w:rsidR="005912B7" w:rsidRPr="00306F4D">
        <w:rPr>
          <w:rFonts w:ascii="Arial" w:eastAsia="Arial" w:hAnsi="Arial" w:cs="Arial"/>
          <w:color w:val="auto"/>
          <w:sz w:val="20"/>
          <w:szCs w:val="20"/>
          <w:lang w:val="en-GB"/>
        </w:rPr>
        <w:t>. The Regional Project</w:t>
      </w:r>
      <w:r w:rsidRPr="00306F4D">
        <w:rPr>
          <w:rFonts w:ascii="Arial" w:eastAsia="Arial" w:hAnsi="Arial" w:cs="Arial"/>
          <w:color w:val="auto"/>
          <w:sz w:val="20"/>
          <w:szCs w:val="20"/>
          <w:lang w:val="en-GB"/>
        </w:rPr>
        <w:t xml:space="preserve"> will coordinate with </w:t>
      </w:r>
      <w:r w:rsidR="00EF3B6A" w:rsidRPr="00306F4D">
        <w:rPr>
          <w:rFonts w:ascii="Arial" w:eastAsia="Arial" w:hAnsi="Arial" w:cs="Arial"/>
          <w:color w:val="auto"/>
          <w:sz w:val="20"/>
          <w:szCs w:val="20"/>
          <w:lang w:val="en-GB"/>
        </w:rPr>
        <w:t>local, regional, global</w:t>
      </w:r>
      <w:r w:rsidR="00070EA4" w:rsidRPr="00306F4D">
        <w:rPr>
          <w:rFonts w:ascii="Arial" w:eastAsia="Arial" w:hAnsi="Arial" w:cs="Arial"/>
          <w:color w:val="auto"/>
          <w:sz w:val="20"/>
          <w:szCs w:val="20"/>
          <w:lang w:val="en-GB"/>
        </w:rPr>
        <w:t xml:space="preserve"> </w:t>
      </w:r>
      <w:r w:rsidR="00EC0BD5" w:rsidRPr="00306F4D">
        <w:rPr>
          <w:rFonts w:ascii="Arial" w:eastAsia="Arial" w:hAnsi="Arial" w:cs="Arial"/>
          <w:color w:val="auto"/>
          <w:sz w:val="20"/>
          <w:szCs w:val="20"/>
          <w:lang w:val="en-GB"/>
        </w:rPr>
        <w:t>relevant stakeholders</w:t>
      </w:r>
      <w:r w:rsidR="0085799A" w:rsidRPr="00306F4D">
        <w:rPr>
          <w:rFonts w:ascii="Arial" w:eastAsia="Arial" w:hAnsi="Arial" w:cs="Arial"/>
          <w:color w:val="auto"/>
          <w:sz w:val="20"/>
          <w:szCs w:val="20"/>
          <w:lang w:val="en-GB"/>
        </w:rPr>
        <w:t xml:space="preserve"> t</w:t>
      </w:r>
      <w:r w:rsidRPr="00306F4D">
        <w:rPr>
          <w:rFonts w:ascii="Arial" w:eastAsia="Arial" w:hAnsi="Arial" w:cs="Arial"/>
          <w:color w:val="auto"/>
          <w:sz w:val="20"/>
          <w:szCs w:val="20"/>
          <w:lang w:val="en-GB"/>
        </w:rPr>
        <w:t>o share knowledge and lessons learned to further enhance the effectiveness and sustainability of the programme.</w:t>
      </w:r>
    </w:p>
    <w:p w14:paraId="7D06D5C8" w14:textId="77777777" w:rsidR="00AA3060" w:rsidRPr="00306F4D" w:rsidRDefault="00AA3060" w:rsidP="006E637C">
      <w:pPr>
        <w:pStyle w:val="ListParagraph"/>
        <w:spacing w:after="0" w:line="240" w:lineRule="auto"/>
        <w:jc w:val="both"/>
        <w:rPr>
          <w:rFonts w:ascii="Arial" w:eastAsia="Arial" w:hAnsi="Arial" w:cs="Arial"/>
          <w:color w:val="auto"/>
          <w:sz w:val="20"/>
          <w:szCs w:val="20"/>
          <w:lang w:val="en-GB"/>
        </w:rPr>
      </w:pPr>
    </w:p>
    <w:p w14:paraId="0A4454FE" w14:textId="6959742E" w:rsidR="00AA3060" w:rsidRPr="00306F4D" w:rsidRDefault="7B48ABF2" w:rsidP="00093F5F">
      <w:pPr>
        <w:pStyle w:val="ListParagraph"/>
        <w:numPr>
          <w:ilvl w:val="0"/>
          <w:numId w:val="67"/>
        </w:numPr>
        <w:spacing w:after="0" w:line="240" w:lineRule="auto"/>
        <w:jc w:val="both"/>
        <w:rPr>
          <w:rFonts w:ascii="Arial" w:eastAsia="Arial" w:hAnsi="Arial" w:cs="Arial"/>
          <w:color w:val="auto"/>
          <w:sz w:val="20"/>
          <w:szCs w:val="20"/>
          <w:lang w:val="en-GB"/>
        </w:rPr>
      </w:pPr>
      <w:r w:rsidRPr="00306F4D">
        <w:rPr>
          <w:rFonts w:ascii="Arial" w:eastAsia="Arial" w:hAnsi="Arial" w:cs="Arial"/>
          <w:b/>
          <w:color w:val="auto"/>
          <w:sz w:val="20"/>
          <w:szCs w:val="20"/>
          <w:lang w:val="en-GB"/>
        </w:rPr>
        <w:t>Programme Execution and Management</w:t>
      </w:r>
      <w:r w:rsidR="1C189582" w:rsidRPr="00306F4D">
        <w:rPr>
          <w:rFonts w:ascii="Arial" w:eastAsia="Arial" w:hAnsi="Arial" w:cs="Arial"/>
          <w:color w:val="auto"/>
          <w:sz w:val="20"/>
          <w:szCs w:val="20"/>
          <w:lang w:val="en-GB"/>
        </w:rPr>
        <w:t xml:space="preserve">. </w:t>
      </w:r>
      <w:r w:rsidRPr="00306F4D">
        <w:rPr>
          <w:rFonts w:ascii="Arial" w:eastAsia="Arial" w:hAnsi="Arial" w:cs="Arial"/>
          <w:color w:val="auto"/>
          <w:sz w:val="20"/>
          <w:szCs w:val="20"/>
          <w:lang w:val="en-GB"/>
        </w:rPr>
        <w:t>This will include grant administration and</w:t>
      </w:r>
      <w:r w:rsidR="496CE2F5" w:rsidRPr="00306F4D">
        <w:rPr>
          <w:rFonts w:ascii="Arial" w:eastAsia="Arial" w:hAnsi="Arial" w:cs="Arial"/>
          <w:color w:val="auto"/>
          <w:sz w:val="20"/>
          <w:szCs w:val="20"/>
          <w:lang w:val="en-GB"/>
        </w:rPr>
        <w:t xml:space="preserve"> </w:t>
      </w:r>
      <w:r w:rsidRPr="00306F4D">
        <w:rPr>
          <w:rFonts w:ascii="Arial" w:eastAsia="Arial" w:hAnsi="Arial" w:cs="Arial"/>
          <w:color w:val="auto"/>
          <w:sz w:val="20"/>
          <w:szCs w:val="20"/>
          <w:lang w:val="en-GB"/>
        </w:rPr>
        <w:t>management</w:t>
      </w:r>
      <w:r w:rsidR="00DB1B9E" w:rsidRPr="00306F4D">
        <w:rPr>
          <w:rFonts w:ascii="Arial" w:eastAsia="Arial" w:hAnsi="Arial" w:cs="Arial"/>
          <w:color w:val="auto"/>
          <w:sz w:val="20"/>
          <w:szCs w:val="20"/>
          <w:lang w:val="en-GB"/>
        </w:rPr>
        <w:t>.</w:t>
      </w:r>
    </w:p>
    <w:p w14:paraId="19DB8AA4" w14:textId="4C35ED3D" w:rsidR="00AA3060" w:rsidRPr="00306F4D" w:rsidRDefault="41A55BA8" w:rsidP="49C6F20D">
      <w:pPr>
        <w:spacing w:before="240" w:after="240" w:line="276" w:lineRule="auto"/>
        <w:jc w:val="both"/>
        <w:rPr>
          <w:rFonts w:ascii="Arial" w:eastAsia="Arial" w:hAnsi="Arial" w:cs="Arial"/>
          <w:color w:val="000000" w:themeColor="text1"/>
          <w:sz w:val="20"/>
          <w:szCs w:val="20"/>
          <w:lang w:val="en-GB"/>
        </w:rPr>
      </w:pPr>
      <w:r w:rsidRPr="00306F4D">
        <w:rPr>
          <w:rFonts w:ascii="Arial" w:eastAsia="Arial" w:hAnsi="Arial" w:cs="Arial"/>
          <w:color w:val="000000" w:themeColor="text1"/>
          <w:sz w:val="20"/>
          <w:szCs w:val="20"/>
        </w:rPr>
        <w:t xml:space="preserve">The Regional Project is designed to develop and diffuse innovative adaptation practices, tools, and technologies that will result in improved climate resilience of the target grantee-project beneficiaries over a baseline or business as usual scenario. </w:t>
      </w:r>
      <w:r w:rsidR="41C150F6" w:rsidRPr="00306F4D">
        <w:rPr>
          <w:rFonts w:ascii="Arial" w:eastAsia="Arial" w:hAnsi="Arial" w:cs="Arial"/>
          <w:color w:val="auto"/>
          <w:sz w:val="20"/>
          <w:szCs w:val="20"/>
        </w:rPr>
        <w:t xml:space="preserve">UNDP’s presence in over 170 countries is a unique and underutilized asset in </w:t>
      </w:r>
      <w:r w:rsidR="37476290" w:rsidRPr="00306F4D">
        <w:rPr>
          <w:rFonts w:ascii="Arial" w:eastAsia="Arial" w:hAnsi="Arial" w:cs="Arial"/>
          <w:color w:val="auto"/>
          <w:sz w:val="20"/>
          <w:szCs w:val="20"/>
        </w:rPr>
        <w:t xml:space="preserve">acceleration of </w:t>
      </w:r>
      <w:r w:rsidR="7C6D48DB" w:rsidRPr="00306F4D">
        <w:rPr>
          <w:rFonts w:ascii="Arial" w:eastAsia="Arial" w:hAnsi="Arial" w:cs="Arial"/>
          <w:color w:val="auto"/>
          <w:sz w:val="20"/>
          <w:szCs w:val="20"/>
        </w:rPr>
        <w:t>ideas</w:t>
      </w:r>
      <w:r w:rsidR="41C150F6" w:rsidRPr="00306F4D">
        <w:rPr>
          <w:rFonts w:ascii="Arial" w:eastAsia="Arial" w:hAnsi="Arial" w:cs="Arial"/>
          <w:color w:val="auto"/>
          <w:sz w:val="20"/>
          <w:szCs w:val="20"/>
        </w:rPr>
        <w:t xml:space="preserve"> space</w:t>
      </w:r>
      <w:r w:rsidR="27FC563C" w:rsidRPr="00306F4D">
        <w:rPr>
          <w:rFonts w:ascii="Arial" w:eastAsia="Arial" w:hAnsi="Arial" w:cs="Arial"/>
          <w:color w:val="auto"/>
          <w:sz w:val="20"/>
          <w:szCs w:val="20"/>
        </w:rPr>
        <w:t>. I</w:t>
      </w:r>
      <w:r w:rsidR="0654A90B" w:rsidRPr="00306F4D">
        <w:rPr>
          <w:rFonts w:ascii="Arial" w:eastAsia="Arial" w:hAnsi="Arial" w:cs="Arial"/>
          <w:color w:val="auto"/>
          <w:sz w:val="20"/>
          <w:szCs w:val="20"/>
        </w:rPr>
        <w:t>t</w:t>
      </w:r>
      <w:r w:rsidR="41C150F6" w:rsidRPr="00306F4D">
        <w:rPr>
          <w:rFonts w:ascii="Arial" w:eastAsia="Arial" w:hAnsi="Arial" w:cs="Arial"/>
          <w:color w:val="auto"/>
          <w:sz w:val="20"/>
          <w:szCs w:val="20"/>
        </w:rPr>
        <w:t xml:space="preserve"> can act as a powerful vehicle for scaling proven adaptation innovations across borders, accelerating learning loops and market entry.</w:t>
      </w:r>
      <w:r w:rsidR="0723F00A" w:rsidRPr="00306F4D">
        <w:rPr>
          <w:rFonts w:ascii="Arial" w:eastAsia="Arial" w:hAnsi="Arial" w:cs="Arial"/>
          <w:color w:val="000000" w:themeColor="text1"/>
          <w:sz w:val="20"/>
          <w:szCs w:val="20"/>
        </w:rPr>
        <w:t xml:space="preserve"> </w:t>
      </w:r>
      <w:r w:rsidR="28EDDA0C" w:rsidRPr="00306F4D">
        <w:rPr>
          <w:rFonts w:ascii="Arial" w:eastAsia="Arial" w:hAnsi="Arial" w:cs="Arial"/>
          <w:color w:val="000000" w:themeColor="text1"/>
          <w:sz w:val="20"/>
          <w:szCs w:val="20"/>
        </w:rPr>
        <w:t xml:space="preserve">Furthermore, </w:t>
      </w:r>
      <w:r w:rsidR="1F7F707F" w:rsidRPr="00306F4D">
        <w:rPr>
          <w:rFonts w:ascii="Arial" w:eastAsia="Arial" w:hAnsi="Arial" w:cs="Arial"/>
          <w:color w:val="000000" w:themeColor="text1"/>
          <w:sz w:val="20"/>
          <w:szCs w:val="20"/>
        </w:rPr>
        <w:t>t</w:t>
      </w:r>
      <w:r w:rsidRPr="00306F4D">
        <w:rPr>
          <w:rFonts w:ascii="Arial" w:eastAsia="Arial" w:hAnsi="Arial" w:cs="Arial"/>
          <w:color w:val="000000" w:themeColor="text1"/>
          <w:sz w:val="20"/>
          <w:szCs w:val="20"/>
        </w:rPr>
        <w:t>echnical assistance from the network of UNDP</w:t>
      </w:r>
      <w:r w:rsidR="77886B52" w:rsidRPr="00306F4D">
        <w:rPr>
          <w:rFonts w:ascii="Arial" w:eastAsia="Arial" w:hAnsi="Arial" w:cs="Arial"/>
          <w:color w:val="000000" w:themeColor="text1"/>
          <w:sz w:val="20"/>
          <w:szCs w:val="20"/>
        </w:rPr>
        <w:t xml:space="preserve"> </w:t>
      </w:r>
      <w:r w:rsidRPr="00306F4D">
        <w:rPr>
          <w:rFonts w:ascii="Arial" w:eastAsia="Arial" w:hAnsi="Arial" w:cs="Arial"/>
          <w:color w:val="000000" w:themeColor="text1"/>
          <w:sz w:val="20"/>
          <w:szCs w:val="20"/>
        </w:rPr>
        <w:t xml:space="preserve">and partners will be provided to grantees to enhance the results. The Regional Project will also provide grantees a pathway to </w:t>
      </w:r>
      <w:r w:rsidR="40D6ABF4" w:rsidRPr="00306F4D">
        <w:rPr>
          <w:rFonts w:ascii="Arial" w:eastAsia="Arial" w:hAnsi="Arial" w:cs="Arial"/>
          <w:color w:val="000000" w:themeColor="text1"/>
          <w:sz w:val="20"/>
          <w:szCs w:val="20"/>
        </w:rPr>
        <w:t xml:space="preserve">explore to </w:t>
      </w:r>
      <w:r w:rsidRPr="00306F4D">
        <w:rPr>
          <w:rFonts w:ascii="Arial" w:eastAsia="Arial" w:hAnsi="Arial" w:cs="Arial"/>
          <w:color w:val="000000" w:themeColor="text1"/>
          <w:sz w:val="20"/>
          <w:szCs w:val="20"/>
        </w:rPr>
        <w:t>scale</w:t>
      </w:r>
      <w:r w:rsidR="13DADF75" w:rsidRPr="00306F4D">
        <w:rPr>
          <w:rFonts w:ascii="Arial" w:eastAsia="Arial" w:hAnsi="Arial" w:cs="Arial"/>
          <w:color w:val="000000" w:themeColor="text1"/>
          <w:sz w:val="20"/>
          <w:szCs w:val="20"/>
        </w:rPr>
        <w:t xml:space="preserve"> their solutions</w:t>
      </w:r>
      <w:r w:rsidRPr="00306F4D">
        <w:rPr>
          <w:rFonts w:ascii="Arial" w:eastAsia="Arial" w:hAnsi="Arial" w:cs="Arial"/>
          <w:color w:val="000000" w:themeColor="text1"/>
          <w:sz w:val="20"/>
          <w:szCs w:val="20"/>
        </w:rPr>
        <w:t xml:space="preserve">, </w:t>
      </w:r>
      <w:r w:rsidR="324AC669" w:rsidRPr="00306F4D">
        <w:rPr>
          <w:rFonts w:ascii="Arial" w:eastAsia="Arial" w:hAnsi="Arial" w:cs="Arial"/>
          <w:sz w:val="20"/>
          <w:szCs w:val="20"/>
        </w:rPr>
        <w:t>leveraging both public funding opportunities and potential private funding channels, including those potential opportunities brokered by UNDP and its partners.</w:t>
      </w:r>
    </w:p>
    <w:p w14:paraId="331F6375" w14:textId="2BF9A6E8" w:rsidR="00AA3060" w:rsidRPr="00306F4D" w:rsidRDefault="00AA3060" w:rsidP="00AA3060">
      <w:pPr>
        <w:tabs>
          <w:tab w:val="left" w:pos="360"/>
        </w:tabs>
        <w:spacing w:before="120" w:after="240" w:line="276" w:lineRule="auto"/>
        <w:jc w:val="both"/>
        <w:rPr>
          <w:rFonts w:ascii="Arial" w:eastAsia="Arial" w:hAnsi="Arial" w:cs="Arial"/>
          <w:color w:val="000000" w:themeColor="text1"/>
          <w:sz w:val="20"/>
          <w:szCs w:val="20"/>
        </w:rPr>
      </w:pPr>
      <w:r w:rsidRPr="00306F4D">
        <w:rPr>
          <w:rFonts w:ascii="Arial" w:eastAsia="Arial" w:hAnsi="Arial" w:cs="Arial"/>
          <w:color w:val="000000" w:themeColor="text1"/>
          <w:sz w:val="20"/>
          <w:szCs w:val="20"/>
        </w:rPr>
        <w:t>Furthermore, utilizing existing networks, the Regional Project also aims to share lessons learned and best practices through a knowledge-sharing open platform. Sharing best practices can help individuals and organizations from the Western Balkans to better prioritize their options based on need, capacity, and local adaptation context.</w:t>
      </w:r>
    </w:p>
    <w:p w14:paraId="68F105AA" w14:textId="7D7CC400" w:rsidR="00457943" w:rsidRPr="00306F4D" w:rsidRDefault="009A6850" w:rsidP="00457943">
      <w:pPr>
        <w:spacing w:before="240" w:after="240" w:line="276" w:lineRule="auto"/>
        <w:rPr>
          <w:rFonts w:ascii="Arial" w:eastAsia="Arial" w:hAnsi="Arial" w:cs="Arial"/>
          <w:sz w:val="20"/>
          <w:szCs w:val="20"/>
          <w:lang w:val="en-GB"/>
        </w:rPr>
      </w:pPr>
      <w:r w:rsidRPr="00306F4D">
        <w:rPr>
          <w:rFonts w:ascii="Arial" w:eastAsia="Arial" w:hAnsi="Arial" w:cs="Arial"/>
          <w:sz w:val="20"/>
          <w:szCs w:val="20"/>
          <w:lang w:val="en-GB"/>
        </w:rPr>
        <w:t>In addition to this, t</w:t>
      </w:r>
      <w:r w:rsidR="00457943" w:rsidRPr="00306F4D">
        <w:rPr>
          <w:rFonts w:ascii="Arial" w:eastAsia="Arial" w:hAnsi="Arial" w:cs="Arial"/>
          <w:sz w:val="20"/>
          <w:szCs w:val="20"/>
          <w:lang w:val="en-GB"/>
        </w:rPr>
        <w:t xml:space="preserve">his Regional Project offers </w:t>
      </w:r>
      <w:r w:rsidR="00457943" w:rsidRPr="00306F4D">
        <w:rPr>
          <w:rFonts w:ascii="Arial" w:eastAsia="Arial" w:hAnsi="Arial" w:cs="Arial"/>
          <w:b/>
          <w:sz w:val="20"/>
          <w:szCs w:val="20"/>
          <w:lang w:val="en-GB"/>
        </w:rPr>
        <w:t>distinct advantages over standalone national</w:t>
      </w:r>
      <w:r w:rsidR="00457943" w:rsidRPr="00306F4D">
        <w:rPr>
          <w:rFonts w:ascii="Arial" w:eastAsia="Arial" w:hAnsi="Arial" w:cs="Arial"/>
          <w:sz w:val="20"/>
          <w:szCs w:val="20"/>
          <w:lang w:val="en-GB"/>
        </w:rPr>
        <w:t xml:space="preserve"> interventions:</w:t>
      </w:r>
    </w:p>
    <w:p w14:paraId="017334A3" w14:textId="77777777" w:rsidR="00457943" w:rsidRPr="00306F4D" w:rsidRDefault="00457943" w:rsidP="00457943">
      <w:pPr>
        <w:pStyle w:val="ListParagraph"/>
        <w:numPr>
          <w:ilvl w:val="0"/>
          <w:numId w:val="16"/>
        </w:numPr>
        <w:spacing w:before="240" w:after="240" w:line="276" w:lineRule="auto"/>
        <w:rPr>
          <w:rFonts w:ascii="Arial" w:eastAsia="Arial" w:hAnsi="Arial" w:cs="Arial"/>
          <w:sz w:val="20"/>
          <w:szCs w:val="20"/>
          <w:lang w:val="en-GB"/>
        </w:rPr>
      </w:pPr>
      <w:r w:rsidRPr="00306F4D">
        <w:rPr>
          <w:rFonts w:ascii="Arial" w:eastAsia="Arial" w:hAnsi="Arial" w:cs="Arial"/>
          <w:b/>
          <w:sz w:val="20"/>
          <w:szCs w:val="20"/>
          <w:lang w:val="en-GB"/>
        </w:rPr>
        <w:t>Shared learning and replication:</w:t>
      </w:r>
      <w:r w:rsidRPr="00306F4D">
        <w:rPr>
          <w:rFonts w:ascii="Arial" w:eastAsia="Arial" w:hAnsi="Arial" w:cs="Arial"/>
          <w:sz w:val="20"/>
          <w:szCs w:val="20"/>
          <w:lang w:val="en-GB"/>
        </w:rPr>
        <w:t xml:space="preserve"> Peer-to-peer exchange enables solutions to be adapted and scaled across similar contexts, accelerating progress and reducing risk.</w:t>
      </w:r>
    </w:p>
    <w:p w14:paraId="3BB6F794" w14:textId="77777777" w:rsidR="00457943" w:rsidRPr="00306F4D" w:rsidRDefault="00457943" w:rsidP="00457943">
      <w:pPr>
        <w:pStyle w:val="ListParagraph"/>
        <w:numPr>
          <w:ilvl w:val="0"/>
          <w:numId w:val="16"/>
        </w:numPr>
        <w:spacing w:before="240" w:after="240" w:line="276" w:lineRule="auto"/>
        <w:rPr>
          <w:rFonts w:ascii="Arial" w:eastAsia="Arial" w:hAnsi="Arial" w:cs="Arial"/>
          <w:sz w:val="20"/>
          <w:szCs w:val="20"/>
          <w:lang w:val="en-GB"/>
        </w:rPr>
      </w:pPr>
      <w:r w:rsidRPr="00306F4D">
        <w:rPr>
          <w:rFonts w:ascii="Arial" w:eastAsia="Arial" w:hAnsi="Arial" w:cs="Arial"/>
          <w:b/>
          <w:sz w:val="20"/>
          <w:szCs w:val="20"/>
          <w:lang w:val="en-GB"/>
        </w:rPr>
        <w:t>Efficient delivery of technical support:</w:t>
      </w:r>
      <w:r w:rsidRPr="00306F4D">
        <w:rPr>
          <w:rFonts w:ascii="Arial" w:eastAsia="Arial" w:hAnsi="Arial" w:cs="Arial"/>
          <w:sz w:val="20"/>
          <w:szCs w:val="20"/>
          <w:lang w:val="en-GB"/>
        </w:rPr>
        <w:t xml:space="preserve"> A regional pool of expertise ensures consistent, high-quality assistance across countries.</w:t>
      </w:r>
    </w:p>
    <w:p w14:paraId="7544C29A" w14:textId="77777777" w:rsidR="00457943" w:rsidRPr="00306F4D" w:rsidRDefault="00457943" w:rsidP="00457943">
      <w:pPr>
        <w:pStyle w:val="ListParagraph"/>
        <w:numPr>
          <w:ilvl w:val="0"/>
          <w:numId w:val="16"/>
        </w:numPr>
        <w:spacing w:before="240" w:after="240" w:line="276" w:lineRule="auto"/>
        <w:rPr>
          <w:rFonts w:ascii="Arial" w:eastAsia="Arial" w:hAnsi="Arial" w:cs="Arial"/>
          <w:sz w:val="20"/>
          <w:szCs w:val="20"/>
          <w:lang w:val="en-GB"/>
        </w:rPr>
      </w:pPr>
      <w:r w:rsidRPr="00306F4D">
        <w:rPr>
          <w:rFonts w:ascii="Arial" w:eastAsia="Arial" w:hAnsi="Arial" w:cs="Arial"/>
          <w:b/>
          <w:sz w:val="20"/>
          <w:szCs w:val="20"/>
          <w:lang w:val="en-GB"/>
        </w:rPr>
        <w:lastRenderedPageBreak/>
        <w:t>Enhanced policy alignment:</w:t>
      </w:r>
      <w:r w:rsidRPr="00306F4D">
        <w:rPr>
          <w:rFonts w:ascii="Arial" w:eastAsia="Arial" w:hAnsi="Arial" w:cs="Arial"/>
          <w:sz w:val="20"/>
          <w:szCs w:val="20"/>
          <w:lang w:val="en-GB"/>
        </w:rPr>
        <w:t xml:space="preserve"> The platform complements regional frameworks such as the Green Agenda for the Western Balkans and reinforces EU integration processes.</w:t>
      </w:r>
    </w:p>
    <w:p w14:paraId="69EA9171" w14:textId="77777777" w:rsidR="00457943" w:rsidRPr="00306F4D" w:rsidRDefault="00457943" w:rsidP="00457943">
      <w:pPr>
        <w:pStyle w:val="ListParagraph"/>
        <w:numPr>
          <w:ilvl w:val="0"/>
          <w:numId w:val="16"/>
        </w:numPr>
        <w:spacing w:before="240" w:after="240" w:line="276" w:lineRule="auto"/>
        <w:rPr>
          <w:rFonts w:ascii="Arial" w:eastAsia="Arial" w:hAnsi="Arial" w:cs="Arial"/>
          <w:sz w:val="20"/>
          <w:szCs w:val="20"/>
          <w:lang w:val="en-GB"/>
        </w:rPr>
      </w:pPr>
      <w:r w:rsidRPr="00306F4D">
        <w:rPr>
          <w:rFonts w:ascii="Arial" w:eastAsia="Arial" w:hAnsi="Arial" w:cs="Arial"/>
          <w:b/>
          <w:sz w:val="20"/>
          <w:szCs w:val="20"/>
          <w:lang w:val="en-GB"/>
        </w:rPr>
        <w:t>Stronger visibility and leverage:</w:t>
      </w:r>
      <w:r w:rsidRPr="00306F4D">
        <w:rPr>
          <w:rFonts w:ascii="Arial" w:eastAsia="Arial" w:hAnsi="Arial" w:cs="Arial"/>
          <w:sz w:val="20"/>
          <w:szCs w:val="20"/>
          <w:lang w:val="en-GB"/>
        </w:rPr>
        <w:t xml:space="preserve"> Regional coordination amplifies grantee visibility, fosters strategic partnerships, and opens new pathways to finance and scale.</w:t>
      </w:r>
    </w:p>
    <w:p w14:paraId="01AD6662" w14:textId="3DA5441E" w:rsidR="00677710" w:rsidRPr="00306F4D" w:rsidRDefault="0E6EF7AE" w:rsidP="02E2BB75">
      <w:pPr>
        <w:rPr>
          <w:rFonts w:ascii="Arial" w:eastAsia="Arial" w:hAnsi="Arial" w:cs="Arial"/>
          <w:sz w:val="20"/>
          <w:szCs w:val="20"/>
        </w:rPr>
      </w:pPr>
      <w:bookmarkStart w:id="71" w:name="_Toc336012925"/>
      <w:bookmarkStart w:id="72" w:name="_Toc549738508"/>
      <w:r w:rsidRPr="00306F4D">
        <w:rPr>
          <w:rFonts w:ascii="Arial" w:eastAsia="Arial" w:hAnsi="Arial" w:cs="Arial"/>
          <w:sz w:val="20"/>
          <w:szCs w:val="20"/>
        </w:rPr>
        <w:t xml:space="preserve">The results </w:t>
      </w:r>
      <w:r w:rsidR="428DD233" w:rsidRPr="00306F4D">
        <w:rPr>
          <w:rFonts w:ascii="Arial" w:eastAsia="Arial" w:hAnsi="Arial" w:cs="Arial"/>
          <w:sz w:val="20"/>
          <w:szCs w:val="20"/>
        </w:rPr>
        <w:t xml:space="preserve">and learning </w:t>
      </w:r>
      <w:r w:rsidRPr="00306F4D">
        <w:rPr>
          <w:rFonts w:ascii="Arial" w:eastAsia="Arial" w:hAnsi="Arial" w:cs="Arial"/>
          <w:sz w:val="20"/>
          <w:szCs w:val="20"/>
        </w:rPr>
        <w:t xml:space="preserve">of the Regional Project will assist the landscape for innovation in </w:t>
      </w:r>
      <w:proofErr w:type="gramStart"/>
      <w:r w:rsidRPr="00306F4D">
        <w:rPr>
          <w:rFonts w:ascii="Arial" w:eastAsia="Arial" w:hAnsi="Arial" w:cs="Arial"/>
          <w:sz w:val="20"/>
          <w:szCs w:val="20"/>
        </w:rPr>
        <w:t>locally-led</w:t>
      </w:r>
      <w:proofErr w:type="gramEnd"/>
      <w:r w:rsidRPr="00306F4D">
        <w:rPr>
          <w:rFonts w:ascii="Arial" w:eastAsia="Arial" w:hAnsi="Arial" w:cs="Arial"/>
          <w:sz w:val="20"/>
          <w:szCs w:val="20"/>
        </w:rPr>
        <w:t xml:space="preserve"> climate change adaptation with the focus on pre-seed, non-profit, </w:t>
      </w:r>
      <w:r w:rsidR="1D4E7ED8" w:rsidRPr="00306F4D">
        <w:rPr>
          <w:rFonts w:ascii="Arial" w:eastAsia="Arial" w:hAnsi="Arial" w:cs="Arial"/>
          <w:sz w:val="20"/>
          <w:szCs w:val="20"/>
        </w:rPr>
        <w:t xml:space="preserve">as well as </w:t>
      </w:r>
      <w:r w:rsidRPr="00306F4D">
        <w:rPr>
          <w:rFonts w:ascii="Arial" w:eastAsia="Arial" w:hAnsi="Arial" w:cs="Arial"/>
          <w:sz w:val="20"/>
          <w:szCs w:val="20"/>
        </w:rPr>
        <w:t>established organizations and social enterprises, while sharing the experience and evidence of locally-led adaptation innovations with regional Western Balkans and relevant global communities.</w:t>
      </w:r>
      <w:bookmarkEnd w:id="71"/>
      <w:bookmarkEnd w:id="72"/>
    </w:p>
    <w:p w14:paraId="36C4A8AC" w14:textId="77777777" w:rsidR="5741B789" w:rsidRPr="00306F4D" w:rsidRDefault="5741B789" w:rsidP="695697BF">
      <w:pPr>
        <w:spacing w:before="240" w:after="240" w:line="276" w:lineRule="auto"/>
        <w:jc w:val="both"/>
        <w:rPr>
          <w:rFonts w:ascii="Arial" w:eastAsia="Arial" w:hAnsi="Arial" w:cs="Arial"/>
          <w:sz w:val="20"/>
          <w:szCs w:val="20"/>
          <w:lang w:val="en-GB"/>
        </w:rPr>
      </w:pPr>
      <w:r w:rsidRPr="00306F4D">
        <w:rPr>
          <w:rStyle w:val="Heading3Char"/>
          <w:rFonts w:ascii="Arial" w:eastAsia="Arial" w:hAnsi="Arial" w:cs="Arial"/>
          <w:sz w:val="20"/>
          <w:szCs w:val="20"/>
          <w:lang w:val="en-GB"/>
        </w:rPr>
        <w:t>Strategic Fit and Partnerships</w:t>
      </w:r>
    </w:p>
    <w:p w14:paraId="1B46F2BD" w14:textId="7CA9501F" w:rsidR="5741B789" w:rsidRPr="00306F4D" w:rsidRDefault="5741B789" w:rsidP="695697BF">
      <w:p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 xml:space="preserve">Strategically, the project will be anchored under the UNDP-led </w:t>
      </w:r>
      <w:hyperlink r:id="rId35">
        <w:r w:rsidR="2CF9719A" w:rsidRPr="00306F4D">
          <w:rPr>
            <w:rStyle w:val="Hyperlink"/>
            <w:rFonts w:ascii="Arial" w:eastAsia="Arial" w:hAnsi="Arial" w:cs="Arial"/>
            <w:sz w:val="20"/>
            <w:szCs w:val="20"/>
            <w:lang w:val="en-GB"/>
          </w:rPr>
          <w:t>Adaptation Innovation Marketplace (AIM)</w:t>
        </w:r>
      </w:hyperlink>
      <w:r w:rsidRPr="00306F4D">
        <w:rPr>
          <w:rFonts w:ascii="Arial" w:eastAsia="Arial" w:hAnsi="Arial" w:cs="Arial"/>
          <w:sz w:val="20"/>
          <w:szCs w:val="20"/>
          <w:lang w:val="en-GB"/>
        </w:rPr>
        <w:t xml:space="preserve">, an initiative born in 2021, out of a need to help countries overcome barriers to developing and implementing innovative climate adaptation solutions in line with their context and priorities, especially those related to accessing finance and technical support. AIM is a Flagship Initiative of the </w:t>
      </w:r>
      <w:hyperlink r:id="rId36">
        <w:r w:rsidR="2CF9719A" w:rsidRPr="00306F4D">
          <w:rPr>
            <w:rStyle w:val="Hyperlink"/>
            <w:rFonts w:ascii="Arial" w:eastAsia="Arial" w:hAnsi="Arial" w:cs="Arial"/>
            <w:sz w:val="20"/>
            <w:szCs w:val="20"/>
            <w:lang w:val="en-GB"/>
          </w:rPr>
          <w:t>Climate Promise</w:t>
        </w:r>
      </w:hyperlink>
      <w:r w:rsidRPr="00306F4D">
        <w:rPr>
          <w:rFonts w:ascii="Arial" w:eastAsia="Arial" w:hAnsi="Arial" w:cs="Arial"/>
          <w:sz w:val="20"/>
          <w:szCs w:val="20"/>
          <w:lang w:val="en-GB"/>
        </w:rPr>
        <w:t>, which is the framework for UNDP’s support to developing countries to achieve their NDC priorities and deliver the Paris Agreement goals.</w:t>
      </w:r>
    </w:p>
    <w:p w14:paraId="28C8E0E6" w14:textId="0DB5ADA6" w:rsidR="5741B789" w:rsidRPr="00306F4D" w:rsidRDefault="5FCFEB11" w:rsidP="49C6F20D">
      <w:p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 xml:space="preserve">AIM supports local communities around the world to expand and accelerate promising adaptation solutions by providing investment, know-how and visibility. With initial funding from the Adaptation Fund, the Global Environment Facility (GEF) and the European </w:t>
      </w:r>
      <w:r w:rsidR="3E9DDE54" w:rsidRPr="00306F4D">
        <w:rPr>
          <w:rFonts w:ascii="Arial" w:eastAsia="Arial" w:hAnsi="Arial" w:cs="Arial"/>
          <w:sz w:val="20"/>
          <w:szCs w:val="20"/>
          <w:lang w:val="en-GB"/>
        </w:rPr>
        <w:t>Union</w:t>
      </w:r>
      <w:r w:rsidRPr="00306F4D">
        <w:rPr>
          <w:rFonts w:ascii="Arial" w:eastAsia="Arial" w:hAnsi="Arial" w:cs="Arial"/>
          <w:sz w:val="20"/>
          <w:szCs w:val="20"/>
          <w:lang w:val="en-GB"/>
        </w:rPr>
        <w:t>, the initiative supports civil society organizations, social enterprises, women and young people to scale up innovative technologies, practices and business models that advance climate adaptation in local communities.</w:t>
      </w:r>
    </w:p>
    <w:p w14:paraId="64D6D231" w14:textId="77777777" w:rsidR="5741B789" w:rsidRPr="00306F4D" w:rsidRDefault="5741B789" w:rsidP="695697BF">
      <w:p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 xml:space="preserve">In addition to catalytic grant investment, AIM through it projects, offers local </w:t>
      </w:r>
      <w:proofErr w:type="gramStart"/>
      <w:r w:rsidRPr="00306F4D">
        <w:rPr>
          <w:rFonts w:ascii="Arial" w:eastAsia="Arial" w:hAnsi="Arial" w:cs="Arial"/>
          <w:sz w:val="20"/>
          <w:szCs w:val="20"/>
          <w:lang w:val="en-GB"/>
        </w:rPr>
        <w:t>actors</w:t>
      </w:r>
      <w:proofErr w:type="gramEnd"/>
      <w:r w:rsidRPr="00306F4D">
        <w:rPr>
          <w:rFonts w:ascii="Arial" w:eastAsia="Arial" w:hAnsi="Arial" w:cs="Arial"/>
          <w:sz w:val="20"/>
          <w:szCs w:val="20"/>
          <w:lang w:val="en-GB"/>
        </w:rPr>
        <w:t xml:space="preserve"> know-how on enterprise development and mentoring opportunities, leverages technical assistance, provides global visibility, and access to investors and partners who could accelerate these climate adaptation solutions.</w:t>
      </w:r>
    </w:p>
    <w:p w14:paraId="3A9D2DE3" w14:textId="77777777" w:rsidR="5741B789" w:rsidRPr="00306F4D" w:rsidRDefault="5741B789" w:rsidP="695697BF">
      <w:p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In addition to this, the Regional Project aligns with the following frameworks and initiatives:</w:t>
      </w:r>
    </w:p>
    <w:p w14:paraId="5AF57F98" w14:textId="77777777" w:rsidR="5741B789" w:rsidRPr="00306F4D" w:rsidRDefault="5741B789" w:rsidP="00093F5F">
      <w:pPr>
        <w:pStyle w:val="ListParagraph"/>
        <w:numPr>
          <w:ilvl w:val="0"/>
          <w:numId w:val="41"/>
        </w:numPr>
        <w:spacing w:before="240" w:after="240" w:line="276" w:lineRule="auto"/>
        <w:jc w:val="both"/>
        <w:rPr>
          <w:rFonts w:ascii="Arial" w:eastAsia="Arial" w:hAnsi="Arial" w:cs="Arial"/>
          <w:sz w:val="20"/>
          <w:szCs w:val="20"/>
          <w:lang w:val="en-GB"/>
        </w:rPr>
      </w:pPr>
      <w:r w:rsidRPr="00306F4D">
        <w:rPr>
          <w:rFonts w:ascii="Arial" w:eastAsia="Arial" w:hAnsi="Arial" w:cs="Arial"/>
          <w:b/>
          <w:sz w:val="20"/>
          <w:szCs w:val="20"/>
          <w:lang w:val="en-GB"/>
        </w:rPr>
        <w:t>National frameworks</w:t>
      </w:r>
      <w:r w:rsidRPr="00306F4D">
        <w:rPr>
          <w:rFonts w:ascii="Arial" w:eastAsia="Arial" w:hAnsi="Arial" w:cs="Arial"/>
          <w:sz w:val="20"/>
          <w:szCs w:val="20"/>
          <w:lang w:val="en-GB"/>
        </w:rPr>
        <w:t>: NAPs, NDCs, green growth, and poverty reduction strategies</w:t>
      </w:r>
    </w:p>
    <w:p w14:paraId="44C2EFF5" w14:textId="77777777" w:rsidR="5741B789" w:rsidRPr="00306F4D" w:rsidRDefault="5741B789" w:rsidP="00093F5F">
      <w:pPr>
        <w:pStyle w:val="ListParagraph"/>
        <w:numPr>
          <w:ilvl w:val="0"/>
          <w:numId w:val="41"/>
        </w:numPr>
        <w:spacing w:before="240" w:after="240" w:line="276" w:lineRule="auto"/>
        <w:jc w:val="both"/>
        <w:rPr>
          <w:rFonts w:ascii="Arial" w:eastAsia="Arial" w:hAnsi="Arial" w:cs="Arial"/>
          <w:sz w:val="20"/>
          <w:szCs w:val="20"/>
          <w:lang w:val="en-GB"/>
        </w:rPr>
      </w:pPr>
      <w:r w:rsidRPr="00306F4D">
        <w:rPr>
          <w:rFonts w:ascii="Arial" w:eastAsia="Arial" w:hAnsi="Arial" w:cs="Arial"/>
          <w:b/>
          <w:sz w:val="20"/>
          <w:szCs w:val="20"/>
          <w:lang w:val="en-GB"/>
        </w:rPr>
        <w:t>Regional initiatives</w:t>
      </w:r>
      <w:r w:rsidRPr="00306F4D">
        <w:rPr>
          <w:rFonts w:ascii="Arial" w:eastAsia="Arial" w:hAnsi="Arial" w:cs="Arial"/>
          <w:sz w:val="20"/>
          <w:szCs w:val="20"/>
          <w:lang w:val="en-GB"/>
        </w:rPr>
        <w:t>: Green Agenda for the Western Balkans, RCC, NALAS, SWG RRD, South-East European Climate Change Framework</w:t>
      </w:r>
    </w:p>
    <w:p w14:paraId="36D0CC05" w14:textId="77777777" w:rsidR="5741B789" w:rsidRPr="00306F4D" w:rsidRDefault="5741B789" w:rsidP="00093F5F">
      <w:pPr>
        <w:pStyle w:val="ListParagraph"/>
        <w:numPr>
          <w:ilvl w:val="0"/>
          <w:numId w:val="41"/>
        </w:numPr>
        <w:spacing w:before="240" w:after="240" w:line="276" w:lineRule="auto"/>
        <w:jc w:val="both"/>
        <w:rPr>
          <w:rFonts w:ascii="Arial" w:eastAsia="Arial" w:hAnsi="Arial" w:cs="Arial"/>
          <w:sz w:val="20"/>
          <w:szCs w:val="20"/>
          <w:lang w:val="en-GB"/>
        </w:rPr>
      </w:pPr>
      <w:r w:rsidRPr="00306F4D">
        <w:rPr>
          <w:rFonts w:ascii="Arial" w:eastAsia="Arial" w:hAnsi="Arial" w:cs="Arial"/>
          <w:b/>
          <w:sz w:val="20"/>
          <w:szCs w:val="20"/>
          <w:lang w:val="en-GB"/>
        </w:rPr>
        <w:t>Global goals</w:t>
      </w:r>
      <w:r w:rsidRPr="00306F4D">
        <w:rPr>
          <w:rFonts w:ascii="Arial" w:eastAsia="Arial" w:hAnsi="Arial" w:cs="Arial"/>
          <w:sz w:val="20"/>
          <w:szCs w:val="20"/>
          <w:lang w:val="en-GB"/>
        </w:rPr>
        <w:t>: SDGs, Paris Agreement, Sendai Framework</w:t>
      </w:r>
    </w:p>
    <w:p w14:paraId="4DA725BC" w14:textId="77777777" w:rsidR="5741B789" w:rsidRPr="00306F4D" w:rsidRDefault="5741B789" w:rsidP="695697BF">
      <w:pPr>
        <w:spacing w:before="240" w:after="240" w:line="276" w:lineRule="auto"/>
        <w:jc w:val="both"/>
        <w:rPr>
          <w:rFonts w:ascii="Arial" w:eastAsia="Arial" w:hAnsi="Arial" w:cs="Arial"/>
          <w:sz w:val="20"/>
          <w:szCs w:val="20"/>
        </w:rPr>
      </w:pPr>
      <w:r w:rsidRPr="00306F4D">
        <w:rPr>
          <w:rFonts w:ascii="Arial" w:eastAsia="Arial" w:hAnsi="Arial" w:cs="Arial"/>
          <w:sz w:val="20"/>
          <w:szCs w:val="20"/>
        </w:rPr>
        <w:t>The Western Balkans stands at a critical juncture, where climate vulnerability and innovation potential intersect. This project will help bridge gaps in adaptation finance, strengthen innovation ecosystems, and foster regional collaboration. By supporting local actors and innovators, the project will:</w:t>
      </w:r>
    </w:p>
    <w:p w14:paraId="3857B3B5" w14:textId="77777777" w:rsidR="5741B789" w:rsidRPr="00306F4D" w:rsidRDefault="5741B789" w:rsidP="00093F5F">
      <w:pPr>
        <w:pStyle w:val="ListParagraph"/>
        <w:numPr>
          <w:ilvl w:val="0"/>
          <w:numId w:val="42"/>
        </w:numPr>
        <w:spacing w:before="240" w:after="240" w:line="276" w:lineRule="auto"/>
        <w:jc w:val="both"/>
        <w:rPr>
          <w:rFonts w:ascii="Arial" w:eastAsia="Arial" w:hAnsi="Arial" w:cs="Arial"/>
          <w:sz w:val="20"/>
          <w:szCs w:val="20"/>
        </w:rPr>
      </w:pPr>
      <w:r w:rsidRPr="00306F4D">
        <w:rPr>
          <w:rFonts w:ascii="Arial" w:eastAsia="Arial" w:hAnsi="Arial" w:cs="Arial"/>
          <w:sz w:val="20"/>
          <w:szCs w:val="20"/>
        </w:rPr>
        <w:t>Deliver inclusive, scalable, and cost-effective adaptation solutions</w:t>
      </w:r>
    </w:p>
    <w:p w14:paraId="7672067E" w14:textId="77777777" w:rsidR="5741B789" w:rsidRPr="00306F4D" w:rsidRDefault="5741B789" w:rsidP="00093F5F">
      <w:pPr>
        <w:pStyle w:val="ListParagraph"/>
        <w:numPr>
          <w:ilvl w:val="0"/>
          <w:numId w:val="42"/>
        </w:numPr>
        <w:spacing w:before="240" w:after="240" w:line="276" w:lineRule="auto"/>
        <w:jc w:val="both"/>
        <w:rPr>
          <w:rFonts w:ascii="Arial" w:eastAsia="Arial" w:hAnsi="Arial" w:cs="Arial"/>
          <w:sz w:val="20"/>
          <w:szCs w:val="20"/>
        </w:rPr>
      </w:pPr>
      <w:r w:rsidRPr="00306F4D">
        <w:rPr>
          <w:rFonts w:ascii="Arial" w:eastAsia="Arial" w:hAnsi="Arial" w:cs="Arial"/>
          <w:sz w:val="20"/>
          <w:szCs w:val="20"/>
        </w:rPr>
        <w:t>Empower communities to build resilience to climate risks</w:t>
      </w:r>
    </w:p>
    <w:p w14:paraId="3C5D4FDE" w14:textId="77777777" w:rsidR="5741B789" w:rsidRPr="00306F4D" w:rsidRDefault="5741B789" w:rsidP="00093F5F">
      <w:pPr>
        <w:pStyle w:val="ListParagraph"/>
        <w:numPr>
          <w:ilvl w:val="0"/>
          <w:numId w:val="42"/>
        </w:numPr>
        <w:spacing w:before="240" w:after="240" w:line="276" w:lineRule="auto"/>
        <w:jc w:val="both"/>
        <w:rPr>
          <w:rFonts w:ascii="Arial" w:eastAsia="Arial" w:hAnsi="Arial" w:cs="Arial"/>
          <w:sz w:val="20"/>
          <w:szCs w:val="20"/>
        </w:rPr>
      </w:pPr>
      <w:r w:rsidRPr="00306F4D">
        <w:rPr>
          <w:rFonts w:ascii="Arial" w:eastAsia="Arial" w:hAnsi="Arial" w:cs="Arial"/>
          <w:sz w:val="20"/>
          <w:szCs w:val="20"/>
        </w:rPr>
        <w:t>Catalyze systemic change, improving the region's long-term climate resilience</w:t>
      </w:r>
    </w:p>
    <w:p w14:paraId="10FCCD59" w14:textId="42FDA11D" w:rsidR="00BC3363" w:rsidRPr="00306F4D" w:rsidRDefault="5741B789" w:rsidP="00BC3363">
      <w:pPr>
        <w:rPr>
          <w:rFonts w:ascii="Arial" w:eastAsia="Arial" w:hAnsi="Arial" w:cs="Arial"/>
          <w:sz w:val="20"/>
          <w:szCs w:val="20"/>
          <w:lang w:val="en-GB"/>
        </w:rPr>
      </w:pPr>
      <w:r w:rsidRPr="00306F4D">
        <w:rPr>
          <w:rFonts w:ascii="Arial" w:eastAsia="Arial" w:hAnsi="Arial" w:cs="Arial"/>
          <w:sz w:val="20"/>
          <w:szCs w:val="20"/>
        </w:rPr>
        <w:t>This initiative will set a replicable precedent for climate innovation in transition economies, unlocking significant social, environmental, and economic benefits while contributing to the region’s just transition towards a low-carbon future.</w:t>
      </w:r>
      <w:bookmarkStart w:id="73" w:name="_Toc31828241"/>
      <w:bookmarkStart w:id="74" w:name="_Toc1469581466"/>
    </w:p>
    <w:p w14:paraId="0820CB70" w14:textId="1A907CE4" w:rsidR="00F04FEE" w:rsidRPr="00306F4D" w:rsidRDefault="7B48ABF2" w:rsidP="00BC3363">
      <w:pPr>
        <w:pStyle w:val="Heading2"/>
        <w:rPr>
          <w:lang w:val="en-GB"/>
        </w:rPr>
      </w:pPr>
      <w:bookmarkStart w:id="75" w:name="_Toc202893738"/>
      <w:r w:rsidRPr="00306F4D">
        <w:rPr>
          <w:lang w:val="en-GB"/>
        </w:rPr>
        <w:lastRenderedPageBreak/>
        <w:t>Description of the</w:t>
      </w:r>
      <w:r w:rsidR="5B1B6459" w:rsidRPr="00306F4D">
        <w:rPr>
          <w:lang w:val="en-GB"/>
        </w:rPr>
        <w:t xml:space="preserve"> Project Components</w:t>
      </w:r>
      <w:bookmarkEnd w:id="73"/>
      <w:bookmarkEnd w:id="74"/>
      <w:bookmarkEnd w:id="75"/>
    </w:p>
    <w:p w14:paraId="1228B2B8" w14:textId="7139C8BD" w:rsidR="00F04FEE" w:rsidRPr="00306F4D" w:rsidRDefault="7FC1BE72" w:rsidP="00BB20FF">
      <w:p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 xml:space="preserve">To operationalize </w:t>
      </w:r>
      <w:r w:rsidR="00B4490F" w:rsidRPr="00306F4D">
        <w:rPr>
          <w:rFonts w:ascii="Arial" w:eastAsia="Arial" w:hAnsi="Arial" w:cs="Arial"/>
          <w:sz w:val="20"/>
          <w:szCs w:val="20"/>
          <w:lang w:val="en-GB"/>
        </w:rPr>
        <w:t>its</w:t>
      </w:r>
      <w:r w:rsidRPr="00306F4D">
        <w:rPr>
          <w:rFonts w:ascii="Arial" w:eastAsia="Arial" w:hAnsi="Arial" w:cs="Arial"/>
          <w:sz w:val="20"/>
          <w:szCs w:val="20"/>
          <w:lang w:val="en-GB"/>
        </w:rPr>
        <w:t xml:space="preserve"> Theory of Change, the </w:t>
      </w:r>
      <w:r w:rsidR="002C55DE" w:rsidRPr="00306F4D">
        <w:rPr>
          <w:rFonts w:ascii="Arial" w:eastAsia="Arial" w:hAnsi="Arial" w:cs="Arial"/>
          <w:sz w:val="20"/>
          <w:szCs w:val="20"/>
          <w:lang w:val="en-GB"/>
        </w:rPr>
        <w:t>r</w:t>
      </w:r>
      <w:r w:rsidR="63668791" w:rsidRPr="00306F4D">
        <w:rPr>
          <w:rFonts w:ascii="Arial" w:eastAsia="Arial" w:hAnsi="Arial" w:cs="Arial"/>
          <w:sz w:val="20"/>
          <w:szCs w:val="20"/>
          <w:lang w:val="en-GB"/>
        </w:rPr>
        <w:t xml:space="preserve">egional </w:t>
      </w:r>
      <w:r w:rsidR="002C55DE" w:rsidRPr="00306F4D">
        <w:rPr>
          <w:rFonts w:ascii="Arial" w:eastAsia="Arial" w:hAnsi="Arial" w:cs="Arial"/>
          <w:sz w:val="20"/>
          <w:szCs w:val="20"/>
          <w:lang w:val="en-GB"/>
        </w:rPr>
        <w:t>p</w:t>
      </w:r>
      <w:r w:rsidRPr="00306F4D">
        <w:rPr>
          <w:rFonts w:ascii="Arial" w:eastAsia="Arial" w:hAnsi="Arial" w:cs="Arial"/>
          <w:sz w:val="20"/>
          <w:szCs w:val="20"/>
          <w:lang w:val="en-GB"/>
        </w:rPr>
        <w:t xml:space="preserve">roject will be implemented through </w:t>
      </w:r>
      <w:r w:rsidR="001F2A62" w:rsidRPr="00306F4D">
        <w:rPr>
          <w:rFonts w:ascii="Arial" w:eastAsia="Arial" w:hAnsi="Arial" w:cs="Arial"/>
          <w:sz w:val="20"/>
          <w:szCs w:val="20"/>
          <w:lang w:val="en-GB"/>
        </w:rPr>
        <w:t xml:space="preserve">three </w:t>
      </w:r>
      <w:r w:rsidRPr="00306F4D">
        <w:rPr>
          <w:rFonts w:ascii="Arial" w:eastAsia="Arial" w:hAnsi="Arial" w:cs="Arial"/>
          <w:sz w:val="20"/>
          <w:szCs w:val="20"/>
          <w:lang w:val="en-GB"/>
        </w:rPr>
        <w:t>interrelated component</w:t>
      </w:r>
      <w:r w:rsidR="00AB6E9A" w:rsidRPr="00306F4D">
        <w:rPr>
          <w:rFonts w:ascii="Arial" w:eastAsia="Arial" w:hAnsi="Arial" w:cs="Arial"/>
          <w:sz w:val="20"/>
          <w:szCs w:val="20"/>
          <w:lang w:val="en-GB"/>
        </w:rPr>
        <w:t>s</w:t>
      </w:r>
      <w:r w:rsidR="00AB1BB1" w:rsidRPr="00306F4D">
        <w:rPr>
          <w:rFonts w:ascii="Arial" w:eastAsia="Arial" w:hAnsi="Arial" w:cs="Arial"/>
          <w:sz w:val="20"/>
          <w:szCs w:val="20"/>
          <w:lang w:val="en-GB"/>
        </w:rPr>
        <w:t xml:space="preserve">, corresponding to </w:t>
      </w:r>
      <w:r w:rsidR="00EC3D70" w:rsidRPr="00306F4D">
        <w:rPr>
          <w:rFonts w:ascii="Arial" w:eastAsia="Arial" w:hAnsi="Arial" w:cs="Arial"/>
          <w:sz w:val="20"/>
          <w:szCs w:val="20"/>
          <w:lang w:val="en-GB"/>
        </w:rPr>
        <w:t>three outcomes</w:t>
      </w:r>
      <w:r w:rsidRPr="00306F4D">
        <w:rPr>
          <w:rFonts w:ascii="Arial" w:eastAsia="Arial" w:hAnsi="Arial" w:cs="Arial"/>
          <w:sz w:val="20"/>
          <w:szCs w:val="20"/>
          <w:lang w:val="en-GB"/>
        </w:rPr>
        <w:t>:</w:t>
      </w:r>
    </w:p>
    <w:p w14:paraId="0C61B524" w14:textId="56529A64" w:rsidR="1CB65982" w:rsidRPr="00306F4D" w:rsidRDefault="1CB65982" w:rsidP="26FBA0F4">
      <w:pPr>
        <w:pStyle w:val="Heading4"/>
        <w:spacing w:line="276" w:lineRule="auto"/>
        <w:jc w:val="both"/>
        <w:rPr>
          <w:rFonts w:ascii="Arial" w:eastAsia="Arial" w:hAnsi="Arial" w:cs="Arial"/>
          <w:b/>
          <w:bCs/>
          <w:i w:val="0"/>
          <w:iCs w:val="0"/>
          <w:sz w:val="20"/>
          <w:szCs w:val="20"/>
          <w:lang w:val="en-GB"/>
        </w:rPr>
      </w:pPr>
      <w:r w:rsidRPr="00306F4D">
        <w:rPr>
          <w:rFonts w:ascii="Arial" w:eastAsia="Arial" w:hAnsi="Arial" w:cs="Arial"/>
          <w:b/>
          <w:bCs/>
          <w:i w:val="0"/>
          <w:iCs w:val="0"/>
          <w:sz w:val="20"/>
          <w:szCs w:val="20"/>
          <w:lang w:val="en-GB"/>
        </w:rPr>
        <w:t>Component 1</w:t>
      </w:r>
      <w:r w:rsidRPr="00306F4D">
        <w:rPr>
          <w:b/>
          <w:i w:val="0"/>
          <w:sz w:val="20"/>
          <w:szCs w:val="20"/>
          <w:lang w:val="en-GB"/>
        </w:rPr>
        <w:t xml:space="preserve">: </w:t>
      </w:r>
      <w:r w:rsidR="0923C114" w:rsidRPr="00306F4D">
        <w:rPr>
          <w:b/>
          <w:i w:val="0"/>
          <w:sz w:val="20"/>
          <w:szCs w:val="20"/>
          <w:lang w:val="en-GB"/>
        </w:rPr>
        <w:t xml:space="preserve">Innovation Facility for Climate Adaptation </w:t>
      </w:r>
    </w:p>
    <w:p w14:paraId="00BCD553" w14:textId="77777777" w:rsidR="008430A3" w:rsidRPr="00306F4D" w:rsidRDefault="008430A3" w:rsidP="00BB20FF">
      <w:pPr>
        <w:spacing w:before="240" w:after="240" w:line="276" w:lineRule="auto"/>
        <w:jc w:val="both"/>
        <w:rPr>
          <w:rFonts w:ascii="Arial" w:eastAsia="Arial" w:hAnsi="Arial" w:cs="Arial"/>
          <w:b/>
          <w:color w:val="000000" w:themeColor="text1"/>
          <w:sz w:val="20"/>
          <w:szCs w:val="20"/>
          <w:lang w:val="en-GB"/>
        </w:rPr>
      </w:pPr>
      <w:r w:rsidRPr="00306F4D">
        <w:rPr>
          <w:rFonts w:ascii="Arial" w:eastAsia="Arial" w:hAnsi="Arial" w:cs="Arial"/>
          <w:b/>
          <w:color w:val="000000" w:themeColor="text1"/>
          <w:sz w:val="20"/>
          <w:szCs w:val="20"/>
          <w:lang w:val="en-GB"/>
        </w:rPr>
        <w:t xml:space="preserve">Outcome 1: Development, promotion, and acceleration of </w:t>
      </w:r>
      <w:proofErr w:type="gramStart"/>
      <w:r w:rsidRPr="00306F4D">
        <w:rPr>
          <w:rFonts w:ascii="Arial" w:eastAsia="Arial" w:hAnsi="Arial" w:cs="Arial"/>
          <w:b/>
          <w:color w:val="000000" w:themeColor="text1"/>
          <w:sz w:val="20"/>
          <w:szCs w:val="20"/>
          <w:lang w:val="en-GB"/>
        </w:rPr>
        <w:t>locally-led</w:t>
      </w:r>
      <w:proofErr w:type="gramEnd"/>
      <w:r w:rsidRPr="00306F4D">
        <w:rPr>
          <w:rFonts w:ascii="Arial" w:eastAsia="Arial" w:hAnsi="Arial" w:cs="Arial"/>
          <w:b/>
          <w:color w:val="000000" w:themeColor="text1"/>
          <w:sz w:val="20"/>
          <w:szCs w:val="20"/>
          <w:lang w:val="en-GB"/>
        </w:rPr>
        <w:t xml:space="preserve"> innovative climate adaptation solutions in four Balkans countries, with particular emphasis on approaches that advance gender equality and women’s empowerment, and which address priority climate risks.</w:t>
      </w:r>
    </w:p>
    <w:p w14:paraId="275520C0" w14:textId="7C5A439B" w:rsidR="00E32E0D" w:rsidRPr="00306F4D" w:rsidRDefault="00DB622E" w:rsidP="00BB20FF">
      <w:pPr>
        <w:spacing w:before="240" w:after="240" w:line="276" w:lineRule="auto"/>
        <w:jc w:val="both"/>
        <w:rPr>
          <w:rFonts w:ascii="Arial" w:eastAsia="Arial" w:hAnsi="Arial" w:cs="Arial"/>
          <w:color w:val="auto"/>
          <w:sz w:val="20"/>
          <w:szCs w:val="20"/>
        </w:rPr>
      </w:pPr>
      <w:proofErr w:type="gramStart"/>
      <w:r w:rsidRPr="00306F4D">
        <w:rPr>
          <w:rFonts w:ascii="Arial" w:eastAsia="Arial" w:hAnsi="Arial" w:cs="Arial"/>
          <w:color w:val="auto"/>
          <w:sz w:val="20"/>
          <w:szCs w:val="20"/>
        </w:rPr>
        <w:t>Locally-led</w:t>
      </w:r>
      <w:proofErr w:type="gramEnd"/>
      <w:r w:rsidRPr="00306F4D">
        <w:rPr>
          <w:rFonts w:ascii="Arial" w:eastAsia="Arial" w:hAnsi="Arial" w:cs="Arial"/>
          <w:color w:val="auto"/>
          <w:sz w:val="20"/>
          <w:szCs w:val="20"/>
        </w:rPr>
        <w:t xml:space="preserve"> adaptation innovations are developed, designed, and prepared for implementation through inclusive sourcing, technical support, and grant funding, with a focus on addressing priority climate risks and advancing gender equality and social inclusion in the Western Balkans.</w:t>
      </w:r>
    </w:p>
    <w:p w14:paraId="46957126" w14:textId="28357E4D" w:rsidR="00874C18" w:rsidRPr="00306F4D" w:rsidRDefault="00874C18" w:rsidP="00BB20FF">
      <w:pPr>
        <w:spacing w:before="240" w:after="240" w:line="276" w:lineRule="auto"/>
        <w:jc w:val="both"/>
        <w:rPr>
          <w:rFonts w:ascii="Arial" w:eastAsia="Arial" w:hAnsi="Arial" w:cs="Arial"/>
          <w:b/>
          <w:i/>
          <w:color w:val="auto"/>
          <w:sz w:val="20"/>
          <w:szCs w:val="20"/>
        </w:rPr>
      </w:pPr>
      <w:r w:rsidRPr="00306F4D">
        <w:rPr>
          <w:rFonts w:ascii="Arial" w:eastAsia="Arial" w:hAnsi="Arial" w:cs="Arial"/>
          <w:b/>
          <w:i/>
          <w:color w:val="auto"/>
          <w:sz w:val="20"/>
          <w:szCs w:val="20"/>
        </w:rPr>
        <w:t xml:space="preserve">Output 1.1: </w:t>
      </w:r>
      <w:r w:rsidR="00371094" w:rsidRPr="00306F4D">
        <w:rPr>
          <w:rFonts w:ascii="Arial" w:eastAsia="Arial" w:hAnsi="Arial" w:cs="Arial"/>
          <w:b/>
          <w:i/>
          <w:color w:val="000000" w:themeColor="text1"/>
          <w:sz w:val="20"/>
          <w:szCs w:val="20"/>
        </w:rPr>
        <w:t>I</w:t>
      </w:r>
      <w:r w:rsidRPr="00306F4D">
        <w:rPr>
          <w:rFonts w:ascii="Arial" w:eastAsia="Arial" w:hAnsi="Arial" w:cs="Arial"/>
          <w:b/>
          <w:i/>
          <w:color w:val="000000" w:themeColor="text1"/>
          <w:sz w:val="20"/>
          <w:szCs w:val="20"/>
        </w:rPr>
        <w:t xml:space="preserve">nnovation concepts are identified and strengthened through </w:t>
      </w:r>
      <w:r w:rsidR="00271228" w:rsidRPr="00306F4D">
        <w:rPr>
          <w:rFonts w:ascii="Arial" w:eastAsia="Arial" w:hAnsi="Arial" w:cs="Arial"/>
          <w:b/>
          <w:i/>
          <w:color w:val="000000" w:themeColor="text1"/>
          <w:sz w:val="20"/>
          <w:szCs w:val="20"/>
        </w:rPr>
        <w:t xml:space="preserve">an </w:t>
      </w:r>
      <w:r w:rsidRPr="00306F4D">
        <w:rPr>
          <w:rFonts w:ascii="Arial" w:eastAsia="Arial" w:hAnsi="Arial" w:cs="Arial"/>
          <w:b/>
          <w:i/>
          <w:color w:val="000000" w:themeColor="text1"/>
          <w:sz w:val="20"/>
          <w:szCs w:val="20"/>
        </w:rPr>
        <w:t>inclusive call for interest, innovation sprints, and tailored design support</w:t>
      </w:r>
      <w:r w:rsidR="00C014B5" w:rsidRPr="00306F4D">
        <w:rPr>
          <w:rFonts w:ascii="Arial" w:eastAsia="Arial" w:hAnsi="Arial" w:cs="Arial"/>
          <w:b/>
          <w:i/>
          <w:color w:val="000000" w:themeColor="text1"/>
          <w:sz w:val="20"/>
          <w:szCs w:val="20"/>
        </w:rPr>
        <w:t>.</w:t>
      </w:r>
    </w:p>
    <w:p w14:paraId="74883B44" w14:textId="379A6270" w:rsidR="00962F9F" w:rsidRPr="00306F4D" w:rsidRDefault="73774F83" w:rsidP="49C6F20D">
      <w:pPr>
        <w:spacing w:before="240" w:after="240" w:line="276" w:lineRule="auto"/>
        <w:jc w:val="both"/>
        <w:rPr>
          <w:rFonts w:ascii="Arial" w:eastAsia="Arial" w:hAnsi="Arial" w:cs="Arial"/>
          <w:color w:val="auto"/>
          <w:sz w:val="20"/>
          <w:szCs w:val="20"/>
        </w:rPr>
      </w:pPr>
      <w:r w:rsidRPr="00306F4D">
        <w:rPr>
          <w:rFonts w:ascii="Arial" w:eastAsia="Arial" w:hAnsi="Arial" w:cs="Arial"/>
          <w:color w:val="auto"/>
          <w:sz w:val="20"/>
          <w:szCs w:val="20"/>
        </w:rPr>
        <w:t xml:space="preserve">The methodology for identifying and selecting </w:t>
      </w:r>
      <w:proofErr w:type="gramStart"/>
      <w:r w:rsidRPr="00306F4D">
        <w:rPr>
          <w:rFonts w:ascii="Arial" w:eastAsia="Arial" w:hAnsi="Arial" w:cs="Arial"/>
          <w:color w:val="auto"/>
          <w:sz w:val="20"/>
          <w:szCs w:val="20"/>
        </w:rPr>
        <w:t>locally-led</w:t>
      </w:r>
      <w:proofErr w:type="gramEnd"/>
      <w:r w:rsidRPr="00306F4D">
        <w:rPr>
          <w:rFonts w:ascii="Arial" w:eastAsia="Arial" w:hAnsi="Arial" w:cs="Arial"/>
          <w:color w:val="auto"/>
          <w:sz w:val="20"/>
          <w:szCs w:val="20"/>
        </w:rPr>
        <w:t xml:space="preserve"> innovation solutions prioritizes inclusivity and innovation quality through a deliberate two-stage approach. Rather than issuing a traditional </w:t>
      </w:r>
      <w:r w:rsidR="5BC75543" w:rsidRPr="00306F4D">
        <w:rPr>
          <w:rFonts w:ascii="Arial" w:eastAsia="Arial" w:hAnsi="Arial" w:cs="Arial"/>
          <w:color w:val="auto"/>
          <w:sz w:val="20"/>
          <w:szCs w:val="20"/>
        </w:rPr>
        <w:t>‘</w:t>
      </w:r>
      <w:r w:rsidRPr="00306F4D">
        <w:rPr>
          <w:rFonts w:ascii="Arial" w:eastAsia="Arial" w:hAnsi="Arial" w:cs="Arial"/>
          <w:color w:val="auto"/>
          <w:sz w:val="20"/>
          <w:szCs w:val="20"/>
        </w:rPr>
        <w:t>call for proposals</w:t>
      </w:r>
      <w:r w:rsidR="333123A0" w:rsidRPr="00306F4D">
        <w:rPr>
          <w:rFonts w:ascii="Arial" w:eastAsia="Arial" w:hAnsi="Arial" w:cs="Arial"/>
          <w:color w:val="auto"/>
          <w:sz w:val="20"/>
          <w:szCs w:val="20"/>
        </w:rPr>
        <w:t>’</w:t>
      </w:r>
      <w:r w:rsidRPr="00306F4D">
        <w:rPr>
          <w:rFonts w:ascii="Arial" w:eastAsia="Arial" w:hAnsi="Arial" w:cs="Arial"/>
          <w:color w:val="auto"/>
          <w:sz w:val="20"/>
          <w:szCs w:val="20"/>
        </w:rPr>
        <w:t xml:space="preserve">, the project will launch a </w:t>
      </w:r>
      <w:r w:rsidR="4373FB36" w:rsidRPr="00306F4D">
        <w:rPr>
          <w:rFonts w:ascii="Arial" w:eastAsia="Arial" w:hAnsi="Arial" w:cs="Arial"/>
          <w:color w:val="auto"/>
          <w:sz w:val="20"/>
          <w:szCs w:val="20"/>
        </w:rPr>
        <w:t>‘</w:t>
      </w:r>
      <w:r w:rsidRPr="00306F4D">
        <w:rPr>
          <w:rFonts w:ascii="Arial" w:eastAsia="Arial" w:hAnsi="Arial" w:cs="Arial"/>
          <w:b/>
          <w:color w:val="auto"/>
          <w:sz w:val="20"/>
          <w:szCs w:val="20"/>
        </w:rPr>
        <w:t>call for interest</w:t>
      </w:r>
      <w:r w:rsidR="2D4538C5" w:rsidRPr="00306F4D">
        <w:rPr>
          <w:rFonts w:ascii="Arial" w:eastAsia="Arial" w:hAnsi="Arial" w:cs="Arial"/>
          <w:b/>
          <w:color w:val="auto"/>
          <w:sz w:val="20"/>
          <w:szCs w:val="20"/>
        </w:rPr>
        <w:t>’</w:t>
      </w:r>
      <w:r w:rsidRPr="00306F4D">
        <w:rPr>
          <w:rFonts w:ascii="Arial" w:eastAsia="Arial" w:hAnsi="Arial" w:cs="Arial"/>
          <w:color w:val="auto"/>
          <w:sz w:val="20"/>
          <w:szCs w:val="20"/>
        </w:rPr>
        <w:t xml:space="preserve"> to cast a wider net and engage diverse local actors who may have promising ideas but lack the capacity to develop full proposals initially. During the project's inception phase (first six months), a broad outreach campaign will be undertaken across the four participating countries to ensure wide awareness and inclusive access to the upcoming call for interest. This will include targeted information sessions—online and in person if needed—tailored to reach diverse local actors such as NGOs, CSOs, cooperatives, MSMEs, and community-based innovators, particularly those from marginalized communities who may not typically engage with formal funding processes. All outreach materials and guidelines will be made available in relevant local languages.</w:t>
      </w:r>
    </w:p>
    <w:p w14:paraId="2956872E" w14:textId="3E7B871D" w:rsidR="00962F9F" w:rsidRPr="00306F4D" w:rsidRDefault="00962F9F" w:rsidP="00962F9F">
      <w:pPr>
        <w:spacing w:before="240" w:after="240" w:line="276" w:lineRule="auto"/>
        <w:jc w:val="both"/>
        <w:rPr>
          <w:rFonts w:ascii="Arial" w:eastAsia="Arial" w:hAnsi="Arial" w:cs="Arial"/>
          <w:color w:val="auto"/>
          <w:sz w:val="20"/>
          <w:szCs w:val="20"/>
        </w:rPr>
      </w:pPr>
      <w:r w:rsidRPr="00306F4D">
        <w:rPr>
          <w:rFonts w:ascii="Arial" w:eastAsia="Arial" w:hAnsi="Arial" w:cs="Arial"/>
          <w:b/>
          <w:color w:val="auto"/>
          <w:sz w:val="20"/>
          <w:szCs w:val="20"/>
        </w:rPr>
        <w:t>The call for interest will be followed by rapid innovation and learning sprint</w:t>
      </w:r>
      <w:r w:rsidRPr="00306F4D">
        <w:rPr>
          <w:rFonts w:ascii="Arial" w:eastAsia="Arial" w:hAnsi="Arial" w:cs="Arial"/>
          <w:color w:val="auto"/>
          <w:sz w:val="20"/>
          <w:szCs w:val="20"/>
        </w:rPr>
        <w:t xml:space="preserve"> designed to strengthen concept development and ensure genuine innovation before full proposal development. Selected applicants will participate in intensive, short-term collaborative workshops that combine peer learning</w:t>
      </w:r>
      <w:r w:rsidR="00C906D7" w:rsidRPr="00306F4D">
        <w:rPr>
          <w:rFonts w:ascii="Arial" w:eastAsia="Arial" w:hAnsi="Arial" w:cs="Arial"/>
          <w:color w:val="auto"/>
          <w:sz w:val="20"/>
          <w:szCs w:val="20"/>
        </w:rPr>
        <w:t xml:space="preserve"> and</w:t>
      </w:r>
      <w:r w:rsidRPr="00306F4D">
        <w:rPr>
          <w:rFonts w:ascii="Arial" w:eastAsia="Arial" w:hAnsi="Arial" w:cs="Arial"/>
          <w:color w:val="auto"/>
          <w:sz w:val="20"/>
          <w:szCs w:val="20"/>
        </w:rPr>
        <w:t xml:space="preserve"> technical mentorship, </w:t>
      </w:r>
      <w:r w:rsidR="00C906D7" w:rsidRPr="00306F4D">
        <w:rPr>
          <w:rFonts w:ascii="Arial" w:eastAsia="Arial" w:hAnsi="Arial" w:cs="Arial"/>
          <w:color w:val="auto"/>
          <w:sz w:val="20"/>
          <w:szCs w:val="20"/>
        </w:rPr>
        <w:t>for participants to hands-on improve their initial concepts</w:t>
      </w:r>
      <w:r w:rsidRPr="00306F4D">
        <w:rPr>
          <w:rFonts w:ascii="Arial" w:eastAsia="Arial" w:hAnsi="Arial" w:cs="Arial"/>
          <w:color w:val="auto"/>
          <w:sz w:val="20"/>
          <w:szCs w:val="20"/>
        </w:rPr>
        <w:t>. Th</w:t>
      </w:r>
      <w:r w:rsidR="00C906D7" w:rsidRPr="00306F4D">
        <w:rPr>
          <w:rFonts w:ascii="Arial" w:eastAsia="Arial" w:hAnsi="Arial" w:cs="Arial"/>
          <w:color w:val="auto"/>
          <w:sz w:val="20"/>
          <w:szCs w:val="20"/>
        </w:rPr>
        <w:t>is</w:t>
      </w:r>
      <w:r w:rsidRPr="00306F4D">
        <w:rPr>
          <w:rFonts w:ascii="Arial" w:eastAsia="Arial" w:hAnsi="Arial" w:cs="Arial"/>
          <w:color w:val="auto"/>
          <w:sz w:val="20"/>
          <w:szCs w:val="20"/>
        </w:rPr>
        <w:t xml:space="preserve"> sprint will specifically focus on validating the innovation potential of concepts, identifying implementation challenges early, and incorporating lessons from similar initiatives globally. This front-loaded learning approach ensures that only truly innovative, well-designed, and </w:t>
      </w:r>
      <w:proofErr w:type="gramStart"/>
      <w:r w:rsidRPr="00306F4D">
        <w:rPr>
          <w:rFonts w:ascii="Arial" w:eastAsia="Arial" w:hAnsi="Arial" w:cs="Arial"/>
          <w:color w:val="auto"/>
          <w:sz w:val="20"/>
          <w:szCs w:val="20"/>
        </w:rPr>
        <w:t>locally-grounded</w:t>
      </w:r>
      <w:proofErr w:type="gramEnd"/>
      <w:r w:rsidRPr="00306F4D">
        <w:rPr>
          <w:rFonts w:ascii="Arial" w:eastAsia="Arial" w:hAnsi="Arial" w:cs="Arial"/>
          <w:color w:val="auto"/>
          <w:sz w:val="20"/>
          <w:szCs w:val="20"/>
        </w:rPr>
        <w:t xml:space="preserve"> solutions advance to full proposal development and implementation, while building the capacity of local innovators throughout the process. </w:t>
      </w:r>
      <w:r w:rsidR="005158F7" w:rsidRPr="00306F4D">
        <w:rPr>
          <w:rFonts w:ascii="Arial" w:eastAsia="Arial" w:hAnsi="Arial" w:cs="Arial"/>
          <w:color w:val="auto"/>
          <w:sz w:val="20"/>
          <w:szCs w:val="20"/>
        </w:rPr>
        <w:t xml:space="preserve">The full </w:t>
      </w:r>
      <w:r w:rsidRPr="00306F4D">
        <w:rPr>
          <w:rFonts w:ascii="Arial" w:eastAsia="Arial" w:hAnsi="Arial" w:cs="Arial"/>
          <w:color w:val="auto"/>
          <w:sz w:val="20"/>
          <w:szCs w:val="20"/>
        </w:rPr>
        <w:t xml:space="preserve">design of the call for interest and the structure of </w:t>
      </w:r>
      <w:r w:rsidR="005E6EF4" w:rsidRPr="00306F4D">
        <w:rPr>
          <w:rFonts w:ascii="Arial" w:eastAsia="Arial" w:hAnsi="Arial" w:cs="Arial"/>
          <w:color w:val="auto"/>
          <w:sz w:val="20"/>
          <w:szCs w:val="20"/>
        </w:rPr>
        <w:t>innovation</w:t>
      </w:r>
      <w:r w:rsidRPr="00306F4D">
        <w:rPr>
          <w:rFonts w:ascii="Arial" w:eastAsia="Arial" w:hAnsi="Arial" w:cs="Arial"/>
          <w:color w:val="auto"/>
          <w:sz w:val="20"/>
          <w:szCs w:val="20"/>
        </w:rPr>
        <w:t xml:space="preserve"> and learning sprints will be developed </w:t>
      </w:r>
      <w:r w:rsidR="00375246" w:rsidRPr="00306F4D">
        <w:rPr>
          <w:rFonts w:ascii="Arial" w:eastAsia="Arial" w:hAnsi="Arial" w:cs="Arial"/>
          <w:color w:val="auto"/>
          <w:sz w:val="20"/>
          <w:szCs w:val="20"/>
        </w:rPr>
        <w:t xml:space="preserve">- during the outreach and initiation phase - </w:t>
      </w:r>
      <w:r w:rsidRPr="00306F4D">
        <w:rPr>
          <w:rFonts w:ascii="Arial" w:eastAsia="Arial" w:hAnsi="Arial" w:cs="Arial"/>
          <w:color w:val="auto"/>
          <w:sz w:val="20"/>
          <w:szCs w:val="20"/>
        </w:rPr>
        <w:t>by the project team, drawing on</w:t>
      </w:r>
      <w:r w:rsidR="00CB05B6" w:rsidRPr="00306F4D">
        <w:rPr>
          <w:rFonts w:ascii="Arial" w:eastAsia="Arial" w:hAnsi="Arial" w:cs="Arial"/>
          <w:color w:val="auto"/>
          <w:sz w:val="20"/>
          <w:szCs w:val="20"/>
        </w:rPr>
        <w:t xml:space="preserve"> UNDP’s regional capabilities on</w:t>
      </w:r>
      <w:r w:rsidRPr="00306F4D">
        <w:rPr>
          <w:rFonts w:ascii="Arial" w:eastAsia="Arial" w:hAnsi="Arial" w:cs="Arial"/>
          <w:color w:val="auto"/>
          <w:sz w:val="20"/>
          <w:szCs w:val="20"/>
        </w:rPr>
        <w:t xml:space="preserve"> </w:t>
      </w:r>
      <w:r w:rsidR="00CB05B6" w:rsidRPr="00306F4D">
        <w:rPr>
          <w:rFonts w:ascii="Arial" w:eastAsia="Arial" w:hAnsi="Arial" w:cs="Arial"/>
          <w:color w:val="auto"/>
          <w:sz w:val="20"/>
          <w:szCs w:val="20"/>
        </w:rPr>
        <w:t xml:space="preserve">innovation and peer </w:t>
      </w:r>
      <w:r w:rsidR="005E6EF4" w:rsidRPr="00306F4D">
        <w:rPr>
          <w:rFonts w:ascii="Arial" w:eastAsia="Arial" w:hAnsi="Arial" w:cs="Arial"/>
          <w:color w:val="auto"/>
          <w:sz w:val="20"/>
          <w:szCs w:val="20"/>
        </w:rPr>
        <w:t xml:space="preserve">learning </w:t>
      </w:r>
      <w:r w:rsidRPr="00306F4D">
        <w:rPr>
          <w:rFonts w:ascii="Arial" w:eastAsia="Arial" w:hAnsi="Arial" w:cs="Arial"/>
          <w:color w:val="auto"/>
          <w:sz w:val="20"/>
          <w:szCs w:val="20"/>
        </w:rPr>
        <w:t>practices</w:t>
      </w:r>
      <w:r w:rsidR="00CB05B6" w:rsidRPr="00306F4D">
        <w:rPr>
          <w:rFonts w:ascii="Arial" w:eastAsia="Arial" w:hAnsi="Arial" w:cs="Arial"/>
          <w:color w:val="auto"/>
          <w:sz w:val="20"/>
          <w:szCs w:val="20"/>
        </w:rPr>
        <w:t>.</w:t>
      </w:r>
    </w:p>
    <w:p w14:paraId="00537CC3" w14:textId="04BC7262" w:rsidR="00D17625" w:rsidRPr="00306F4D" w:rsidRDefault="00D17625" w:rsidP="00BB20FF">
      <w:pPr>
        <w:spacing w:before="240" w:after="240" w:line="276" w:lineRule="auto"/>
        <w:jc w:val="both"/>
        <w:rPr>
          <w:rFonts w:ascii="Arial" w:eastAsia="Arial" w:hAnsi="Arial" w:cs="Arial"/>
          <w:color w:val="auto"/>
          <w:sz w:val="20"/>
          <w:szCs w:val="20"/>
        </w:rPr>
      </w:pPr>
      <w:r w:rsidRPr="00306F4D">
        <w:rPr>
          <w:rFonts w:ascii="Arial" w:eastAsia="Arial" w:hAnsi="Arial" w:cs="Arial"/>
          <w:color w:val="auto"/>
          <w:sz w:val="20"/>
          <w:szCs w:val="20"/>
        </w:rPr>
        <w:t>The below figure</w:t>
      </w:r>
      <w:r w:rsidR="00886266" w:rsidRPr="00306F4D">
        <w:rPr>
          <w:rFonts w:ascii="Arial" w:eastAsia="Arial" w:hAnsi="Arial" w:cs="Arial"/>
          <w:color w:val="auto"/>
          <w:sz w:val="20"/>
          <w:szCs w:val="20"/>
        </w:rPr>
        <w:t xml:space="preserve"> </w:t>
      </w:r>
      <w:r w:rsidR="00886266" w:rsidRPr="00306F4D">
        <w:rPr>
          <w:rFonts w:ascii="Arial" w:eastAsia="Arial" w:hAnsi="Arial" w:cs="Arial"/>
          <w:b/>
          <w:color w:val="auto"/>
          <w:sz w:val="20"/>
          <w:szCs w:val="20"/>
        </w:rPr>
        <w:t>(</w:t>
      </w:r>
      <w:r w:rsidR="042C1446" w:rsidRPr="00306F4D">
        <w:rPr>
          <w:rFonts w:ascii="Arial" w:eastAsia="Arial" w:hAnsi="Arial" w:cs="Arial"/>
          <w:b/>
          <w:color w:val="auto"/>
          <w:sz w:val="20"/>
          <w:szCs w:val="20"/>
        </w:rPr>
        <w:t>F</w:t>
      </w:r>
      <w:r w:rsidR="544DFC17" w:rsidRPr="00306F4D">
        <w:rPr>
          <w:rFonts w:ascii="Arial" w:eastAsia="Arial" w:hAnsi="Arial" w:cs="Arial"/>
          <w:b/>
          <w:color w:val="auto"/>
          <w:sz w:val="20"/>
          <w:szCs w:val="20"/>
        </w:rPr>
        <w:t>igure</w:t>
      </w:r>
      <w:r w:rsidR="165CA5D7" w:rsidRPr="00306F4D">
        <w:rPr>
          <w:rFonts w:ascii="Arial" w:eastAsia="Arial" w:hAnsi="Arial" w:cs="Arial"/>
          <w:b/>
          <w:color w:val="auto"/>
          <w:sz w:val="20"/>
          <w:szCs w:val="20"/>
        </w:rPr>
        <w:t>13</w:t>
      </w:r>
      <w:r w:rsidR="544DFC17" w:rsidRPr="00306F4D">
        <w:rPr>
          <w:rFonts w:ascii="Arial" w:eastAsia="Arial" w:hAnsi="Arial" w:cs="Arial"/>
          <w:b/>
          <w:color w:val="auto"/>
          <w:sz w:val="20"/>
          <w:szCs w:val="20"/>
        </w:rPr>
        <w:t>)</w:t>
      </w:r>
      <w:r w:rsidRPr="00306F4D">
        <w:rPr>
          <w:rFonts w:ascii="Arial" w:eastAsia="Arial" w:hAnsi="Arial" w:cs="Arial"/>
          <w:color w:val="auto"/>
          <w:sz w:val="20"/>
          <w:szCs w:val="20"/>
        </w:rPr>
        <w:t xml:space="preserve"> illustrates </w:t>
      </w:r>
      <w:r w:rsidR="00A323C4" w:rsidRPr="00306F4D">
        <w:rPr>
          <w:rFonts w:ascii="Arial" w:eastAsia="Arial" w:hAnsi="Arial" w:cs="Arial"/>
          <w:color w:val="auto"/>
          <w:sz w:val="20"/>
          <w:szCs w:val="20"/>
        </w:rPr>
        <w:t>the process</w:t>
      </w:r>
      <w:r w:rsidR="00886266" w:rsidRPr="00306F4D">
        <w:rPr>
          <w:rFonts w:ascii="Arial" w:eastAsia="Arial" w:hAnsi="Arial" w:cs="Arial"/>
          <w:color w:val="auto"/>
          <w:sz w:val="20"/>
          <w:szCs w:val="20"/>
        </w:rPr>
        <w:t xml:space="preserve"> from </w:t>
      </w:r>
      <w:proofErr w:type="gramStart"/>
      <w:r w:rsidR="00B021C7" w:rsidRPr="00306F4D">
        <w:rPr>
          <w:rFonts w:ascii="Arial" w:eastAsia="Arial" w:hAnsi="Arial" w:cs="Arial"/>
          <w:color w:val="auto"/>
          <w:sz w:val="20"/>
          <w:szCs w:val="20"/>
        </w:rPr>
        <w:t>Regional</w:t>
      </w:r>
      <w:proofErr w:type="gramEnd"/>
      <w:r w:rsidR="00B021C7" w:rsidRPr="00306F4D">
        <w:rPr>
          <w:rFonts w:ascii="Arial" w:eastAsia="Arial" w:hAnsi="Arial" w:cs="Arial"/>
          <w:color w:val="auto"/>
          <w:sz w:val="20"/>
          <w:szCs w:val="20"/>
        </w:rPr>
        <w:t xml:space="preserve"> call for</w:t>
      </w:r>
      <w:r w:rsidR="00886266" w:rsidRPr="00306F4D">
        <w:rPr>
          <w:rFonts w:ascii="Arial" w:eastAsia="Arial" w:hAnsi="Arial" w:cs="Arial"/>
          <w:color w:val="auto"/>
          <w:sz w:val="20"/>
          <w:szCs w:val="20"/>
        </w:rPr>
        <w:t xml:space="preserve"> interest to selection</w:t>
      </w:r>
      <w:r w:rsidR="00FE3487" w:rsidRPr="00306F4D">
        <w:rPr>
          <w:rFonts w:ascii="Arial" w:eastAsia="Arial" w:hAnsi="Arial" w:cs="Arial"/>
          <w:color w:val="auto"/>
          <w:sz w:val="20"/>
          <w:szCs w:val="20"/>
        </w:rPr>
        <w:t xml:space="preserve"> of initiatives to fund</w:t>
      </w:r>
      <w:r w:rsidR="00886266" w:rsidRPr="00306F4D">
        <w:rPr>
          <w:rFonts w:ascii="Arial" w:eastAsia="Arial" w:hAnsi="Arial" w:cs="Arial"/>
          <w:color w:val="auto"/>
          <w:sz w:val="20"/>
          <w:szCs w:val="20"/>
        </w:rPr>
        <w:t>.</w:t>
      </w:r>
    </w:p>
    <w:p w14:paraId="2AAD4E8D" w14:textId="6A3FB19F" w:rsidR="00886266" w:rsidRPr="00306F4D" w:rsidRDefault="00886266" w:rsidP="00886266">
      <w:pPr>
        <w:pStyle w:val="Caption"/>
        <w:keepNext/>
        <w:jc w:val="both"/>
        <w:rPr>
          <w:rFonts w:eastAsia="Arial" w:cs="Arial"/>
        </w:rPr>
      </w:pPr>
      <w:r w:rsidRPr="00306F4D">
        <w:rPr>
          <w:rFonts w:eastAsia="Arial" w:cs="Arial"/>
        </w:rPr>
        <w:lastRenderedPageBreak/>
        <w:t xml:space="preserve">Figure </w:t>
      </w:r>
      <w:r w:rsidR="000B29E6" w:rsidRPr="00306F4D">
        <w:rPr>
          <w:rFonts w:eastAsia="Arial" w:cs="Arial"/>
        </w:rPr>
        <w:t>13</w:t>
      </w:r>
      <w:r w:rsidRPr="00306F4D">
        <w:rPr>
          <w:rFonts w:cs="Arial"/>
        </w:rPr>
        <w:fldChar w:fldCharType="begin"/>
      </w:r>
      <w:r w:rsidRPr="00306F4D">
        <w:rPr>
          <w:rFonts w:cs="Arial"/>
        </w:rPr>
        <w:instrText xml:space="preserve"> SEQ Figure \* ARABIC </w:instrText>
      </w:r>
      <w:r w:rsidRPr="00306F4D">
        <w:rPr>
          <w:rFonts w:cs="Arial"/>
        </w:rPr>
        <w:fldChar w:fldCharType="separate"/>
      </w:r>
      <w:r w:rsidRPr="00306F4D">
        <w:rPr>
          <w:rFonts w:cs="Arial"/>
        </w:rPr>
        <w:fldChar w:fldCharType="end"/>
      </w:r>
      <w:r w:rsidRPr="00306F4D">
        <w:rPr>
          <w:rFonts w:eastAsia="Arial" w:cs="Arial"/>
        </w:rPr>
        <w:t>: Regional Learning and Design Sprint</w:t>
      </w:r>
    </w:p>
    <w:p w14:paraId="1900BD6B" w14:textId="131404E9" w:rsidR="000624CB" w:rsidRPr="00306F4D" w:rsidRDefault="79831DBB" w:rsidP="4186447D">
      <w:pPr>
        <w:spacing w:before="240" w:after="240" w:line="276" w:lineRule="auto"/>
        <w:jc w:val="both"/>
        <w:rPr>
          <w:rFonts w:ascii="Arial" w:eastAsia="Arial" w:hAnsi="Arial" w:cs="Arial"/>
          <w:b/>
          <w:bCs/>
          <w:color w:val="000000" w:themeColor="text1"/>
          <w:sz w:val="20"/>
          <w:szCs w:val="20"/>
        </w:rPr>
      </w:pPr>
      <w:r w:rsidRPr="00306F4D">
        <w:rPr>
          <w:rFonts w:ascii="Arial" w:hAnsi="Arial" w:cs="Arial"/>
          <w:noProof/>
          <w:sz w:val="20"/>
          <w:szCs w:val="20"/>
        </w:rPr>
        <w:drawing>
          <wp:inline distT="0" distB="0" distL="0" distR="0" wp14:anchorId="5AC4B8B4" wp14:editId="4EB82EFE">
            <wp:extent cx="5943600" cy="2732405"/>
            <wp:effectExtent l="0" t="0" r="0" b="0"/>
            <wp:docPr id="2070794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794775" name=""/>
                    <pic:cNvPicPr/>
                  </pic:nvPicPr>
                  <pic:blipFill>
                    <a:blip r:embed="rId37"/>
                    <a:stretch>
                      <a:fillRect/>
                    </a:stretch>
                  </pic:blipFill>
                  <pic:spPr>
                    <a:xfrm>
                      <a:off x="0" y="0"/>
                      <a:ext cx="5943600" cy="2732405"/>
                    </a:xfrm>
                    <a:prstGeom prst="rect">
                      <a:avLst/>
                    </a:prstGeom>
                  </pic:spPr>
                </pic:pic>
              </a:graphicData>
            </a:graphic>
          </wp:inline>
        </w:drawing>
      </w:r>
    </w:p>
    <w:p w14:paraId="45F39016" w14:textId="6405BECF" w:rsidR="00476B7A" w:rsidRPr="00306F4D" w:rsidRDefault="00E40015" w:rsidP="00BB20FF">
      <w:pPr>
        <w:spacing w:before="240" w:after="240" w:line="276" w:lineRule="auto"/>
        <w:jc w:val="both"/>
        <w:rPr>
          <w:rFonts w:ascii="Arial" w:eastAsia="Arial" w:hAnsi="Arial" w:cs="Arial"/>
          <w:color w:val="auto"/>
          <w:sz w:val="20"/>
          <w:szCs w:val="20"/>
        </w:rPr>
      </w:pPr>
      <w:r w:rsidRPr="00306F4D">
        <w:rPr>
          <w:rFonts w:ascii="Arial" w:eastAsia="Arial" w:hAnsi="Arial" w:cs="Arial"/>
          <w:b/>
          <w:color w:val="000000" w:themeColor="text1"/>
          <w:sz w:val="20"/>
          <w:szCs w:val="20"/>
        </w:rPr>
        <w:t>R</w:t>
      </w:r>
      <w:r w:rsidR="00476B7A" w:rsidRPr="00306F4D">
        <w:rPr>
          <w:rFonts w:ascii="Arial" w:eastAsia="Arial" w:hAnsi="Arial" w:cs="Arial"/>
          <w:b/>
          <w:color w:val="000000" w:themeColor="text1"/>
          <w:sz w:val="20"/>
          <w:szCs w:val="20"/>
        </w:rPr>
        <w:t>egional call for interest</w:t>
      </w:r>
    </w:p>
    <w:p w14:paraId="39380104" w14:textId="474FCC67" w:rsidR="006158D6" w:rsidRPr="00306F4D" w:rsidRDefault="006158D6" w:rsidP="006158D6">
      <w:pPr>
        <w:pStyle w:val="Normal1"/>
        <w:spacing w:after="0"/>
        <w:contextualSpacing/>
        <w:rPr>
          <w:rFonts w:ascii="Arial" w:eastAsia="Arial" w:hAnsi="Arial" w:cs="Arial"/>
          <w:sz w:val="20"/>
          <w:szCs w:val="20"/>
        </w:rPr>
      </w:pPr>
      <w:r w:rsidRPr="00306F4D">
        <w:rPr>
          <w:rFonts w:ascii="Arial" w:eastAsia="Arial" w:hAnsi="Arial" w:cs="Arial"/>
          <w:sz w:val="20"/>
          <w:szCs w:val="20"/>
        </w:rPr>
        <w:t xml:space="preserve">To build a strong pipeline of </w:t>
      </w:r>
      <w:proofErr w:type="gramStart"/>
      <w:r w:rsidRPr="00306F4D">
        <w:rPr>
          <w:rFonts w:ascii="Arial" w:eastAsia="Arial" w:hAnsi="Arial" w:cs="Arial"/>
          <w:sz w:val="20"/>
          <w:szCs w:val="20"/>
        </w:rPr>
        <w:t>locally-led</w:t>
      </w:r>
      <w:proofErr w:type="gramEnd"/>
      <w:r w:rsidRPr="00306F4D">
        <w:rPr>
          <w:rFonts w:ascii="Arial" w:eastAsia="Arial" w:hAnsi="Arial" w:cs="Arial"/>
          <w:sz w:val="20"/>
          <w:szCs w:val="20"/>
        </w:rPr>
        <w:t xml:space="preserve"> adaptation innovations, the project will launch a comprehensive regional 'Call for Interest' targeting local NGOs, CSOs, MSMEs, cooperatives, and grassroots innovators across the four participating Western Balkan countries. This inclusive approach deliberately moves beyond traditional proposal-based funding to ensure that promising adaptation concepts from diverse actors</w:t>
      </w:r>
      <w:r w:rsidR="00DB6266" w:rsidRPr="00306F4D">
        <w:rPr>
          <w:rFonts w:ascii="Arial" w:eastAsia="Arial" w:hAnsi="Arial" w:cs="Arial"/>
          <w:sz w:val="20"/>
          <w:szCs w:val="20"/>
        </w:rPr>
        <w:t xml:space="preserve"> - </w:t>
      </w:r>
      <w:r w:rsidRPr="00306F4D">
        <w:rPr>
          <w:rFonts w:ascii="Arial" w:eastAsia="Arial" w:hAnsi="Arial" w:cs="Arial"/>
          <w:sz w:val="20"/>
          <w:szCs w:val="20"/>
        </w:rPr>
        <w:t>including those with limited proposal-writing capacity</w:t>
      </w:r>
      <w:r w:rsidR="00DB6266" w:rsidRPr="00306F4D">
        <w:rPr>
          <w:rFonts w:ascii="Arial" w:eastAsia="Arial" w:hAnsi="Arial" w:cs="Arial"/>
          <w:sz w:val="20"/>
          <w:szCs w:val="20"/>
        </w:rPr>
        <w:t xml:space="preserve"> - </w:t>
      </w:r>
      <w:r w:rsidRPr="00306F4D">
        <w:rPr>
          <w:rFonts w:ascii="Arial" w:eastAsia="Arial" w:hAnsi="Arial" w:cs="Arial"/>
          <w:sz w:val="20"/>
          <w:szCs w:val="20"/>
        </w:rPr>
        <w:t>can enter the innovation pipeline and receive tailored support for development.</w:t>
      </w:r>
    </w:p>
    <w:p w14:paraId="348BD996" w14:textId="771849F0" w:rsidR="006158D6" w:rsidRPr="00306F4D" w:rsidRDefault="006158D6" w:rsidP="006158D6">
      <w:pPr>
        <w:pStyle w:val="Normal1"/>
        <w:spacing w:after="0"/>
        <w:contextualSpacing/>
        <w:rPr>
          <w:rFonts w:ascii="Arial" w:eastAsia="Arial" w:hAnsi="Arial" w:cs="Arial"/>
          <w:sz w:val="20"/>
          <w:szCs w:val="20"/>
        </w:rPr>
      </w:pPr>
    </w:p>
    <w:p w14:paraId="0459F920" w14:textId="31A028FB" w:rsidR="00DB6266" w:rsidRPr="00306F4D" w:rsidRDefault="006158D6" w:rsidP="4186447D">
      <w:pPr>
        <w:pStyle w:val="Normal1"/>
        <w:spacing w:after="0"/>
        <w:contextualSpacing/>
        <w:rPr>
          <w:rFonts w:ascii="Arial" w:eastAsia="Arial" w:hAnsi="Arial" w:cs="Arial"/>
          <w:sz w:val="20"/>
          <w:szCs w:val="20"/>
        </w:rPr>
      </w:pPr>
      <w:r w:rsidRPr="00306F4D">
        <w:rPr>
          <w:rFonts w:ascii="Arial" w:eastAsia="Arial" w:hAnsi="Arial" w:cs="Arial"/>
          <w:sz w:val="20"/>
          <w:szCs w:val="20"/>
        </w:rPr>
        <w:t xml:space="preserve">The project </w:t>
      </w:r>
      <w:r w:rsidR="00DB6266" w:rsidRPr="00306F4D">
        <w:rPr>
          <w:rFonts w:ascii="Arial" w:eastAsia="Arial" w:hAnsi="Arial" w:cs="Arial"/>
          <w:sz w:val="20"/>
          <w:szCs w:val="20"/>
        </w:rPr>
        <w:t xml:space="preserve">team will ensure </w:t>
      </w:r>
      <w:r w:rsidRPr="00306F4D">
        <w:rPr>
          <w:rFonts w:ascii="Arial" w:eastAsia="Arial" w:hAnsi="Arial" w:cs="Arial"/>
          <w:sz w:val="20"/>
          <w:szCs w:val="20"/>
        </w:rPr>
        <w:t>robust outreach to maximize reach and ensure equitable access:</w:t>
      </w:r>
    </w:p>
    <w:p w14:paraId="1972C135" w14:textId="30CC6089" w:rsidR="006158D6" w:rsidRPr="00306F4D" w:rsidRDefault="006158D6" w:rsidP="00DC620C">
      <w:pPr>
        <w:pStyle w:val="Normal1"/>
        <w:numPr>
          <w:ilvl w:val="0"/>
          <w:numId w:val="83"/>
        </w:numPr>
        <w:spacing w:after="120"/>
        <w:rPr>
          <w:rFonts w:ascii="Arial" w:eastAsia="Arial" w:hAnsi="Arial" w:cs="Arial"/>
          <w:sz w:val="20"/>
          <w:szCs w:val="20"/>
        </w:rPr>
      </w:pPr>
      <w:r w:rsidRPr="00306F4D">
        <w:rPr>
          <w:rFonts w:ascii="Arial" w:eastAsia="Arial" w:hAnsi="Arial" w:cs="Arial"/>
          <w:b/>
          <w:sz w:val="20"/>
          <w:szCs w:val="20"/>
        </w:rPr>
        <w:t>Multi-channel outreach campaign</w:t>
      </w:r>
      <w:r w:rsidRPr="00306F4D">
        <w:rPr>
          <w:rFonts w:ascii="Arial" w:eastAsia="Arial" w:hAnsi="Arial" w:cs="Arial"/>
          <w:sz w:val="20"/>
          <w:szCs w:val="20"/>
        </w:rPr>
        <w:t>: Leveraging UNDP's extensive networks, partner organizations, civil society networks, business associations, academic institutions, and local government contacts to disseminate information through formal and informal channels</w:t>
      </w:r>
      <w:r w:rsidR="00463FFB" w:rsidRPr="00306F4D">
        <w:rPr>
          <w:rFonts w:ascii="Arial" w:eastAsia="Arial" w:hAnsi="Arial" w:cs="Arial"/>
          <w:sz w:val="20"/>
          <w:szCs w:val="20"/>
        </w:rPr>
        <w:t>.</w:t>
      </w:r>
      <w:r w:rsidR="00B37116" w:rsidRPr="00306F4D">
        <w:rPr>
          <w:rFonts w:ascii="Arial" w:eastAsia="Arial" w:hAnsi="Arial" w:cs="Arial"/>
          <w:sz w:val="20"/>
          <w:szCs w:val="20"/>
        </w:rPr>
        <w:t xml:space="preserve"> The project team will develop a visual identity of the </w:t>
      </w:r>
      <w:r w:rsidR="4587165A" w:rsidRPr="00306F4D">
        <w:rPr>
          <w:rFonts w:ascii="Arial" w:eastAsia="Arial" w:hAnsi="Arial" w:cs="Arial"/>
          <w:sz w:val="20"/>
          <w:szCs w:val="20"/>
        </w:rPr>
        <w:t>C</w:t>
      </w:r>
      <w:r w:rsidR="0DC5452F" w:rsidRPr="00306F4D">
        <w:rPr>
          <w:rFonts w:ascii="Arial" w:eastAsia="Arial" w:hAnsi="Arial" w:cs="Arial"/>
          <w:sz w:val="20"/>
          <w:szCs w:val="20"/>
        </w:rPr>
        <w:t>all for Interest</w:t>
      </w:r>
      <w:r w:rsidR="00423397" w:rsidRPr="00306F4D">
        <w:rPr>
          <w:rFonts w:ascii="Arial" w:eastAsia="Arial" w:hAnsi="Arial" w:cs="Arial"/>
          <w:sz w:val="20"/>
          <w:szCs w:val="20"/>
        </w:rPr>
        <w:t xml:space="preserve"> and the</w:t>
      </w:r>
      <w:r w:rsidR="00B56085" w:rsidRPr="00306F4D">
        <w:rPr>
          <w:rFonts w:ascii="Arial" w:eastAsia="Arial" w:hAnsi="Arial" w:cs="Arial"/>
          <w:sz w:val="20"/>
          <w:szCs w:val="20"/>
        </w:rPr>
        <w:t xml:space="preserve"> regional</w:t>
      </w:r>
      <w:r w:rsidR="00423397" w:rsidRPr="00306F4D">
        <w:rPr>
          <w:rFonts w:ascii="Arial" w:eastAsia="Arial" w:hAnsi="Arial" w:cs="Arial"/>
          <w:sz w:val="20"/>
          <w:szCs w:val="20"/>
        </w:rPr>
        <w:t xml:space="preserve"> </w:t>
      </w:r>
      <w:r w:rsidR="00B56085" w:rsidRPr="00306F4D">
        <w:rPr>
          <w:rFonts w:ascii="Arial" w:eastAsia="Arial" w:hAnsi="Arial" w:cs="Arial"/>
          <w:sz w:val="20"/>
          <w:szCs w:val="20"/>
        </w:rPr>
        <w:t>Innovation Facility for Climate Adaptation that generates attraction</w:t>
      </w:r>
      <w:r w:rsidR="00D02F3D" w:rsidRPr="00306F4D">
        <w:rPr>
          <w:rFonts w:ascii="Arial" w:eastAsia="Arial" w:hAnsi="Arial" w:cs="Arial"/>
          <w:sz w:val="20"/>
          <w:szCs w:val="20"/>
        </w:rPr>
        <w:t xml:space="preserve"> and interest from stakeholders</w:t>
      </w:r>
      <w:r w:rsidR="00B56085" w:rsidRPr="00306F4D">
        <w:rPr>
          <w:rFonts w:ascii="Arial" w:eastAsia="Arial" w:hAnsi="Arial" w:cs="Arial"/>
          <w:sz w:val="20"/>
          <w:szCs w:val="20"/>
        </w:rPr>
        <w:t xml:space="preserve">. </w:t>
      </w:r>
    </w:p>
    <w:p w14:paraId="626ABE48" w14:textId="6984A715" w:rsidR="006158D6" w:rsidRPr="00306F4D" w:rsidRDefault="006158D6" w:rsidP="00DC620C">
      <w:pPr>
        <w:pStyle w:val="Normal1"/>
        <w:numPr>
          <w:ilvl w:val="0"/>
          <w:numId w:val="83"/>
        </w:numPr>
        <w:spacing w:after="120"/>
        <w:rPr>
          <w:rFonts w:ascii="Arial" w:eastAsia="Arial" w:hAnsi="Arial" w:cs="Arial"/>
          <w:sz w:val="20"/>
          <w:szCs w:val="20"/>
        </w:rPr>
      </w:pPr>
      <w:r w:rsidRPr="00306F4D">
        <w:rPr>
          <w:rFonts w:ascii="Arial" w:eastAsia="Arial" w:hAnsi="Arial" w:cs="Arial"/>
          <w:b/>
          <w:sz w:val="20"/>
          <w:szCs w:val="20"/>
        </w:rPr>
        <w:t>Targeted communication</w:t>
      </w:r>
      <w:r w:rsidRPr="00306F4D">
        <w:rPr>
          <w:rFonts w:ascii="Arial" w:eastAsia="Arial" w:hAnsi="Arial" w:cs="Arial"/>
          <w:sz w:val="20"/>
          <w:szCs w:val="20"/>
        </w:rPr>
        <w:t xml:space="preserve">: Developing </w:t>
      </w:r>
      <w:proofErr w:type="gramStart"/>
      <w:r w:rsidRPr="00306F4D">
        <w:rPr>
          <w:rFonts w:ascii="Arial" w:eastAsia="Arial" w:hAnsi="Arial" w:cs="Arial"/>
          <w:sz w:val="20"/>
          <w:szCs w:val="20"/>
        </w:rPr>
        <w:t>locally-adapted</w:t>
      </w:r>
      <w:proofErr w:type="gramEnd"/>
      <w:r w:rsidRPr="00306F4D">
        <w:rPr>
          <w:rFonts w:ascii="Arial" w:eastAsia="Arial" w:hAnsi="Arial" w:cs="Arial"/>
          <w:sz w:val="20"/>
          <w:szCs w:val="20"/>
        </w:rPr>
        <w:t xml:space="preserve"> messaging and materials in all relevant local languages, with specific outreach efforts directed toward women-led organizations, youth groups, and marginalized communities including Roma, Vlachs, Gorani, and Egyptians</w:t>
      </w:r>
      <w:r w:rsidR="008670BE" w:rsidRPr="00306F4D">
        <w:rPr>
          <w:rFonts w:ascii="Arial" w:eastAsia="Arial" w:hAnsi="Arial" w:cs="Arial"/>
          <w:sz w:val="20"/>
          <w:szCs w:val="20"/>
        </w:rPr>
        <w:t>.</w:t>
      </w:r>
    </w:p>
    <w:p w14:paraId="3412BA8E" w14:textId="0327B9C7" w:rsidR="006158D6" w:rsidRPr="00306F4D" w:rsidRDefault="006158D6" w:rsidP="00DC620C">
      <w:pPr>
        <w:pStyle w:val="Normal1"/>
        <w:numPr>
          <w:ilvl w:val="0"/>
          <w:numId w:val="83"/>
        </w:numPr>
        <w:spacing w:after="120"/>
        <w:rPr>
          <w:rFonts w:ascii="Arial" w:eastAsia="Arial" w:hAnsi="Arial" w:cs="Arial"/>
          <w:sz w:val="20"/>
          <w:szCs w:val="20"/>
        </w:rPr>
      </w:pPr>
      <w:r w:rsidRPr="00306F4D">
        <w:rPr>
          <w:rFonts w:ascii="Arial" w:eastAsia="Arial" w:hAnsi="Arial" w:cs="Arial"/>
          <w:b/>
          <w:sz w:val="20"/>
          <w:szCs w:val="20"/>
        </w:rPr>
        <w:t>Information webinars and Q&amp;A sessions</w:t>
      </w:r>
      <w:r w:rsidRPr="00306F4D">
        <w:rPr>
          <w:rFonts w:ascii="Arial" w:eastAsia="Arial" w:hAnsi="Arial" w:cs="Arial"/>
          <w:sz w:val="20"/>
          <w:szCs w:val="20"/>
        </w:rPr>
        <w:t>: Hosting multiple information sessions in each country</w:t>
      </w:r>
      <w:r w:rsidR="00D02F3D" w:rsidRPr="00306F4D">
        <w:rPr>
          <w:rFonts w:ascii="Arial" w:eastAsia="Arial" w:hAnsi="Arial" w:cs="Arial"/>
          <w:sz w:val="20"/>
          <w:szCs w:val="20"/>
        </w:rPr>
        <w:t xml:space="preserve"> as needed</w:t>
      </w:r>
      <w:r w:rsidRPr="00306F4D">
        <w:rPr>
          <w:rFonts w:ascii="Arial" w:eastAsia="Arial" w:hAnsi="Arial" w:cs="Arial"/>
          <w:sz w:val="20"/>
          <w:szCs w:val="20"/>
        </w:rPr>
        <w:t>, offered in local languages and at different times to accommodate diverse schedules, with recordings made available for wider access</w:t>
      </w:r>
      <w:r w:rsidR="00463FFB" w:rsidRPr="00306F4D">
        <w:rPr>
          <w:rFonts w:ascii="Arial" w:eastAsia="Arial" w:hAnsi="Arial" w:cs="Arial"/>
          <w:sz w:val="20"/>
          <w:szCs w:val="20"/>
        </w:rPr>
        <w:t>.</w:t>
      </w:r>
    </w:p>
    <w:p w14:paraId="635438C0" w14:textId="42BE54E8" w:rsidR="49C6F20D" w:rsidRPr="00306F4D" w:rsidRDefault="080352A4" w:rsidP="00DC620C">
      <w:pPr>
        <w:pStyle w:val="Normal1"/>
        <w:numPr>
          <w:ilvl w:val="0"/>
          <w:numId w:val="83"/>
        </w:numPr>
        <w:spacing w:after="120"/>
        <w:rPr>
          <w:rFonts w:ascii="Arial" w:eastAsia="Arial" w:hAnsi="Arial" w:cs="Arial"/>
          <w:sz w:val="20"/>
          <w:szCs w:val="20"/>
        </w:rPr>
      </w:pPr>
      <w:r w:rsidRPr="00306F4D">
        <w:rPr>
          <w:rFonts w:ascii="Arial" w:eastAsia="Arial" w:hAnsi="Arial" w:cs="Arial"/>
          <w:b/>
          <w:sz w:val="20"/>
          <w:szCs w:val="20"/>
        </w:rPr>
        <w:t>Application support materials</w:t>
      </w:r>
      <w:r w:rsidRPr="00306F4D">
        <w:rPr>
          <w:rFonts w:ascii="Arial" w:eastAsia="Arial" w:hAnsi="Arial" w:cs="Arial"/>
          <w:sz w:val="20"/>
          <w:szCs w:val="20"/>
        </w:rPr>
        <w:t xml:space="preserve">: Creating </w:t>
      </w:r>
      <w:r w:rsidR="4398D1EF" w:rsidRPr="00306F4D">
        <w:rPr>
          <w:rFonts w:ascii="Arial" w:eastAsia="Arial" w:hAnsi="Arial" w:cs="Arial"/>
          <w:sz w:val="20"/>
          <w:szCs w:val="20"/>
        </w:rPr>
        <w:t xml:space="preserve">an </w:t>
      </w:r>
      <w:r w:rsidRPr="00306F4D">
        <w:rPr>
          <w:rFonts w:ascii="Arial" w:eastAsia="Arial" w:hAnsi="Arial" w:cs="Arial"/>
          <w:sz w:val="20"/>
          <w:szCs w:val="20"/>
        </w:rPr>
        <w:t>application guide</w:t>
      </w:r>
      <w:r w:rsidR="4398D1EF" w:rsidRPr="00306F4D">
        <w:rPr>
          <w:rFonts w:ascii="Arial" w:eastAsia="Arial" w:hAnsi="Arial" w:cs="Arial"/>
          <w:sz w:val="20"/>
          <w:szCs w:val="20"/>
        </w:rPr>
        <w:t>line and</w:t>
      </w:r>
      <w:r w:rsidRPr="00306F4D">
        <w:rPr>
          <w:rFonts w:ascii="Arial" w:eastAsia="Arial" w:hAnsi="Arial" w:cs="Arial"/>
          <w:sz w:val="20"/>
          <w:szCs w:val="20"/>
        </w:rPr>
        <w:t xml:space="preserve"> FAQ document that clearly explain the process, criteria, and expectations in accessible language</w:t>
      </w:r>
      <w:r w:rsidR="113F006B" w:rsidRPr="00306F4D">
        <w:rPr>
          <w:rFonts w:ascii="Arial" w:eastAsia="Arial" w:hAnsi="Arial" w:cs="Arial"/>
          <w:sz w:val="20"/>
          <w:szCs w:val="20"/>
        </w:rPr>
        <w:t xml:space="preserve">. </w:t>
      </w:r>
    </w:p>
    <w:p w14:paraId="59680264" w14:textId="05B5837B" w:rsidR="006158D6" w:rsidRPr="00306F4D" w:rsidRDefault="006158D6" w:rsidP="00213B71">
      <w:pPr>
        <w:pStyle w:val="Normal1"/>
        <w:spacing w:after="120"/>
        <w:rPr>
          <w:rFonts w:ascii="Arial" w:eastAsia="Arial" w:hAnsi="Arial" w:cs="Arial"/>
          <w:sz w:val="20"/>
          <w:szCs w:val="20"/>
        </w:rPr>
      </w:pPr>
      <w:r w:rsidRPr="00306F4D">
        <w:rPr>
          <w:rFonts w:ascii="Arial" w:eastAsia="Arial" w:hAnsi="Arial" w:cs="Arial"/>
          <w:sz w:val="20"/>
          <w:szCs w:val="20"/>
        </w:rPr>
        <w:t>The Call for Interest will utilize a streamlined application template</w:t>
      </w:r>
      <w:r w:rsidR="00D715A0" w:rsidRPr="00306F4D">
        <w:rPr>
          <w:rFonts w:ascii="Arial" w:eastAsia="Arial" w:hAnsi="Arial" w:cs="Arial"/>
          <w:sz w:val="20"/>
          <w:szCs w:val="20"/>
        </w:rPr>
        <w:t xml:space="preserve"> (online)</w:t>
      </w:r>
      <w:r w:rsidRPr="00306F4D">
        <w:rPr>
          <w:rFonts w:ascii="Arial" w:eastAsia="Arial" w:hAnsi="Arial" w:cs="Arial"/>
          <w:sz w:val="20"/>
          <w:szCs w:val="20"/>
        </w:rPr>
        <w:t xml:space="preserve"> requiring</w:t>
      </w:r>
      <w:r w:rsidR="00E85198" w:rsidRPr="00306F4D">
        <w:rPr>
          <w:rFonts w:ascii="Arial" w:eastAsia="Arial" w:hAnsi="Arial" w:cs="Arial"/>
          <w:sz w:val="20"/>
          <w:szCs w:val="20"/>
        </w:rPr>
        <w:t xml:space="preserve"> as a minimum</w:t>
      </w:r>
      <w:r w:rsidRPr="00306F4D">
        <w:rPr>
          <w:rFonts w:ascii="Arial" w:eastAsia="Arial" w:hAnsi="Arial" w:cs="Arial"/>
          <w:sz w:val="20"/>
          <w:szCs w:val="20"/>
        </w:rPr>
        <w:t>:</w:t>
      </w:r>
    </w:p>
    <w:p w14:paraId="06309D70" w14:textId="77777777" w:rsidR="006158D6" w:rsidRPr="00306F4D" w:rsidRDefault="006158D6" w:rsidP="00DC620C">
      <w:pPr>
        <w:pStyle w:val="Normal1"/>
        <w:numPr>
          <w:ilvl w:val="0"/>
          <w:numId w:val="84"/>
        </w:numPr>
        <w:spacing w:after="120"/>
        <w:rPr>
          <w:rFonts w:ascii="Arial" w:eastAsia="Arial" w:hAnsi="Arial" w:cs="Arial"/>
          <w:sz w:val="20"/>
          <w:szCs w:val="20"/>
        </w:rPr>
      </w:pPr>
      <w:r w:rsidRPr="00306F4D">
        <w:rPr>
          <w:rFonts w:ascii="Arial" w:eastAsia="Arial" w:hAnsi="Arial" w:cs="Arial"/>
          <w:sz w:val="20"/>
          <w:szCs w:val="20"/>
        </w:rPr>
        <w:t>Basic organizational information and legal status verification</w:t>
      </w:r>
    </w:p>
    <w:p w14:paraId="12147369" w14:textId="68B1E902" w:rsidR="006158D6" w:rsidRPr="00306F4D" w:rsidRDefault="006158D6" w:rsidP="00DC620C">
      <w:pPr>
        <w:pStyle w:val="Normal1"/>
        <w:numPr>
          <w:ilvl w:val="0"/>
          <w:numId w:val="84"/>
        </w:numPr>
        <w:spacing w:after="120"/>
        <w:rPr>
          <w:rFonts w:ascii="Arial" w:eastAsia="Arial" w:hAnsi="Arial" w:cs="Arial"/>
          <w:sz w:val="20"/>
          <w:szCs w:val="20"/>
        </w:rPr>
      </w:pPr>
      <w:r w:rsidRPr="00306F4D">
        <w:rPr>
          <w:rFonts w:ascii="Arial" w:eastAsia="Arial" w:hAnsi="Arial" w:cs="Arial"/>
          <w:sz w:val="20"/>
          <w:szCs w:val="20"/>
        </w:rPr>
        <w:t xml:space="preserve">Initial concept </w:t>
      </w:r>
      <w:r w:rsidR="00E62D6A" w:rsidRPr="00306F4D">
        <w:rPr>
          <w:rFonts w:ascii="Arial" w:eastAsia="Arial" w:hAnsi="Arial" w:cs="Arial"/>
          <w:sz w:val="20"/>
          <w:szCs w:val="20"/>
        </w:rPr>
        <w:t xml:space="preserve">idea </w:t>
      </w:r>
      <w:r w:rsidRPr="00306F4D">
        <w:rPr>
          <w:rFonts w:ascii="Arial" w:eastAsia="Arial" w:hAnsi="Arial" w:cs="Arial"/>
          <w:sz w:val="20"/>
          <w:szCs w:val="20"/>
        </w:rPr>
        <w:t xml:space="preserve">description using a standardized template that guides applicants </w:t>
      </w:r>
    </w:p>
    <w:p w14:paraId="359C2C95" w14:textId="57B38FBB" w:rsidR="006158D6" w:rsidRPr="00306F4D" w:rsidRDefault="006158D6" w:rsidP="00DC620C">
      <w:pPr>
        <w:pStyle w:val="Normal1"/>
        <w:numPr>
          <w:ilvl w:val="0"/>
          <w:numId w:val="84"/>
        </w:numPr>
        <w:spacing w:after="120"/>
        <w:rPr>
          <w:rFonts w:ascii="Arial" w:eastAsia="Arial" w:hAnsi="Arial" w:cs="Arial"/>
          <w:sz w:val="20"/>
          <w:szCs w:val="20"/>
        </w:rPr>
      </w:pPr>
      <w:r w:rsidRPr="00306F4D">
        <w:rPr>
          <w:rFonts w:ascii="Arial" w:eastAsia="Arial" w:hAnsi="Arial" w:cs="Arial"/>
          <w:sz w:val="20"/>
          <w:szCs w:val="20"/>
        </w:rPr>
        <w:lastRenderedPageBreak/>
        <w:t>Preliminary alignment with selection criteria (detailed in project annex) covering innovation potential, local relevance, climate adaptation impact, and inclusion considerations</w:t>
      </w:r>
    </w:p>
    <w:p w14:paraId="6494655D" w14:textId="3BBCD222" w:rsidR="00213B71" w:rsidRPr="00306F4D" w:rsidRDefault="006158D6" w:rsidP="00DC620C">
      <w:pPr>
        <w:pStyle w:val="Normal1"/>
        <w:numPr>
          <w:ilvl w:val="0"/>
          <w:numId w:val="84"/>
        </w:numPr>
        <w:spacing w:after="120"/>
        <w:rPr>
          <w:rFonts w:ascii="Arial" w:eastAsia="Arial" w:hAnsi="Arial" w:cs="Arial"/>
          <w:sz w:val="20"/>
          <w:szCs w:val="20"/>
        </w:rPr>
      </w:pPr>
      <w:r w:rsidRPr="00306F4D">
        <w:rPr>
          <w:rFonts w:ascii="Arial" w:eastAsia="Arial" w:hAnsi="Arial" w:cs="Arial"/>
          <w:sz w:val="20"/>
          <w:szCs w:val="20"/>
        </w:rPr>
        <w:t>Expression of commitment to participate in subsequent learning activities</w:t>
      </w:r>
    </w:p>
    <w:p w14:paraId="1C72CC82" w14:textId="77777777" w:rsidR="00282C0B" w:rsidRPr="00306F4D" w:rsidRDefault="008C42E5" w:rsidP="00213B71">
      <w:pPr>
        <w:pStyle w:val="Normal1"/>
        <w:spacing w:after="120"/>
        <w:rPr>
          <w:rFonts w:ascii="Arial" w:eastAsia="Arial" w:hAnsi="Arial" w:cs="Arial"/>
          <w:sz w:val="20"/>
          <w:szCs w:val="20"/>
        </w:rPr>
      </w:pPr>
      <w:r w:rsidRPr="00306F4D">
        <w:rPr>
          <w:rFonts w:ascii="Arial" w:eastAsia="Arial" w:hAnsi="Arial" w:cs="Arial"/>
          <w:sz w:val="20"/>
          <w:szCs w:val="20"/>
        </w:rPr>
        <w:t xml:space="preserve">The Call for Interest will be done at the regional level, however, translated and modified as needed </w:t>
      </w:r>
      <w:r w:rsidR="00282C0B" w:rsidRPr="00306F4D">
        <w:rPr>
          <w:rFonts w:ascii="Arial" w:eastAsia="Arial" w:hAnsi="Arial" w:cs="Arial"/>
          <w:sz w:val="20"/>
          <w:szCs w:val="20"/>
        </w:rPr>
        <w:t>by the country coordinators, including direct communication to applicants as needed.</w:t>
      </w:r>
    </w:p>
    <w:p w14:paraId="2C018989" w14:textId="5FBACDB7" w:rsidR="006158D6" w:rsidRPr="00306F4D" w:rsidRDefault="006158D6" w:rsidP="00213B71">
      <w:pPr>
        <w:pStyle w:val="Normal1"/>
        <w:spacing w:after="120"/>
        <w:rPr>
          <w:rFonts w:ascii="Arial" w:eastAsia="Arial" w:hAnsi="Arial" w:cs="Arial"/>
          <w:sz w:val="20"/>
          <w:szCs w:val="20"/>
        </w:rPr>
      </w:pPr>
      <w:r w:rsidRPr="00306F4D">
        <w:rPr>
          <w:rFonts w:ascii="Arial" w:eastAsia="Arial" w:hAnsi="Arial" w:cs="Arial"/>
          <w:sz w:val="20"/>
          <w:szCs w:val="20"/>
        </w:rPr>
        <w:t xml:space="preserve">Applications will undergo a </w:t>
      </w:r>
      <w:r w:rsidRPr="00306F4D">
        <w:rPr>
          <w:rFonts w:ascii="Arial" w:eastAsia="Arial" w:hAnsi="Arial" w:cs="Arial"/>
          <w:b/>
          <w:sz w:val="20"/>
          <w:szCs w:val="20"/>
        </w:rPr>
        <w:t>pass/fail assessment</w:t>
      </w:r>
      <w:r w:rsidRPr="00306F4D">
        <w:rPr>
          <w:rFonts w:ascii="Arial" w:eastAsia="Arial" w:hAnsi="Arial" w:cs="Arial"/>
          <w:sz w:val="20"/>
          <w:szCs w:val="20"/>
        </w:rPr>
        <w:t xml:space="preserve"> conducted by the extended regional project team </w:t>
      </w:r>
      <w:r w:rsidR="00797AB5" w:rsidRPr="00306F4D">
        <w:rPr>
          <w:rFonts w:ascii="Arial" w:eastAsia="Arial" w:hAnsi="Arial" w:cs="Arial"/>
          <w:sz w:val="20"/>
          <w:szCs w:val="20"/>
        </w:rPr>
        <w:t xml:space="preserve">(consisting of </w:t>
      </w:r>
      <w:r w:rsidRPr="00306F4D">
        <w:rPr>
          <w:rFonts w:ascii="Arial" w:eastAsia="Arial" w:hAnsi="Arial" w:cs="Arial"/>
          <w:sz w:val="20"/>
          <w:szCs w:val="20"/>
        </w:rPr>
        <w:t>all four UNDP country offices</w:t>
      </w:r>
      <w:r w:rsidR="00797AB5" w:rsidRPr="00306F4D">
        <w:rPr>
          <w:rFonts w:ascii="Arial" w:eastAsia="Arial" w:hAnsi="Arial" w:cs="Arial"/>
          <w:sz w:val="20"/>
          <w:szCs w:val="20"/>
        </w:rPr>
        <w:t xml:space="preserve"> and Istanbul Regional Hub)</w:t>
      </w:r>
      <w:r w:rsidRPr="00306F4D">
        <w:rPr>
          <w:rFonts w:ascii="Arial" w:eastAsia="Arial" w:hAnsi="Arial" w:cs="Arial"/>
          <w:sz w:val="20"/>
          <w:szCs w:val="20"/>
        </w:rPr>
        <w:t>, ensuring consistent standards while incorporating local contextual knowledge. The assessment will focus on basic eligibility, concept viability, and innovation potential rather than detailed technical merit</w:t>
      </w:r>
      <w:r w:rsidR="00416B4E" w:rsidRPr="00306F4D">
        <w:rPr>
          <w:rFonts w:ascii="Arial" w:eastAsia="Arial" w:hAnsi="Arial" w:cs="Arial"/>
          <w:sz w:val="20"/>
          <w:szCs w:val="20"/>
        </w:rPr>
        <w:t xml:space="preserve"> as this will be part of the </w:t>
      </w:r>
      <w:r w:rsidR="00297923" w:rsidRPr="00306F4D">
        <w:rPr>
          <w:rFonts w:ascii="Arial" w:eastAsia="Arial" w:hAnsi="Arial" w:cs="Arial"/>
          <w:sz w:val="20"/>
          <w:szCs w:val="20"/>
        </w:rPr>
        <w:t xml:space="preserve">full proposal development later. </w:t>
      </w:r>
    </w:p>
    <w:p w14:paraId="5206240F" w14:textId="483E1D3D" w:rsidR="006158D6" w:rsidRPr="00306F4D" w:rsidRDefault="006158D6" w:rsidP="00213B71">
      <w:pPr>
        <w:pStyle w:val="Normal1"/>
        <w:spacing w:after="120"/>
        <w:rPr>
          <w:rFonts w:ascii="Arial" w:eastAsia="Arial" w:hAnsi="Arial" w:cs="Arial"/>
          <w:sz w:val="20"/>
          <w:szCs w:val="20"/>
        </w:rPr>
      </w:pPr>
      <w:r w:rsidRPr="00306F4D">
        <w:rPr>
          <w:rFonts w:ascii="Arial" w:eastAsia="Arial" w:hAnsi="Arial" w:cs="Arial"/>
          <w:sz w:val="20"/>
          <w:szCs w:val="20"/>
        </w:rPr>
        <w:t xml:space="preserve">This approach is designed to create a </w:t>
      </w:r>
      <w:r w:rsidRPr="00306F4D">
        <w:rPr>
          <w:rFonts w:ascii="Arial" w:eastAsia="Arial" w:hAnsi="Arial" w:cs="Arial"/>
          <w:b/>
          <w:sz w:val="20"/>
          <w:szCs w:val="20"/>
        </w:rPr>
        <w:t>larger learning cohort</w:t>
      </w:r>
      <w:r w:rsidRPr="00306F4D">
        <w:rPr>
          <w:rFonts w:ascii="Arial" w:eastAsia="Arial" w:hAnsi="Arial" w:cs="Arial"/>
          <w:sz w:val="20"/>
          <w:szCs w:val="20"/>
        </w:rPr>
        <w:t xml:space="preserve"> </w:t>
      </w:r>
      <w:r w:rsidR="00297923" w:rsidRPr="00306F4D">
        <w:rPr>
          <w:rFonts w:ascii="Arial" w:eastAsia="Arial" w:hAnsi="Arial" w:cs="Arial"/>
          <w:sz w:val="20"/>
          <w:szCs w:val="20"/>
        </w:rPr>
        <w:t xml:space="preserve">(described in more details below) </w:t>
      </w:r>
      <w:r w:rsidRPr="00306F4D">
        <w:rPr>
          <w:rFonts w:ascii="Arial" w:eastAsia="Arial" w:hAnsi="Arial" w:cs="Arial"/>
          <w:sz w:val="20"/>
          <w:szCs w:val="20"/>
        </w:rPr>
        <w:t xml:space="preserve">than the final number of funded innovations, allowing for peer learning, cross-pollination of ideas, and </w:t>
      </w:r>
      <w:r w:rsidR="00CD1F7C" w:rsidRPr="00306F4D">
        <w:rPr>
          <w:rFonts w:ascii="Arial" w:eastAsia="Arial" w:hAnsi="Arial" w:cs="Arial"/>
          <w:sz w:val="20"/>
          <w:szCs w:val="20"/>
        </w:rPr>
        <w:t>further</w:t>
      </w:r>
      <w:r w:rsidRPr="00306F4D">
        <w:rPr>
          <w:rFonts w:ascii="Arial" w:eastAsia="Arial" w:hAnsi="Arial" w:cs="Arial"/>
          <w:sz w:val="20"/>
          <w:szCs w:val="20"/>
        </w:rPr>
        <w:t xml:space="preserve"> selection through the subsequent development process. Selected applicants will advance to the innovation and learning sprint phase, where they will refine their concepts before developing full proposals for final selection by the project's Selection Committee.</w:t>
      </w:r>
    </w:p>
    <w:p w14:paraId="50A244BD" w14:textId="57BF79D0" w:rsidR="006158D6" w:rsidRPr="00306F4D" w:rsidRDefault="006158D6" w:rsidP="00213B71">
      <w:pPr>
        <w:pStyle w:val="Normal1"/>
        <w:spacing w:after="120"/>
        <w:rPr>
          <w:rFonts w:ascii="Arial" w:eastAsia="Arial" w:hAnsi="Arial" w:cs="Arial"/>
          <w:sz w:val="20"/>
          <w:szCs w:val="20"/>
        </w:rPr>
      </w:pPr>
      <w:r w:rsidRPr="00306F4D">
        <w:rPr>
          <w:rFonts w:ascii="Arial" w:eastAsia="Arial" w:hAnsi="Arial" w:cs="Arial"/>
          <w:sz w:val="20"/>
          <w:szCs w:val="20"/>
        </w:rPr>
        <w:t>The Call for Interest serves as both an inclusive entry point and a capacity-</w:t>
      </w:r>
      <w:r w:rsidR="006E4824" w:rsidRPr="00306F4D">
        <w:rPr>
          <w:rFonts w:ascii="Arial" w:eastAsia="Arial" w:hAnsi="Arial" w:cs="Arial"/>
          <w:sz w:val="20"/>
          <w:szCs w:val="20"/>
        </w:rPr>
        <w:t>development</w:t>
      </w:r>
      <w:r w:rsidRPr="00306F4D">
        <w:rPr>
          <w:rFonts w:ascii="Arial" w:eastAsia="Arial" w:hAnsi="Arial" w:cs="Arial"/>
          <w:sz w:val="20"/>
          <w:szCs w:val="20"/>
        </w:rPr>
        <w:t xml:space="preserve"> mechanism, ensuring that the most promising </w:t>
      </w:r>
      <w:proofErr w:type="gramStart"/>
      <w:r w:rsidRPr="00306F4D">
        <w:rPr>
          <w:rFonts w:ascii="Arial" w:eastAsia="Arial" w:hAnsi="Arial" w:cs="Arial"/>
          <w:sz w:val="20"/>
          <w:szCs w:val="20"/>
        </w:rPr>
        <w:t>locally-led</w:t>
      </w:r>
      <w:proofErr w:type="gramEnd"/>
      <w:r w:rsidRPr="00306F4D">
        <w:rPr>
          <w:rFonts w:ascii="Arial" w:eastAsia="Arial" w:hAnsi="Arial" w:cs="Arial"/>
          <w:sz w:val="20"/>
          <w:szCs w:val="20"/>
        </w:rPr>
        <w:t xml:space="preserve"> adaptation innovations receive the support needed to develop into fundable, implementable solutions.</w:t>
      </w:r>
      <w:r w:rsidR="006E4824" w:rsidRPr="00306F4D">
        <w:rPr>
          <w:rFonts w:ascii="Arial" w:eastAsia="Arial" w:hAnsi="Arial" w:cs="Arial"/>
          <w:sz w:val="20"/>
          <w:szCs w:val="20"/>
        </w:rPr>
        <w:t xml:space="preserve"> </w:t>
      </w:r>
    </w:p>
    <w:p w14:paraId="10448FDF" w14:textId="65F8822F" w:rsidR="006158D6" w:rsidRPr="00306F4D" w:rsidRDefault="1AC80F37" w:rsidP="49C6F20D">
      <w:pPr>
        <w:pStyle w:val="Normal1"/>
        <w:spacing w:after="0" w:line="240" w:lineRule="auto"/>
        <w:contextualSpacing/>
        <w:rPr>
          <w:rFonts w:ascii="Arial" w:eastAsia="Arial" w:hAnsi="Arial" w:cs="Arial"/>
          <w:sz w:val="20"/>
          <w:szCs w:val="20"/>
        </w:rPr>
      </w:pPr>
      <w:r w:rsidRPr="00306F4D">
        <w:rPr>
          <w:rFonts w:ascii="Arial" w:eastAsia="Arial" w:hAnsi="Arial" w:cs="Arial"/>
          <w:sz w:val="20"/>
          <w:szCs w:val="20"/>
        </w:rPr>
        <w:t xml:space="preserve">This approach of maintaining a larger cohort of concepts, while recognizing that not all will reach full maturity for selection, provides UNDP and partners with a comprehensive landscape review of current climate adaptation innovation potential across the Western Balkans region and creates a valuable </w:t>
      </w:r>
      <w:r w:rsidRPr="00306F4D">
        <w:rPr>
          <w:rFonts w:ascii="Arial" w:eastAsia="Arial" w:hAnsi="Arial" w:cs="Arial"/>
          <w:b/>
          <w:sz w:val="20"/>
          <w:szCs w:val="20"/>
        </w:rPr>
        <w:t>'bank of ideas'</w:t>
      </w:r>
      <w:r w:rsidRPr="00306F4D">
        <w:rPr>
          <w:rFonts w:ascii="Arial" w:eastAsia="Arial" w:hAnsi="Arial" w:cs="Arial"/>
          <w:sz w:val="20"/>
          <w:szCs w:val="20"/>
        </w:rPr>
        <w:t xml:space="preserve"> that can be further refined, promoted, and potentially connected with alternative funding sources and opportunities beyond the project's direct support.</w:t>
      </w:r>
    </w:p>
    <w:p w14:paraId="2A95ABBE" w14:textId="7BA72081" w:rsidR="00E40015" w:rsidRPr="00306F4D" w:rsidRDefault="00E40015" w:rsidP="00BB20FF">
      <w:pPr>
        <w:spacing w:before="240" w:after="240" w:line="276" w:lineRule="auto"/>
        <w:jc w:val="both"/>
        <w:rPr>
          <w:rFonts w:ascii="Arial" w:eastAsia="Arial" w:hAnsi="Arial" w:cs="Arial"/>
          <w:b/>
          <w:color w:val="auto"/>
          <w:sz w:val="20"/>
          <w:szCs w:val="20"/>
        </w:rPr>
      </w:pPr>
      <w:r w:rsidRPr="00306F4D">
        <w:rPr>
          <w:rFonts w:ascii="Arial" w:eastAsia="Arial" w:hAnsi="Arial" w:cs="Arial"/>
          <w:b/>
          <w:color w:val="auto"/>
          <w:sz w:val="20"/>
          <w:szCs w:val="20"/>
        </w:rPr>
        <w:t>Regional Learning and Design Sprint</w:t>
      </w:r>
    </w:p>
    <w:p w14:paraId="010051CB" w14:textId="2D800634" w:rsidR="005F5DC8" w:rsidRPr="00306F4D" w:rsidRDefault="001230D3" w:rsidP="00680578">
      <w:pPr>
        <w:spacing w:after="120"/>
        <w:jc w:val="both"/>
        <w:rPr>
          <w:rFonts w:ascii="Arial" w:eastAsia="Arial" w:hAnsi="Arial" w:cs="Arial"/>
          <w:sz w:val="20"/>
          <w:szCs w:val="20"/>
        </w:rPr>
      </w:pPr>
      <w:r w:rsidRPr="00306F4D">
        <w:rPr>
          <w:rFonts w:ascii="Arial" w:eastAsia="Arial" w:hAnsi="Arial" w:cs="Arial"/>
          <w:sz w:val="20"/>
          <w:szCs w:val="20"/>
        </w:rPr>
        <w:t>Following the Call for Interest, the project will implement a</w:t>
      </w:r>
      <w:r w:rsidR="00946BF7" w:rsidRPr="00306F4D">
        <w:rPr>
          <w:rFonts w:ascii="Arial" w:eastAsia="Arial" w:hAnsi="Arial" w:cs="Arial"/>
          <w:sz w:val="20"/>
          <w:szCs w:val="20"/>
        </w:rPr>
        <w:t xml:space="preserve"> regional</w:t>
      </w:r>
      <w:r w:rsidRPr="00306F4D">
        <w:rPr>
          <w:rFonts w:ascii="Arial" w:eastAsia="Arial" w:hAnsi="Arial" w:cs="Arial"/>
          <w:sz w:val="20"/>
          <w:szCs w:val="20"/>
        </w:rPr>
        <w:t xml:space="preserve"> </w:t>
      </w:r>
      <w:r w:rsidRPr="00306F4D">
        <w:rPr>
          <w:rFonts w:ascii="Arial" w:eastAsia="Arial" w:hAnsi="Arial" w:cs="Arial"/>
          <w:b/>
          <w:sz w:val="20"/>
          <w:szCs w:val="20"/>
        </w:rPr>
        <w:t>Learning</w:t>
      </w:r>
      <w:r w:rsidR="00946BF7" w:rsidRPr="00306F4D">
        <w:rPr>
          <w:rFonts w:ascii="Arial" w:eastAsia="Arial" w:hAnsi="Arial" w:cs="Arial"/>
          <w:b/>
          <w:sz w:val="20"/>
          <w:szCs w:val="20"/>
        </w:rPr>
        <w:t xml:space="preserve"> and Design for Innovation</w:t>
      </w:r>
      <w:r w:rsidRPr="00306F4D">
        <w:rPr>
          <w:rFonts w:ascii="Arial" w:eastAsia="Arial" w:hAnsi="Arial" w:cs="Arial"/>
          <w:b/>
          <w:sz w:val="20"/>
          <w:szCs w:val="20"/>
        </w:rPr>
        <w:t xml:space="preserve"> Sprint</w:t>
      </w:r>
      <w:r w:rsidRPr="00306F4D">
        <w:rPr>
          <w:rFonts w:ascii="Arial" w:eastAsia="Arial" w:hAnsi="Arial" w:cs="Arial"/>
          <w:sz w:val="20"/>
          <w:szCs w:val="20"/>
        </w:rPr>
        <w:t xml:space="preserve"> designed to </w:t>
      </w:r>
      <w:r w:rsidR="000417BF" w:rsidRPr="00306F4D">
        <w:rPr>
          <w:rFonts w:ascii="Arial" w:eastAsia="Arial" w:hAnsi="Arial" w:cs="Arial"/>
          <w:sz w:val="20"/>
          <w:szCs w:val="20"/>
        </w:rPr>
        <w:t>further improve</w:t>
      </w:r>
      <w:r w:rsidRPr="00306F4D">
        <w:rPr>
          <w:rFonts w:ascii="Arial" w:eastAsia="Arial" w:hAnsi="Arial" w:cs="Arial"/>
          <w:sz w:val="20"/>
          <w:szCs w:val="20"/>
        </w:rPr>
        <w:t xml:space="preserve"> promising concepts into implementable adaptation solutions. This intensive capacity-</w:t>
      </w:r>
      <w:r w:rsidR="00946BF7" w:rsidRPr="00306F4D">
        <w:rPr>
          <w:rFonts w:ascii="Arial" w:eastAsia="Arial" w:hAnsi="Arial" w:cs="Arial"/>
          <w:sz w:val="20"/>
          <w:szCs w:val="20"/>
        </w:rPr>
        <w:t>development</w:t>
      </w:r>
      <w:r w:rsidRPr="00306F4D">
        <w:rPr>
          <w:rFonts w:ascii="Arial" w:eastAsia="Arial" w:hAnsi="Arial" w:cs="Arial"/>
          <w:sz w:val="20"/>
          <w:szCs w:val="20"/>
        </w:rPr>
        <w:t xml:space="preserve"> </w:t>
      </w:r>
      <w:r w:rsidR="00946BF7" w:rsidRPr="00306F4D">
        <w:rPr>
          <w:rFonts w:ascii="Arial" w:eastAsia="Arial" w:hAnsi="Arial" w:cs="Arial"/>
          <w:sz w:val="20"/>
          <w:szCs w:val="20"/>
        </w:rPr>
        <w:t>sprint</w:t>
      </w:r>
      <w:r w:rsidRPr="00306F4D">
        <w:rPr>
          <w:rFonts w:ascii="Arial" w:eastAsia="Arial" w:hAnsi="Arial" w:cs="Arial"/>
          <w:sz w:val="20"/>
          <w:szCs w:val="20"/>
        </w:rPr>
        <w:t xml:space="preserve"> serves dual purposes: strengthening individual project concepts </w:t>
      </w:r>
      <w:r w:rsidR="000C18B5" w:rsidRPr="00306F4D">
        <w:rPr>
          <w:rFonts w:ascii="Arial" w:eastAsia="Arial" w:hAnsi="Arial" w:cs="Arial"/>
          <w:sz w:val="20"/>
          <w:szCs w:val="20"/>
        </w:rPr>
        <w:t xml:space="preserve">building on a tested process </w:t>
      </w:r>
      <w:r w:rsidR="005F5DC8" w:rsidRPr="00306F4D">
        <w:rPr>
          <w:rFonts w:ascii="Arial" w:eastAsia="Arial" w:hAnsi="Arial" w:cs="Arial"/>
          <w:sz w:val="20"/>
          <w:szCs w:val="20"/>
        </w:rPr>
        <w:t xml:space="preserve">and embedding experience from outside the Western Balkans </w:t>
      </w:r>
      <w:r w:rsidRPr="00306F4D">
        <w:rPr>
          <w:rFonts w:ascii="Arial" w:eastAsia="Arial" w:hAnsi="Arial" w:cs="Arial"/>
          <w:sz w:val="20"/>
          <w:szCs w:val="20"/>
        </w:rPr>
        <w:t>while fostering peer learning among the selected cohort.</w:t>
      </w:r>
    </w:p>
    <w:p w14:paraId="4C0DDF59" w14:textId="293644AE" w:rsidR="001230D3" w:rsidRPr="00306F4D" w:rsidRDefault="001230D3" w:rsidP="00680578">
      <w:pPr>
        <w:spacing w:after="120"/>
        <w:jc w:val="both"/>
        <w:rPr>
          <w:rFonts w:ascii="Arial" w:eastAsia="Arial" w:hAnsi="Arial" w:cs="Arial"/>
          <w:sz w:val="20"/>
          <w:szCs w:val="20"/>
        </w:rPr>
      </w:pPr>
      <w:r w:rsidRPr="00306F4D">
        <w:rPr>
          <w:rFonts w:ascii="Arial" w:eastAsia="Arial" w:hAnsi="Arial" w:cs="Arial"/>
          <w:sz w:val="20"/>
          <w:szCs w:val="20"/>
        </w:rPr>
        <w:t xml:space="preserve">The Sprint will be co-designed and facilitated </w:t>
      </w:r>
      <w:r w:rsidR="00FF1C7F" w:rsidRPr="00306F4D">
        <w:rPr>
          <w:rFonts w:ascii="Arial" w:eastAsia="Arial" w:hAnsi="Arial" w:cs="Arial"/>
          <w:sz w:val="20"/>
          <w:szCs w:val="20"/>
        </w:rPr>
        <w:t xml:space="preserve">in-house </w:t>
      </w:r>
      <w:r w:rsidRPr="00306F4D">
        <w:rPr>
          <w:rFonts w:ascii="Arial" w:eastAsia="Arial" w:hAnsi="Arial" w:cs="Arial"/>
          <w:sz w:val="20"/>
          <w:szCs w:val="20"/>
        </w:rPr>
        <w:t>by UNDP</w:t>
      </w:r>
      <w:r w:rsidR="00FF1C7F" w:rsidRPr="00306F4D">
        <w:rPr>
          <w:rFonts w:ascii="Arial" w:eastAsia="Arial" w:hAnsi="Arial" w:cs="Arial"/>
          <w:sz w:val="20"/>
          <w:szCs w:val="20"/>
        </w:rPr>
        <w:t xml:space="preserve">, building on </w:t>
      </w:r>
      <w:r w:rsidR="00F82461" w:rsidRPr="00306F4D">
        <w:rPr>
          <w:rFonts w:ascii="Arial" w:eastAsia="Arial" w:hAnsi="Arial" w:cs="Arial"/>
          <w:sz w:val="20"/>
          <w:szCs w:val="20"/>
        </w:rPr>
        <w:t xml:space="preserve">similar </w:t>
      </w:r>
      <w:r w:rsidR="00FF1C7F" w:rsidRPr="00306F4D">
        <w:rPr>
          <w:rFonts w:ascii="Arial" w:eastAsia="Arial" w:hAnsi="Arial" w:cs="Arial"/>
          <w:sz w:val="20"/>
          <w:szCs w:val="20"/>
        </w:rPr>
        <w:t xml:space="preserve">previous </w:t>
      </w:r>
      <w:r w:rsidR="0031027A" w:rsidRPr="00306F4D">
        <w:rPr>
          <w:rFonts w:ascii="Arial" w:eastAsia="Arial" w:hAnsi="Arial" w:cs="Arial"/>
          <w:sz w:val="20"/>
          <w:szCs w:val="20"/>
        </w:rPr>
        <w:t>examples, and will bring in global and regional expertise as needed</w:t>
      </w:r>
      <w:r w:rsidRPr="00306F4D">
        <w:rPr>
          <w:rFonts w:ascii="Arial" w:eastAsia="Arial" w:hAnsi="Arial" w:cs="Arial"/>
          <w:sz w:val="20"/>
          <w:szCs w:val="20"/>
        </w:rPr>
        <w:t>. The program will</w:t>
      </w:r>
      <w:r w:rsidR="002F58BF" w:rsidRPr="00306F4D">
        <w:rPr>
          <w:rFonts w:ascii="Arial" w:eastAsia="Arial" w:hAnsi="Arial" w:cs="Arial"/>
          <w:sz w:val="20"/>
          <w:szCs w:val="20"/>
        </w:rPr>
        <w:t xml:space="preserve"> be carried out over 6-8 weeks and</w:t>
      </w:r>
      <w:r w:rsidRPr="00306F4D">
        <w:rPr>
          <w:rFonts w:ascii="Arial" w:eastAsia="Arial" w:hAnsi="Arial" w:cs="Arial"/>
          <w:sz w:val="20"/>
          <w:szCs w:val="20"/>
        </w:rPr>
        <w:t xml:space="preserve"> utilize a blended approach featuring:</w:t>
      </w:r>
    </w:p>
    <w:p w14:paraId="4B3E26F5" w14:textId="4DD31A96" w:rsidR="001230D3" w:rsidRPr="00306F4D" w:rsidRDefault="00251873" w:rsidP="00DC620C">
      <w:pPr>
        <w:numPr>
          <w:ilvl w:val="0"/>
          <w:numId w:val="85"/>
        </w:numPr>
        <w:spacing w:after="120"/>
        <w:jc w:val="both"/>
        <w:rPr>
          <w:rFonts w:ascii="Arial" w:eastAsia="Arial" w:hAnsi="Arial" w:cs="Arial"/>
          <w:sz w:val="20"/>
          <w:szCs w:val="20"/>
        </w:rPr>
      </w:pPr>
      <w:r w:rsidRPr="00306F4D">
        <w:rPr>
          <w:rFonts w:ascii="Arial" w:eastAsia="Arial" w:hAnsi="Arial" w:cs="Arial"/>
          <w:b/>
          <w:sz w:val="20"/>
          <w:szCs w:val="20"/>
        </w:rPr>
        <w:t>Virtual</w:t>
      </w:r>
      <w:r w:rsidR="001230D3" w:rsidRPr="00306F4D">
        <w:rPr>
          <w:rFonts w:ascii="Arial" w:eastAsia="Arial" w:hAnsi="Arial" w:cs="Arial"/>
          <w:b/>
          <w:sz w:val="20"/>
          <w:szCs w:val="20"/>
        </w:rPr>
        <w:t xml:space="preserve"> regional workshops</w:t>
      </w:r>
      <w:r w:rsidR="001230D3" w:rsidRPr="00306F4D">
        <w:rPr>
          <w:rFonts w:ascii="Arial" w:eastAsia="Arial" w:hAnsi="Arial" w:cs="Arial"/>
          <w:sz w:val="20"/>
          <w:szCs w:val="20"/>
        </w:rPr>
        <w:t xml:space="preserve"> bringing the full cohort together for intensive collaborative sessions</w:t>
      </w:r>
    </w:p>
    <w:p w14:paraId="2A6965BD" w14:textId="07CC9CA7" w:rsidR="001230D3" w:rsidRPr="00306F4D" w:rsidRDefault="002E4E8A" w:rsidP="00DC620C">
      <w:pPr>
        <w:numPr>
          <w:ilvl w:val="0"/>
          <w:numId w:val="85"/>
        </w:numPr>
        <w:spacing w:after="120"/>
        <w:jc w:val="both"/>
        <w:rPr>
          <w:rFonts w:ascii="Arial" w:eastAsia="Arial" w:hAnsi="Arial" w:cs="Arial"/>
          <w:sz w:val="20"/>
          <w:szCs w:val="20"/>
        </w:rPr>
      </w:pPr>
      <w:r w:rsidRPr="00306F4D">
        <w:rPr>
          <w:rFonts w:ascii="Arial" w:eastAsia="Arial" w:hAnsi="Arial" w:cs="Arial"/>
          <w:b/>
          <w:sz w:val="20"/>
          <w:szCs w:val="20"/>
        </w:rPr>
        <w:t>“</w:t>
      </w:r>
      <w:r w:rsidR="00087370" w:rsidRPr="00306F4D">
        <w:rPr>
          <w:rFonts w:ascii="Arial" w:eastAsia="Arial" w:hAnsi="Arial" w:cs="Arial"/>
          <w:b/>
          <w:sz w:val="20"/>
          <w:szCs w:val="20"/>
        </w:rPr>
        <w:t>Test &amp; Refine H</w:t>
      </w:r>
      <w:r w:rsidRPr="00306F4D">
        <w:rPr>
          <w:rFonts w:ascii="Arial" w:eastAsia="Arial" w:hAnsi="Arial" w:cs="Arial"/>
          <w:b/>
          <w:sz w:val="20"/>
          <w:szCs w:val="20"/>
        </w:rPr>
        <w:t>omework”</w:t>
      </w:r>
      <w:r w:rsidR="001230D3" w:rsidRPr="00306F4D">
        <w:rPr>
          <w:rFonts w:ascii="Arial" w:eastAsia="Arial" w:hAnsi="Arial" w:cs="Arial"/>
          <w:b/>
          <w:sz w:val="20"/>
          <w:szCs w:val="20"/>
        </w:rPr>
        <w:t xml:space="preserve"> </w:t>
      </w:r>
      <w:r w:rsidR="001230D3" w:rsidRPr="00306F4D">
        <w:rPr>
          <w:rFonts w:ascii="Arial" w:eastAsia="Arial" w:hAnsi="Arial" w:cs="Arial"/>
          <w:sz w:val="20"/>
          <w:szCs w:val="20"/>
        </w:rPr>
        <w:t>enabling continuous engagement between face-to-face sessions</w:t>
      </w:r>
    </w:p>
    <w:p w14:paraId="2870CA3F" w14:textId="77777777" w:rsidR="001230D3" w:rsidRPr="00306F4D" w:rsidRDefault="001230D3" w:rsidP="00DC620C">
      <w:pPr>
        <w:numPr>
          <w:ilvl w:val="0"/>
          <w:numId w:val="85"/>
        </w:numPr>
        <w:spacing w:after="120"/>
        <w:jc w:val="both"/>
        <w:rPr>
          <w:rFonts w:ascii="Arial" w:eastAsia="Arial" w:hAnsi="Arial" w:cs="Arial"/>
          <w:sz w:val="20"/>
          <w:szCs w:val="20"/>
        </w:rPr>
      </w:pPr>
      <w:r w:rsidRPr="00306F4D">
        <w:rPr>
          <w:rFonts w:ascii="Arial" w:eastAsia="Arial" w:hAnsi="Arial" w:cs="Arial"/>
          <w:b/>
          <w:sz w:val="20"/>
          <w:szCs w:val="20"/>
        </w:rPr>
        <w:t>Peer-to-peer learning exchanges</w:t>
      </w:r>
      <w:r w:rsidRPr="00306F4D">
        <w:rPr>
          <w:rFonts w:ascii="Arial" w:eastAsia="Arial" w:hAnsi="Arial" w:cs="Arial"/>
          <w:sz w:val="20"/>
          <w:szCs w:val="20"/>
        </w:rPr>
        <w:t xml:space="preserve"> facilitating knowledge sharing across countries and sectors</w:t>
      </w:r>
    </w:p>
    <w:p w14:paraId="0A0B8A6A" w14:textId="7A7DC59B" w:rsidR="001230D3" w:rsidRPr="00306F4D" w:rsidRDefault="009031D6" w:rsidP="00DC620C">
      <w:pPr>
        <w:numPr>
          <w:ilvl w:val="0"/>
          <w:numId w:val="85"/>
        </w:numPr>
        <w:spacing w:after="120"/>
        <w:jc w:val="both"/>
        <w:rPr>
          <w:rFonts w:ascii="Arial" w:eastAsia="Arial" w:hAnsi="Arial" w:cs="Arial"/>
          <w:sz w:val="20"/>
          <w:szCs w:val="20"/>
        </w:rPr>
      </w:pPr>
      <w:r w:rsidRPr="00306F4D">
        <w:rPr>
          <w:rFonts w:ascii="Arial" w:eastAsia="Arial" w:hAnsi="Arial" w:cs="Arial"/>
          <w:b/>
          <w:sz w:val="20"/>
          <w:szCs w:val="20"/>
        </w:rPr>
        <w:t xml:space="preserve">Rapid </w:t>
      </w:r>
      <w:r w:rsidR="001230D3" w:rsidRPr="00306F4D">
        <w:rPr>
          <w:rFonts w:ascii="Arial" w:eastAsia="Arial" w:hAnsi="Arial" w:cs="Arial"/>
          <w:b/>
          <w:sz w:val="20"/>
          <w:szCs w:val="20"/>
        </w:rPr>
        <w:t>Individual mentorship</w:t>
      </w:r>
      <w:r w:rsidR="001230D3" w:rsidRPr="00306F4D">
        <w:rPr>
          <w:rFonts w:ascii="Arial" w:eastAsia="Arial" w:hAnsi="Arial" w:cs="Arial"/>
          <w:sz w:val="20"/>
          <w:szCs w:val="20"/>
        </w:rPr>
        <w:t xml:space="preserve"> </w:t>
      </w:r>
      <w:r w:rsidRPr="00306F4D">
        <w:rPr>
          <w:rFonts w:ascii="Arial" w:eastAsia="Arial" w:hAnsi="Arial" w:cs="Arial"/>
          <w:sz w:val="20"/>
          <w:szCs w:val="20"/>
        </w:rPr>
        <w:t xml:space="preserve">to check-in on learning and </w:t>
      </w:r>
      <w:r w:rsidR="008354D9" w:rsidRPr="00306F4D">
        <w:rPr>
          <w:rFonts w:ascii="Arial" w:eastAsia="Arial" w:hAnsi="Arial" w:cs="Arial"/>
          <w:sz w:val="20"/>
          <w:szCs w:val="20"/>
        </w:rPr>
        <w:t>engagement of the participants</w:t>
      </w:r>
    </w:p>
    <w:p w14:paraId="0FA88DDD" w14:textId="1287F47E" w:rsidR="00A97FBC" w:rsidRPr="00306F4D" w:rsidRDefault="001230D3" w:rsidP="00DC620C">
      <w:pPr>
        <w:numPr>
          <w:ilvl w:val="0"/>
          <w:numId w:val="85"/>
        </w:numPr>
        <w:spacing w:after="120"/>
        <w:jc w:val="both"/>
        <w:rPr>
          <w:rFonts w:ascii="Arial" w:eastAsia="Arial" w:hAnsi="Arial" w:cs="Arial"/>
          <w:sz w:val="20"/>
          <w:szCs w:val="20"/>
        </w:rPr>
      </w:pPr>
      <w:r w:rsidRPr="00306F4D">
        <w:rPr>
          <w:rFonts w:ascii="Arial" w:eastAsia="Arial" w:hAnsi="Arial" w:cs="Arial"/>
          <w:b/>
          <w:sz w:val="20"/>
          <w:szCs w:val="20"/>
        </w:rPr>
        <w:t>Regional expertise integration</w:t>
      </w:r>
      <w:r w:rsidRPr="00306F4D">
        <w:rPr>
          <w:rFonts w:ascii="Arial" w:eastAsia="Arial" w:hAnsi="Arial" w:cs="Arial"/>
          <w:sz w:val="20"/>
          <w:szCs w:val="20"/>
        </w:rPr>
        <w:t xml:space="preserve"> incorporating insights from previous climate adaptation initiatives and local innovation ecosystems</w:t>
      </w:r>
    </w:p>
    <w:p w14:paraId="561F6E71" w14:textId="77777777" w:rsidR="001230D3" w:rsidRPr="00306F4D" w:rsidRDefault="001230D3" w:rsidP="00680578">
      <w:pPr>
        <w:spacing w:after="120"/>
        <w:jc w:val="both"/>
        <w:rPr>
          <w:rFonts w:ascii="Arial" w:eastAsia="Arial" w:hAnsi="Arial" w:cs="Arial"/>
          <w:sz w:val="20"/>
          <w:szCs w:val="20"/>
        </w:rPr>
      </w:pPr>
      <w:r w:rsidRPr="00306F4D">
        <w:rPr>
          <w:rFonts w:ascii="Arial" w:eastAsia="Arial" w:hAnsi="Arial" w:cs="Arial"/>
          <w:sz w:val="20"/>
          <w:szCs w:val="20"/>
        </w:rPr>
        <w:t>The Sprint follows a proven four-stage approach tailored for climate adaptation innovation:</w:t>
      </w:r>
    </w:p>
    <w:p w14:paraId="0EDCB96C" w14:textId="7E958E9B" w:rsidR="001230D3" w:rsidRPr="00306F4D" w:rsidRDefault="001230D3" w:rsidP="00DC620C">
      <w:pPr>
        <w:numPr>
          <w:ilvl w:val="0"/>
          <w:numId w:val="86"/>
        </w:numPr>
        <w:spacing w:after="120"/>
        <w:jc w:val="both"/>
        <w:rPr>
          <w:rFonts w:ascii="Arial" w:eastAsia="Arial" w:hAnsi="Arial" w:cs="Arial"/>
          <w:sz w:val="20"/>
          <w:szCs w:val="20"/>
        </w:rPr>
      </w:pPr>
      <w:r w:rsidRPr="00306F4D">
        <w:rPr>
          <w:rFonts w:ascii="Arial" w:eastAsia="Arial" w:hAnsi="Arial" w:cs="Arial"/>
          <w:b/>
          <w:sz w:val="20"/>
          <w:szCs w:val="20"/>
        </w:rPr>
        <w:t>Discover:</w:t>
      </w:r>
      <w:r w:rsidRPr="00306F4D">
        <w:rPr>
          <w:rFonts w:ascii="Arial" w:eastAsia="Arial" w:hAnsi="Arial" w:cs="Arial"/>
          <w:sz w:val="20"/>
          <w:szCs w:val="20"/>
        </w:rPr>
        <w:t xml:space="preserve"> Participants deepen their understanding of the specific adaptation challenge through </w:t>
      </w:r>
      <w:r w:rsidR="00B94D8D" w:rsidRPr="00306F4D">
        <w:rPr>
          <w:rFonts w:ascii="Arial" w:eastAsia="Arial" w:hAnsi="Arial" w:cs="Arial"/>
          <w:sz w:val="20"/>
          <w:szCs w:val="20"/>
        </w:rPr>
        <w:t xml:space="preserve">a </w:t>
      </w:r>
      <w:r w:rsidRPr="00306F4D">
        <w:rPr>
          <w:rFonts w:ascii="Arial" w:eastAsia="Arial" w:hAnsi="Arial" w:cs="Arial"/>
          <w:sz w:val="20"/>
          <w:szCs w:val="20"/>
        </w:rPr>
        <w:t xml:space="preserve">structured community listening exercise, stakeholder mapping, </w:t>
      </w:r>
      <w:r w:rsidR="00B94D8D" w:rsidRPr="00306F4D">
        <w:rPr>
          <w:rFonts w:ascii="Arial" w:eastAsia="Arial" w:hAnsi="Arial" w:cs="Arial"/>
          <w:sz w:val="20"/>
          <w:szCs w:val="20"/>
        </w:rPr>
        <w:t xml:space="preserve">a light </w:t>
      </w:r>
      <w:r w:rsidRPr="00306F4D">
        <w:rPr>
          <w:rFonts w:ascii="Arial" w:eastAsia="Arial" w:hAnsi="Arial" w:cs="Arial"/>
          <w:sz w:val="20"/>
          <w:szCs w:val="20"/>
        </w:rPr>
        <w:t>climate risk assessment, and vulnerability analys</w:t>
      </w:r>
      <w:r w:rsidR="00B94D8D" w:rsidRPr="00306F4D">
        <w:rPr>
          <w:rFonts w:ascii="Arial" w:eastAsia="Arial" w:hAnsi="Arial" w:cs="Arial"/>
          <w:sz w:val="20"/>
          <w:szCs w:val="20"/>
        </w:rPr>
        <w:t>is</w:t>
      </w:r>
      <w:r w:rsidRPr="00306F4D">
        <w:rPr>
          <w:rFonts w:ascii="Arial" w:eastAsia="Arial" w:hAnsi="Arial" w:cs="Arial"/>
          <w:sz w:val="20"/>
          <w:szCs w:val="20"/>
        </w:rPr>
        <w:t xml:space="preserve">. This </w:t>
      </w:r>
      <w:r w:rsidR="00522B85" w:rsidRPr="00306F4D">
        <w:rPr>
          <w:rFonts w:ascii="Arial" w:eastAsia="Arial" w:hAnsi="Arial" w:cs="Arial"/>
          <w:sz w:val="20"/>
          <w:szCs w:val="20"/>
        </w:rPr>
        <w:t xml:space="preserve">component </w:t>
      </w:r>
      <w:r w:rsidRPr="00306F4D">
        <w:rPr>
          <w:rFonts w:ascii="Arial" w:eastAsia="Arial" w:hAnsi="Arial" w:cs="Arial"/>
          <w:sz w:val="20"/>
          <w:szCs w:val="20"/>
        </w:rPr>
        <w:t>emphasizes participatory methods and ensures solutions are grounded in real community needs and local knowledge systems.</w:t>
      </w:r>
    </w:p>
    <w:p w14:paraId="44C22BF1" w14:textId="6F96756E" w:rsidR="001230D3" w:rsidRPr="00306F4D" w:rsidRDefault="001230D3" w:rsidP="00DC620C">
      <w:pPr>
        <w:numPr>
          <w:ilvl w:val="0"/>
          <w:numId w:val="86"/>
        </w:numPr>
        <w:spacing w:after="120"/>
        <w:jc w:val="both"/>
        <w:rPr>
          <w:rFonts w:ascii="Arial" w:eastAsia="Arial" w:hAnsi="Arial" w:cs="Arial"/>
          <w:sz w:val="20"/>
          <w:szCs w:val="20"/>
        </w:rPr>
      </w:pPr>
      <w:r w:rsidRPr="00306F4D">
        <w:rPr>
          <w:rFonts w:ascii="Arial" w:eastAsia="Arial" w:hAnsi="Arial" w:cs="Arial"/>
          <w:b/>
          <w:sz w:val="20"/>
          <w:szCs w:val="20"/>
        </w:rPr>
        <w:lastRenderedPageBreak/>
        <w:t>Define:</w:t>
      </w:r>
      <w:r w:rsidRPr="00306F4D">
        <w:rPr>
          <w:rFonts w:ascii="Arial" w:eastAsia="Arial" w:hAnsi="Arial" w:cs="Arial"/>
          <w:sz w:val="20"/>
          <w:szCs w:val="20"/>
        </w:rPr>
        <w:t xml:space="preserve"> Teams refine their project focus and intervention pathways using strategic framing processes including systems thinking</w:t>
      </w:r>
      <w:r w:rsidR="00127D1D" w:rsidRPr="00306F4D">
        <w:rPr>
          <w:rFonts w:ascii="Arial" w:eastAsia="Arial" w:hAnsi="Arial" w:cs="Arial"/>
          <w:sz w:val="20"/>
          <w:szCs w:val="20"/>
        </w:rPr>
        <w:t xml:space="preserve"> </w:t>
      </w:r>
      <w:r w:rsidRPr="00306F4D">
        <w:rPr>
          <w:rFonts w:ascii="Arial" w:eastAsia="Arial" w:hAnsi="Arial" w:cs="Arial"/>
          <w:sz w:val="20"/>
          <w:szCs w:val="20"/>
        </w:rPr>
        <w:t>and foresight methodologies. Participants learn to articulate clear problem statements, identify leverage points for maximum impact, and integrate gender equality and social inclusion considerations from the outset.</w:t>
      </w:r>
    </w:p>
    <w:p w14:paraId="681C8FDE" w14:textId="69BF1904" w:rsidR="001230D3" w:rsidRPr="00306F4D" w:rsidRDefault="001230D3" w:rsidP="00DC620C">
      <w:pPr>
        <w:numPr>
          <w:ilvl w:val="0"/>
          <w:numId w:val="86"/>
        </w:numPr>
        <w:spacing w:after="120"/>
        <w:jc w:val="both"/>
        <w:rPr>
          <w:rFonts w:ascii="Arial" w:eastAsia="Arial" w:hAnsi="Arial" w:cs="Arial"/>
          <w:sz w:val="20"/>
          <w:szCs w:val="20"/>
        </w:rPr>
      </w:pPr>
      <w:r w:rsidRPr="00306F4D">
        <w:rPr>
          <w:rFonts w:ascii="Arial" w:eastAsia="Arial" w:hAnsi="Arial" w:cs="Arial"/>
          <w:b/>
          <w:sz w:val="20"/>
          <w:szCs w:val="20"/>
        </w:rPr>
        <w:t>Develop &amp; Deliver:</w:t>
      </w:r>
      <w:r w:rsidRPr="00306F4D">
        <w:rPr>
          <w:rFonts w:ascii="Arial" w:eastAsia="Arial" w:hAnsi="Arial" w:cs="Arial"/>
          <w:sz w:val="20"/>
          <w:szCs w:val="20"/>
        </w:rPr>
        <w:t xml:space="preserve"> Participants</w:t>
      </w:r>
      <w:r w:rsidR="003E6CEC" w:rsidRPr="00306F4D">
        <w:rPr>
          <w:rFonts w:ascii="Arial" w:eastAsia="Arial" w:hAnsi="Arial" w:cs="Arial"/>
          <w:sz w:val="20"/>
          <w:szCs w:val="20"/>
        </w:rPr>
        <w:t xml:space="preserve"> </w:t>
      </w:r>
      <w:r w:rsidR="00C602E1" w:rsidRPr="00306F4D">
        <w:rPr>
          <w:rFonts w:ascii="Arial" w:eastAsia="Arial" w:hAnsi="Arial" w:cs="Arial"/>
          <w:sz w:val="20"/>
          <w:szCs w:val="20"/>
        </w:rPr>
        <w:t>are given the space to</w:t>
      </w:r>
      <w:r w:rsidR="001A5E5D" w:rsidRPr="00306F4D">
        <w:rPr>
          <w:rFonts w:ascii="Arial" w:eastAsia="Arial" w:hAnsi="Arial" w:cs="Arial"/>
          <w:sz w:val="20"/>
          <w:szCs w:val="20"/>
        </w:rPr>
        <w:t xml:space="preserve"> (re)think their partnership base and outreach, current </w:t>
      </w:r>
      <w:r w:rsidRPr="00306F4D">
        <w:rPr>
          <w:rFonts w:ascii="Arial" w:eastAsia="Arial" w:hAnsi="Arial" w:cs="Arial"/>
          <w:sz w:val="20"/>
          <w:szCs w:val="20"/>
        </w:rPr>
        <w:t xml:space="preserve">business model, </w:t>
      </w:r>
      <w:r w:rsidR="001A5E5D" w:rsidRPr="00306F4D">
        <w:rPr>
          <w:rFonts w:ascii="Arial" w:eastAsia="Arial" w:hAnsi="Arial" w:cs="Arial"/>
          <w:sz w:val="20"/>
          <w:szCs w:val="20"/>
        </w:rPr>
        <w:t xml:space="preserve">and </w:t>
      </w:r>
      <w:r w:rsidR="008C3790" w:rsidRPr="00306F4D">
        <w:rPr>
          <w:rFonts w:ascii="Arial" w:eastAsia="Arial" w:hAnsi="Arial" w:cs="Arial"/>
          <w:sz w:val="20"/>
          <w:szCs w:val="20"/>
        </w:rPr>
        <w:t>prepare</w:t>
      </w:r>
      <w:r w:rsidR="005F7D4B" w:rsidRPr="00306F4D">
        <w:rPr>
          <w:rFonts w:ascii="Arial" w:eastAsia="Arial" w:hAnsi="Arial" w:cs="Arial"/>
          <w:sz w:val="20"/>
          <w:szCs w:val="20"/>
        </w:rPr>
        <w:t xml:space="preserve"> their possible implementation plan</w:t>
      </w:r>
      <w:r w:rsidR="008C3790" w:rsidRPr="00306F4D">
        <w:rPr>
          <w:rFonts w:ascii="Arial" w:eastAsia="Arial" w:hAnsi="Arial" w:cs="Arial"/>
          <w:sz w:val="20"/>
          <w:szCs w:val="20"/>
        </w:rPr>
        <w:t xml:space="preserve">, </w:t>
      </w:r>
      <w:r w:rsidRPr="00306F4D">
        <w:rPr>
          <w:rFonts w:ascii="Arial" w:eastAsia="Arial" w:hAnsi="Arial" w:cs="Arial"/>
          <w:sz w:val="20"/>
          <w:szCs w:val="20"/>
        </w:rPr>
        <w:t>with continuous integration of gender and social inclusion lenses throughout the design process.</w:t>
      </w:r>
    </w:p>
    <w:p w14:paraId="2AC83741" w14:textId="156C4B87" w:rsidR="001230D3" w:rsidRPr="00306F4D" w:rsidRDefault="001230D3" w:rsidP="00DC620C">
      <w:pPr>
        <w:numPr>
          <w:ilvl w:val="0"/>
          <w:numId w:val="86"/>
        </w:numPr>
        <w:spacing w:after="120"/>
        <w:jc w:val="both"/>
        <w:rPr>
          <w:rFonts w:ascii="Arial" w:eastAsia="Arial" w:hAnsi="Arial" w:cs="Arial"/>
          <w:sz w:val="20"/>
          <w:szCs w:val="20"/>
        </w:rPr>
      </w:pPr>
      <w:r w:rsidRPr="00306F4D">
        <w:rPr>
          <w:rFonts w:ascii="Arial" w:eastAsia="Arial" w:hAnsi="Arial" w:cs="Arial"/>
          <w:b/>
          <w:sz w:val="20"/>
          <w:szCs w:val="20"/>
        </w:rPr>
        <w:t>Scale:</w:t>
      </w:r>
      <w:r w:rsidRPr="00306F4D">
        <w:rPr>
          <w:rFonts w:ascii="Arial" w:eastAsia="Arial" w:hAnsi="Arial" w:cs="Arial"/>
          <w:sz w:val="20"/>
          <w:szCs w:val="20"/>
        </w:rPr>
        <w:t xml:space="preserve"> The final </w:t>
      </w:r>
      <w:r w:rsidR="008C3790" w:rsidRPr="00306F4D">
        <w:rPr>
          <w:rFonts w:ascii="Arial" w:eastAsia="Arial" w:hAnsi="Arial" w:cs="Arial"/>
          <w:sz w:val="20"/>
          <w:szCs w:val="20"/>
        </w:rPr>
        <w:t>sessions</w:t>
      </w:r>
      <w:r w:rsidRPr="00306F4D">
        <w:rPr>
          <w:rFonts w:ascii="Arial" w:eastAsia="Arial" w:hAnsi="Arial" w:cs="Arial"/>
          <w:sz w:val="20"/>
          <w:szCs w:val="20"/>
        </w:rPr>
        <w:t xml:space="preserve"> </w:t>
      </w:r>
      <w:r w:rsidR="00B25391" w:rsidRPr="00306F4D">
        <w:rPr>
          <w:rFonts w:ascii="Arial" w:eastAsia="Arial" w:hAnsi="Arial" w:cs="Arial"/>
          <w:sz w:val="20"/>
          <w:szCs w:val="20"/>
        </w:rPr>
        <w:t>explore</w:t>
      </w:r>
      <w:r w:rsidRPr="00306F4D">
        <w:rPr>
          <w:rFonts w:ascii="Arial" w:eastAsia="Arial" w:hAnsi="Arial" w:cs="Arial"/>
          <w:sz w:val="20"/>
          <w:szCs w:val="20"/>
        </w:rPr>
        <w:t xml:space="preserve"> </w:t>
      </w:r>
      <w:r w:rsidR="00B25391" w:rsidRPr="00306F4D">
        <w:rPr>
          <w:rFonts w:ascii="Arial" w:eastAsia="Arial" w:hAnsi="Arial" w:cs="Arial"/>
          <w:sz w:val="20"/>
          <w:szCs w:val="20"/>
        </w:rPr>
        <w:t xml:space="preserve">and will inspire participants to consider already upfront possible </w:t>
      </w:r>
      <w:r w:rsidRPr="00306F4D">
        <w:rPr>
          <w:rFonts w:ascii="Arial" w:eastAsia="Arial" w:hAnsi="Arial" w:cs="Arial"/>
          <w:sz w:val="20"/>
          <w:szCs w:val="20"/>
        </w:rPr>
        <w:t>pathways for scaling</w:t>
      </w:r>
      <w:r w:rsidR="008C3790" w:rsidRPr="00306F4D">
        <w:rPr>
          <w:rFonts w:ascii="Arial" w:eastAsia="Arial" w:hAnsi="Arial" w:cs="Arial"/>
          <w:sz w:val="20"/>
          <w:szCs w:val="20"/>
        </w:rPr>
        <w:t xml:space="preserve"> and sustainability.</w:t>
      </w:r>
      <w:r w:rsidR="00B25391" w:rsidRPr="00306F4D">
        <w:rPr>
          <w:rFonts w:ascii="Arial" w:eastAsia="Arial" w:hAnsi="Arial" w:cs="Arial"/>
          <w:sz w:val="20"/>
          <w:szCs w:val="20"/>
        </w:rPr>
        <w:t xml:space="preserve"> Scaling </w:t>
      </w:r>
      <w:r w:rsidR="00165A26" w:rsidRPr="00306F4D">
        <w:rPr>
          <w:rFonts w:ascii="Arial" w:eastAsia="Arial" w:hAnsi="Arial" w:cs="Arial"/>
          <w:sz w:val="20"/>
          <w:szCs w:val="20"/>
        </w:rPr>
        <w:t xml:space="preserve">will be unpacked as a concept and </w:t>
      </w:r>
      <w:r w:rsidR="00E63B77" w:rsidRPr="00306F4D">
        <w:rPr>
          <w:rFonts w:ascii="Arial" w:eastAsia="Arial" w:hAnsi="Arial" w:cs="Arial"/>
          <w:sz w:val="20"/>
          <w:szCs w:val="20"/>
        </w:rPr>
        <w:t>entails not only replication, but</w:t>
      </w:r>
      <w:r w:rsidR="00613009" w:rsidRPr="00306F4D">
        <w:rPr>
          <w:rFonts w:ascii="Arial" w:eastAsia="Arial" w:hAnsi="Arial" w:cs="Arial"/>
          <w:sz w:val="20"/>
          <w:szCs w:val="20"/>
        </w:rPr>
        <w:t xml:space="preserve"> intention to</w:t>
      </w:r>
      <w:r w:rsidR="00E63B77" w:rsidRPr="00306F4D">
        <w:rPr>
          <w:rFonts w:ascii="Arial" w:eastAsia="Arial" w:hAnsi="Arial" w:cs="Arial"/>
          <w:sz w:val="20"/>
          <w:szCs w:val="20"/>
        </w:rPr>
        <w:t xml:space="preserve"> </w:t>
      </w:r>
      <w:r w:rsidR="004D73A2" w:rsidRPr="00306F4D">
        <w:rPr>
          <w:rFonts w:ascii="Arial" w:eastAsia="Arial" w:hAnsi="Arial" w:cs="Arial"/>
          <w:sz w:val="20"/>
          <w:szCs w:val="20"/>
        </w:rPr>
        <w:t xml:space="preserve">attract further public funding or private finance, behavioral and cultural changes, and or </w:t>
      </w:r>
      <w:r w:rsidR="00CF0148" w:rsidRPr="00306F4D">
        <w:rPr>
          <w:rFonts w:ascii="Arial" w:eastAsia="Arial" w:hAnsi="Arial" w:cs="Arial"/>
          <w:sz w:val="20"/>
          <w:szCs w:val="20"/>
        </w:rPr>
        <w:t>regulatory and policy changes in the longer run.</w:t>
      </w:r>
    </w:p>
    <w:p w14:paraId="39B709EA" w14:textId="0FF76529" w:rsidR="001230D3" w:rsidRPr="00306F4D" w:rsidRDefault="001230D3" w:rsidP="00456248">
      <w:pPr>
        <w:spacing w:after="120"/>
        <w:jc w:val="both"/>
        <w:rPr>
          <w:rFonts w:ascii="Arial" w:eastAsia="Arial" w:hAnsi="Arial" w:cs="Arial"/>
          <w:sz w:val="20"/>
          <w:szCs w:val="20"/>
        </w:rPr>
      </w:pPr>
      <w:r w:rsidRPr="00306F4D">
        <w:rPr>
          <w:rFonts w:ascii="Arial" w:eastAsia="Arial" w:hAnsi="Arial" w:cs="Arial"/>
          <w:sz w:val="20"/>
          <w:szCs w:val="20"/>
        </w:rPr>
        <w:t xml:space="preserve">Beyond individual project development, the </w:t>
      </w:r>
      <w:r w:rsidR="00456248" w:rsidRPr="00306F4D">
        <w:rPr>
          <w:rFonts w:ascii="Arial" w:eastAsia="Arial" w:hAnsi="Arial" w:cs="Arial"/>
          <w:sz w:val="20"/>
          <w:szCs w:val="20"/>
        </w:rPr>
        <w:t>s</w:t>
      </w:r>
      <w:r w:rsidRPr="00306F4D">
        <w:rPr>
          <w:rFonts w:ascii="Arial" w:eastAsia="Arial" w:hAnsi="Arial" w:cs="Arial"/>
          <w:sz w:val="20"/>
          <w:szCs w:val="20"/>
        </w:rPr>
        <w:t>print incorporates:</w:t>
      </w:r>
    </w:p>
    <w:p w14:paraId="3E04213C" w14:textId="49E6BEB7" w:rsidR="001230D3" w:rsidRPr="00306F4D" w:rsidRDefault="001230D3" w:rsidP="00DC620C">
      <w:pPr>
        <w:numPr>
          <w:ilvl w:val="0"/>
          <w:numId w:val="87"/>
        </w:numPr>
        <w:spacing w:after="120"/>
        <w:jc w:val="both"/>
        <w:rPr>
          <w:rFonts w:ascii="Arial" w:eastAsia="Arial" w:hAnsi="Arial" w:cs="Arial"/>
          <w:sz w:val="20"/>
          <w:szCs w:val="20"/>
        </w:rPr>
      </w:pPr>
      <w:r w:rsidRPr="00306F4D">
        <w:rPr>
          <w:rFonts w:ascii="Arial" w:eastAsia="Arial" w:hAnsi="Arial" w:cs="Arial"/>
          <w:b/>
          <w:sz w:val="20"/>
          <w:szCs w:val="20"/>
        </w:rPr>
        <w:t xml:space="preserve">Cross-regional </w:t>
      </w:r>
      <w:r w:rsidR="007E5794" w:rsidRPr="00306F4D">
        <w:rPr>
          <w:rFonts w:ascii="Arial" w:eastAsia="Arial" w:hAnsi="Arial" w:cs="Arial"/>
          <w:b/>
          <w:sz w:val="20"/>
          <w:szCs w:val="20"/>
        </w:rPr>
        <w:t>and global inspiration</w:t>
      </w:r>
      <w:r w:rsidRPr="00306F4D">
        <w:rPr>
          <w:rFonts w:ascii="Arial" w:eastAsia="Arial" w:hAnsi="Arial" w:cs="Arial"/>
          <w:b/>
          <w:sz w:val="20"/>
          <w:szCs w:val="20"/>
        </w:rPr>
        <w:t xml:space="preserve"> </w:t>
      </w:r>
      <w:r w:rsidRPr="00306F4D">
        <w:rPr>
          <w:rFonts w:ascii="Arial" w:eastAsia="Arial" w:hAnsi="Arial" w:cs="Arial"/>
          <w:sz w:val="20"/>
          <w:szCs w:val="20"/>
        </w:rPr>
        <w:t>examining successful adaptation innovations globally</w:t>
      </w:r>
    </w:p>
    <w:p w14:paraId="3F7BE2B9" w14:textId="02A4B21E" w:rsidR="001230D3" w:rsidRPr="00306F4D" w:rsidRDefault="001230D3" w:rsidP="00DC620C">
      <w:pPr>
        <w:numPr>
          <w:ilvl w:val="0"/>
          <w:numId w:val="87"/>
        </w:numPr>
        <w:spacing w:after="120"/>
        <w:jc w:val="both"/>
        <w:rPr>
          <w:rFonts w:ascii="Arial" w:eastAsia="Arial" w:hAnsi="Arial" w:cs="Arial"/>
          <w:sz w:val="20"/>
          <w:szCs w:val="20"/>
        </w:rPr>
      </w:pPr>
      <w:r w:rsidRPr="00306F4D">
        <w:rPr>
          <w:rFonts w:ascii="Arial" w:eastAsia="Arial" w:hAnsi="Arial" w:cs="Arial"/>
          <w:b/>
          <w:sz w:val="20"/>
          <w:szCs w:val="20"/>
        </w:rPr>
        <w:t xml:space="preserve">Failure analysis </w:t>
      </w:r>
      <w:r w:rsidRPr="00306F4D">
        <w:rPr>
          <w:rFonts w:ascii="Arial" w:eastAsia="Arial" w:hAnsi="Arial" w:cs="Arial"/>
          <w:sz w:val="20"/>
          <w:szCs w:val="20"/>
        </w:rPr>
        <w:t>learning from challenges and setbacks in similar initiatives</w:t>
      </w:r>
      <w:r w:rsidR="007B039A" w:rsidRPr="00306F4D">
        <w:rPr>
          <w:rFonts w:ascii="Arial" w:eastAsia="Arial" w:hAnsi="Arial" w:cs="Arial"/>
          <w:sz w:val="20"/>
          <w:szCs w:val="20"/>
        </w:rPr>
        <w:t xml:space="preserve">, including a tailored session on social and environmental risks </w:t>
      </w:r>
    </w:p>
    <w:p w14:paraId="0EB5AA94" w14:textId="77777777" w:rsidR="001230D3" w:rsidRPr="00306F4D" w:rsidRDefault="001230D3" w:rsidP="00DC620C">
      <w:pPr>
        <w:numPr>
          <w:ilvl w:val="0"/>
          <w:numId w:val="87"/>
        </w:numPr>
        <w:spacing w:after="120"/>
        <w:jc w:val="both"/>
        <w:rPr>
          <w:rFonts w:ascii="Arial" w:eastAsia="Arial" w:hAnsi="Arial" w:cs="Arial"/>
          <w:sz w:val="20"/>
          <w:szCs w:val="20"/>
        </w:rPr>
      </w:pPr>
      <w:r w:rsidRPr="00306F4D">
        <w:rPr>
          <w:rFonts w:ascii="Arial" w:eastAsia="Arial" w:hAnsi="Arial" w:cs="Arial"/>
          <w:b/>
          <w:sz w:val="20"/>
          <w:szCs w:val="20"/>
        </w:rPr>
        <w:t>Innovation ecosystem mapping</w:t>
      </w:r>
      <w:r w:rsidRPr="00306F4D">
        <w:rPr>
          <w:rFonts w:ascii="Arial" w:eastAsia="Arial" w:hAnsi="Arial" w:cs="Arial"/>
          <w:sz w:val="20"/>
          <w:szCs w:val="20"/>
        </w:rPr>
        <w:t xml:space="preserve"> identifying potential partners, funders, and scaling pathways</w:t>
      </w:r>
    </w:p>
    <w:p w14:paraId="6A5D9B4C" w14:textId="1A9291F1" w:rsidR="001230D3" w:rsidRPr="00306F4D" w:rsidRDefault="001230D3" w:rsidP="00DC620C">
      <w:pPr>
        <w:numPr>
          <w:ilvl w:val="0"/>
          <w:numId w:val="87"/>
        </w:numPr>
        <w:spacing w:after="120"/>
        <w:jc w:val="both"/>
        <w:rPr>
          <w:rFonts w:ascii="Arial" w:eastAsia="Arial" w:hAnsi="Arial" w:cs="Arial"/>
          <w:sz w:val="20"/>
          <w:szCs w:val="20"/>
        </w:rPr>
      </w:pPr>
      <w:r w:rsidRPr="00306F4D">
        <w:rPr>
          <w:rFonts w:ascii="Arial" w:eastAsia="Arial" w:hAnsi="Arial" w:cs="Arial"/>
          <w:b/>
          <w:sz w:val="20"/>
          <w:szCs w:val="20"/>
        </w:rPr>
        <w:t xml:space="preserve">Gender and inclusion </w:t>
      </w:r>
      <w:r w:rsidRPr="00306F4D">
        <w:rPr>
          <w:rFonts w:ascii="Arial" w:eastAsia="Arial" w:hAnsi="Arial" w:cs="Arial"/>
          <w:sz w:val="20"/>
          <w:szCs w:val="20"/>
        </w:rPr>
        <w:t>ensuring projects advance equity and reach marginalized groups</w:t>
      </w:r>
    </w:p>
    <w:p w14:paraId="241BA0E8" w14:textId="77777777" w:rsidR="001230D3" w:rsidRPr="00306F4D" w:rsidRDefault="001230D3" w:rsidP="00DC620C">
      <w:pPr>
        <w:numPr>
          <w:ilvl w:val="0"/>
          <w:numId w:val="87"/>
        </w:numPr>
        <w:spacing w:after="120"/>
        <w:jc w:val="both"/>
        <w:rPr>
          <w:rFonts w:ascii="Arial" w:eastAsia="Arial" w:hAnsi="Arial" w:cs="Arial"/>
          <w:sz w:val="20"/>
          <w:szCs w:val="20"/>
        </w:rPr>
      </w:pPr>
      <w:r w:rsidRPr="00306F4D">
        <w:rPr>
          <w:rFonts w:ascii="Arial" w:eastAsia="Arial" w:hAnsi="Arial" w:cs="Arial"/>
          <w:b/>
          <w:sz w:val="20"/>
          <w:szCs w:val="20"/>
        </w:rPr>
        <w:t>Pitch development training</w:t>
      </w:r>
      <w:r w:rsidRPr="00306F4D">
        <w:rPr>
          <w:rFonts w:ascii="Arial" w:eastAsia="Arial" w:hAnsi="Arial" w:cs="Arial"/>
          <w:sz w:val="20"/>
          <w:szCs w:val="20"/>
        </w:rPr>
        <w:t xml:space="preserve"> preparing participants for effective communication with diverse stakeholders</w:t>
      </w:r>
    </w:p>
    <w:p w14:paraId="02C130DE" w14:textId="38FFC417" w:rsidR="001230D3" w:rsidRPr="00306F4D" w:rsidRDefault="2EE097A1" w:rsidP="00464DC3">
      <w:pPr>
        <w:spacing w:after="0"/>
        <w:jc w:val="both"/>
        <w:rPr>
          <w:rFonts w:ascii="Arial" w:eastAsia="Arial" w:hAnsi="Arial" w:cs="Arial"/>
          <w:sz w:val="20"/>
          <w:szCs w:val="20"/>
        </w:rPr>
      </w:pPr>
      <w:r w:rsidRPr="00306F4D">
        <w:rPr>
          <w:rFonts w:ascii="Arial" w:eastAsia="Arial" w:hAnsi="Arial" w:cs="Arial"/>
          <w:sz w:val="20"/>
          <w:szCs w:val="20"/>
        </w:rPr>
        <w:t xml:space="preserve">Following the Sprint, participants will have dedicated time to develop their comprehensive proposals if they choose </w:t>
      </w:r>
      <w:r w:rsidR="113EA67E" w:rsidRPr="00306F4D">
        <w:rPr>
          <w:rFonts w:ascii="Arial" w:eastAsia="Arial" w:hAnsi="Arial" w:cs="Arial"/>
          <w:sz w:val="20"/>
          <w:szCs w:val="20"/>
        </w:rPr>
        <w:t>to go forward in the proposal stage</w:t>
      </w:r>
      <w:r w:rsidRPr="00306F4D">
        <w:rPr>
          <w:rFonts w:ascii="Arial" w:eastAsia="Arial" w:hAnsi="Arial" w:cs="Arial"/>
          <w:sz w:val="20"/>
          <w:szCs w:val="20"/>
        </w:rPr>
        <w:t xml:space="preserve">, incorporating learning and feedback from the sprint. This intensive collaborative process also provides UNDP with valuable opportunities to assess participants' sustained motivation, capacity to deliver on commitments, and collaborative potential, while building </w:t>
      </w:r>
      <w:r w:rsidR="206FD7BB" w:rsidRPr="00306F4D">
        <w:rPr>
          <w:rFonts w:ascii="Arial" w:eastAsia="Arial" w:hAnsi="Arial" w:cs="Arial"/>
          <w:sz w:val="20"/>
          <w:szCs w:val="20"/>
        </w:rPr>
        <w:t>trust</w:t>
      </w:r>
      <w:r w:rsidRPr="00306F4D">
        <w:rPr>
          <w:rFonts w:ascii="Arial" w:eastAsia="Arial" w:hAnsi="Arial" w:cs="Arial"/>
          <w:sz w:val="20"/>
          <w:szCs w:val="20"/>
        </w:rPr>
        <w:t xml:space="preserve"> and rapport essential for effective communication, engagement, and support throughout the implementation phase. Importantly, this approach </w:t>
      </w:r>
      <w:r w:rsidRPr="00306F4D">
        <w:rPr>
          <w:rFonts w:ascii="Arial" w:eastAsia="Arial" w:hAnsi="Arial" w:cs="Arial"/>
          <w:sz w:val="20"/>
          <w:szCs w:val="20"/>
          <w:u w:val="single"/>
        </w:rPr>
        <w:t>moves beyond transactional grant-making toward building genuine partnerships that leverage and strengthen existing local capabilities</w:t>
      </w:r>
      <w:r w:rsidRPr="00306F4D">
        <w:rPr>
          <w:rFonts w:ascii="Arial" w:eastAsia="Arial" w:hAnsi="Arial" w:cs="Arial"/>
          <w:sz w:val="20"/>
          <w:szCs w:val="20"/>
        </w:rPr>
        <w:t>, facilitate strategic connections across the innovation ecosystem, and create synergies where collaborative impact exceeds individual project outcomes. Final proposals will be</w:t>
      </w:r>
      <w:r w:rsidR="7AF59948" w:rsidRPr="00306F4D">
        <w:rPr>
          <w:rFonts w:ascii="Arial" w:eastAsia="Arial" w:hAnsi="Arial" w:cs="Arial"/>
          <w:sz w:val="20"/>
          <w:szCs w:val="20"/>
        </w:rPr>
        <w:t xml:space="preserve"> screened by the extended regional team and</w:t>
      </w:r>
      <w:r w:rsidRPr="00306F4D">
        <w:rPr>
          <w:rFonts w:ascii="Arial" w:eastAsia="Arial" w:hAnsi="Arial" w:cs="Arial"/>
          <w:sz w:val="20"/>
          <w:szCs w:val="20"/>
        </w:rPr>
        <w:t xml:space="preserve"> evaluated by the project's Selection Committee described below. This pre-step prior to full proposal development ensures that selected projects are not only technically sound and context-specific but also benefit from regional learning networks, peer support systems, and enhanced capability for implementation success and long-term sustainability.</w:t>
      </w:r>
    </w:p>
    <w:p w14:paraId="6C68F806" w14:textId="0EAF1D30" w:rsidR="75D0D5AE" w:rsidRPr="00306F4D" w:rsidRDefault="75D0D5AE" w:rsidP="0173289E">
      <w:pPr>
        <w:spacing w:after="0" w:line="276" w:lineRule="auto"/>
        <w:jc w:val="both"/>
        <w:rPr>
          <w:rFonts w:ascii="Arial" w:eastAsia="Arial" w:hAnsi="Arial" w:cs="Arial"/>
          <w:sz w:val="20"/>
          <w:szCs w:val="20"/>
        </w:rPr>
      </w:pPr>
    </w:p>
    <w:p w14:paraId="3DCE9C9E" w14:textId="174AF774" w:rsidR="60F86BD2" w:rsidRPr="00306F4D" w:rsidRDefault="7BAEA493" w:rsidP="00C26886">
      <w:pPr>
        <w:spacing w:after="0" w:line="276" w:lineRule="auto"/>
        <w:jc w:val="both"/>
        <w:rPr>
          <w:rFonts w:ascii="Arial" w:eastAsia="Arial" w:hAnsi="Arial" w:cs="Arial"/>
          <w:b/>
          <w:i/>
          <w:color w:val="000000" w:themeColor="text1"/>
          <w:sz w:val="20"/>
          <w:szCs w:val="20"/>
        </w:rPr>
      </w:pPr>
      <w:r w:rsidRPr="00306F4D">
        <w:rPr>
          <w:rFonts w:ascii="Arial" w:eastAsia="Arial" w:hAnsi="Arial" w:cs="Arial"/>
          <w:b/>
          <w:i/>
          <w:color w:val="000000" w:themeColor="text1"/>
          <w:sz w:val="20"/>
          <w:szCs w:val="20"/>
        </w:rPr>
        <w:t>Output 1.1 – Indicative Activities</w:t>
      </w:r>
    </w:p>
    <w:p w14:paraId="7A0FFCEC" w14:textId="4B477769" w:rsidR="000C502E" w:rsidRPr="00306F4D" w:rsidRDefault="307DD96D" w:rsidP="00767310">
      <w:pPr>
        <w:pStyle w:val="ListParagraph"/>
        <w:numPr>
          <w:ilvl w:val="0"/>
          <w:numId w:val="18"/>
        </w:numPr>
        <w:spacing w:before="240" w:after="240" w:line="276" w:lineRule="auto"/>
        <w:rPr>
          <w:rFonts w:ascii="Arial" w:eastAsia="Arial" w:hAnsi="Arial" w:cs="Arial"/>
          <w:color w:val="000000" w:themeColor="text1"/>
          <w:sz w:val="20"/>
          <w:szCs w:val="20"/>
        </w:rPr>
      </w:pPr>
      <w:r w:rsidRPr="00306F4D">
        <w:rPr>
          <w:rFonts w:ascii="Arial" w:eastAsia="Arial" w:hAnsi="Arial" w:cs="Arial"/>
          <w:b/>
          <w:color w:val="000000" w:themeColor="text1"/>
          <w:sz w:val="20"/>
          <w:szCs w:val="20"/>
        </w:rPr>
        <w:t>Design and Launch of Call for Expression of Interest (EOI)</w:t>
      </w:r>
      <w:r w:rsidR="3555DE57" w:rsidRPr="00306F4D">
        <w:rPr>
          <w:rFonts w:ascii="Arial" w:eastAsia="Arial" w:hAnsi="Arial" w:cs="Arial"/>
          <w:color w:val="000000" w:themeColor="text1"/>
          <w:sz w:val="20"/>
          <w:szCs w:val="20"/>
        </w:rPr>
        <w:t xml:space="preserve">, developing guidelines and eligibility criteria, and disseminating through regional networks, UNDP country offices, and social media. The project will identify and support </w:t>
      </w:r>
      <w:proofErr w:type="gramStart"/>
      <w:r w:rsidR="3555DE57" w:rsidRPr="00306F4D">
        <w:rPr>
          <w:rFonts w:ascii="Arial" w:eastAsia="Arial" w:hAnsi="Arial" w:cs="Arial"/>
          <w:color w:val="000000" w:themeColor="text1"/>
          <w:sz w:val="20"/>
          <w:szCs w:val="20"/>
        </w:rPr>
        <w:t>locally-led</w:t>
      </w:r>
      <w:proofErr w:type="gramEnd"/>
      <w:r w:rsidR="3555DE57" w:rsidRPr="00306F4D">
        <w:rPr>
          <w:rFonts w:ascii="Arial" w:eastAsia="Arial" w:hAnsi="Arial" w:cs="Arial"/>
          <w:color w:val="000000" w:themeColor="text1"/>
          <w:sz w:val="20"/>
          <w:szCs w:val="20"/>
        </w:rPr>
        <w:t xml:space="preserve"> adaptation innovations across the Western Balkans using inclusive outreach and simplified applications.</w:t>
      </w:r>
    </w:p>
    <w:p w14:paraId="59B45451" w14:textId="1BA622D6" w:rsidR="000C502E" w:rsidRPr="00306F4D" w:rsidRDefault="307DD96D" w:rsidP="00767310">
      <w:pPr>
        <w:pStyle w:val="ListParagraph"/>
        <w:numPr>
          <w:ilvl w:val="0"/>
          <w:numId w:val="18"/>
        </w:numPr>
        <w:spacing w:before="200" w:after="200" w:line="276" w:lineRule="auto"/>
        <w:rPr>
          <w:rFonts w:ascii="Arial" w:eastAsia="Arial" w:hAnsi="Arial" w:cs="Arial"/>
          <w:color w:val="000000" w:themeColor="text1"/>
          <w:sz w:val="20"/>
          <w:szCs w:val="20"/>
        </w:rPr>
      </w:pPr>
      <w:r w:rsidRPr="00306F4D">
        <w:rPr>
          <w:rFonts w:ascii="Arial" w:eastAsia="Arial" w:hAnsi="Arial" w:cs="Arial"/>
          <w:b/>
          <w:color w:val="auto"/>
          <w:sz w:val="20"/>
          <w:szCs w:val="20"/>
        </w:rPr>
        <w:t>Screening and Scoring for EOI</w:t>
      </w:r>
      <w:r w:rsidR="11995720" w:rsidRPr="00306F4D">
        <w:rPr>
          <w:rFonts w:ascii="Arial" w:eastAsia="Arial" w:hAnsi="Arial" w:cs="Arial"/>
          <w:b/>
          <w:color w:val="auto"/>
          <w:sz w:val="20"/>
          <w:szCs w:val="20"/>
        </w:rPr>
        <w:t xml:space="preserve"> </w:t>
      </w:r>
      <w:r w:rsidR="5979F711" w:rsidRPr="00306F4D">
        <w:rPr>
          <w:rFonts w:ascii="Arial" w:eastAsia="Arial" w:hAnsi="Arial" w:cs="Arial"/>
          <w:color w:val="auto"/>
          <w:sz w:val="20"/>
          <w:szCs w:val="20"/>
        </w:rPr>
        <w:t>submissions using a standardized scorecard to assess innovation, feasibility, and impact, including gender and social inclusion as scoring criteria.</w:t>
      </w:r>
    </w:p>
    <w:p w14:paraId="337FEA4E" w14:textId="1F0BB7E7" w:rsidR="000C502E" w:rsidRPr="00306F4D" w:rsidRDefault="307DD96D" w:rsidP="00767310">
      <w:pPr>
        <w:pStyle w:val="ListParagraph"/>
        <w:numPr>
          <w:ilvl w:val="0"/>
          <w:numId w:val="18"/>
        </w:numPr>
        <w:spacing w:before="240" w:after="240" w:line="276" w:lineRule="auto"/>
        <w:rPr>
          <w:rFonts w:ascii="Arial" w:eastAsia="Arial" w:hAnsi="Arial" w:cs="Arial"/>
          <w:color w:val="000000" w:themeColor="text1"/>
          <w:sz w:val="20"/>
          <w:szCs w:val="20"/>
        </w:rPr>
      </w:pPr>
      <w:r w:rsidRPr="00306F4D">
        <w:rPr>
          <w:rFonts w:ascii="Arial" w:eastAsia="Arial" w:hAnsi="Arial" w:cs="Arial"/>
          <w:b/>
          <w:color w:val="auto"/>
          <w:sz w:val="20"/>
          <w:szCs w:val="20"/>
        </w:rPr>
        <w:t>Innovation and Learning Sprint</w:t>
      </w:r>
      <w:r w:rsidR="13E6E9A7" w:rsidRPr="00306F4D">
        <w:rPr>
          <w:rFonts w:ascii="Arial" w:eastAsia="Arial" w:hAnsi="Arial" w:cs="Arial"/>
          <w:b/>
          <w:color w:val="auto"/>
          <w:sz w:val="20"/>
          <w:szCs w:val="20"/>
        </w:rPr>
        <w:t xml:space="preserve">, </w:t>
      </w:r>
      <w:r w:rsidR="13E6E9A7" w:rsidRPr="00306F4D">
        <w:rPr>
          <w:rFonts w:ascii="Arial" w:eastAsia="Arial" w:hAnsi="Arial" w:cs="Arial"/>
          <w:color w:val="auto"/>
          <w:sz w:val="20"/>
          <w:szCs w:val="20"/>
        </w:rPr>
        <w:t>c</w:t>
      </w:r>
      <w:r w:rsidR="67B8964F" w:rsidRPr="00306F4D">
        <w:rPr>
          <w:rFonts w:ascii="Arial" w:eastAsia="Arial" w:hAnsi="Arial" w:cs="Arial"/>
          <w:color w:val="auto"/>
          <w:sz w:val="20"/>
          <w:szCs w:val="20"/>
        </w:rPr>
        <w:t>onduct an innovation and learning sprint to strengthen concept development, validate innovation potential, and ensure only well-designed, locally grounded solutions move forward to the full proposal stage.</w:t>
      </w:r>
    </w:p>
    <w:p w14:paraId="44D40C4B" w14:textId="619D44B5" w:rsidR="000C502E" w:rsidRPr="00306F4D" w:rsidRDefault="307DD96D" w:rsidP="00767310">
      <w:pPr>
        <w:pStyle w:val="ListParagraph"/>
        <w:numPr>
          <w:ilvl w:val="0"/>
          <w:numId w:val="18"/>
        </w:numPr>
        <w:spacing w:before="240" w:after="240" w:line="276" w:lineRule="auto"/>
        <w:rPr>
          <w:rFonts w:ascii="Arial" w:eastAsia="Arial" w:hAnsi="Arial" w:cs="Arial"/>
          <w:color w:val="000000" w:themeColor="text1"/>
          <w:sz w:val="20"/>
          <w:szCs w:val="20"/>
        </w:rPr>
      </w:pPr>
      <w:r w:rsidRPr="00306F4D">
        <w:rPr>
          <w:rFonts w:ascii="Arial" w:eastAsia="Arial" w:hAnsi="Arial" w:cs="Arial"/>
          <w:b/>
          <w:color w:val="auto"/>
          <w:sz w:val="20"/>
          <w:szCs w:val="20"/>
        </w:rPr>
        <w:t>Regional Call for Proposals</w:t>
      </w:r>
      <w:r w:rsidR="31A79419" w:rsidRPr="00306F4D">
        <w:rPr>
          <w:rFonts w:ascii="Arial" w:eastAsia="Arial" w:hAnsi="Arial" w:cs="Arial"/>
          <w:b/>
          <w:color w:val="auto"/>
          <w:sz w:val="20"/>
          <w:szCs w:val="20"/>
        </w:rPr>
        <w:t xml:space="preserve">, </w:t>
      </w:r>
      <w:r w:rsidR="31A79419" w:rsidRPr="00306F4D">
        <w:rPr>
          <w:rFonts w:ascii="Arial" w:eastAsia="Arial" w:hAnsi="Arial" w:cs="Arial"/>
          <w:color w:val="auto"/>
          <w:sz w:val="20"/>
          <w:szCs w:val="20"/>
        </w:rPr>
        <w:t>l</w:t>
      </w:r>
      <w:r w:rsidR="67B8964F" w:rsidRPr="00306F4D">
        <w:rPr>
          <w:rFonts w:ascii="Arial" w:eastAsia="Arial" w:hAnsi="Arial" w:cs="Arial"/>
          <w:color w:val="auto"/>
          <w:sz w:val="20"/>
          <w:szCs w:val="20"/>
        </w:rPr>
        <w:t>aunch a regional call for proposals with a detailed application package, including templates for the results framework, budget, and gender action plan.</w:t>
      </w:r>
    </w:p>
    <w:p w14:paraId="250427AB" w14:textId="31EEB200" w:rsidR="000C502E" w:rsidRPr="00306F4D" w:rsidRDefault="307DD96D" w:rsidP="00767310">
      <w:pPr>
        <w:pStyle w:val="ListParagraph"/>
        <w:numPr>
          <w:ilvl w:val="0"/>
          <w:numId w:val="18"/>
        </w:numPr>
        <w:spacing w:before="240" w:after="240" w:line="276" w:lineRule="auto"/>
        <w:rPr>
          <w:rFonts w:ascii="Arial" w:eastAsia="Arial" w:hAnsi="Arial" w:cs="Arial"/>
          <w:color w:val="000000" w:themeColor="text1"/>
          <w:sz w:val="20"/>
          <w:szCs w:val="20"/>
        </w:rPr>
      </w:pPr>
      <w:r w:rsidRPr="00306F4D">
        <w:rPr>
          <w:rFonts w:ascii="Arial" w:eastAsia="Arial" w:hAnsi="Arial" w:cs="Arial"/>
          <w:b/>
          <w:color w:val="auto"/>
          <w:sz w:val="20"/>
          <w:szCs w:val="20"/>
        </w:rPr>
        <w:t>Proposal Screening and Scoring</w:t>
      </w:r>
      <w:r w:rsidR="2C114326" w:rsidRPr="00306F4D">
        <w:rPr>
          <w:rFonts w:ascii="Arial" w:eastAsia="Arial" w:hAnsi="Arial" w:cs="Arial"/>
          <w:b/>
          <w:color w:val="auto"/>
          <w:sz w:val="20"/>
          <w:szCs w:val="20"/>
        </w:rPr>
        <w:t>,</w:t>
      </w:r>
      <w:r w:rsidR="51C26683" w:rsidRPr="00306F4D">
        <w:rPr>
          <w:rFonts w:ascii="Arial" w:eastAsia="Arial" w:hAnsi="Arial" w:cs="Arial"/>
          <w:b/>
          <w:color w:val="auto"/>
          <w:sz w:val="20"/>
          <w:szCs w:val="20"/>
        </w:rPr>
        <w:t xml:space="preserve"> </w:t>
      </w:r>
      <w:r w:rsidR="51C26683" w:rsidRPr="00306F4D">
        <w:rPr>
          <w:rFonts w:ascii="Arial" w:eastAsia="Arial" w:hAnsi="Arial" w:cs="Arial"/>
          <w:color w:val="auto"/>
          <w:sz w:val="20"/>
          <w:szCs w:val="20"/>
        </w:rPr>
        <w:t>Screen and score proposals using a standardized scorecard to assess innovation, feasibility, and impact, including gender and social inclusion as scoring criteria.</w:t>
      </w:r>
    </w:p>
    <w:p w14:paraId="02399D15" w14:textId="57F8EB18" w:rsidR="000C502E" w:rsidRPr="00306F4D" w:rsidRDefault="44E2D6E7" w:rsidP="00767310">
      <w:pPr>
        <w:pStyle w:val="ListParagraph"/>
        <w:numPr>
          <w:ilvl w:val="0"/>
          <w:numId w:val="18"/>
        </w:numPr>
        <w:spacing w:before="240" w:after="240" w:line="276" w:lineRule="auto"/>
        <w:rPr>
          <w:rFonts w:ascii="Arial" w:eastAsia="Arial" w:hAnsi="Arial" w:cs="Arial"/>
          <w:color w:val="000000" w:themeColor="text1"/>
          <w:sz w:val="20"/>
          <w:szCs w:val="20"/>
        </w:rPr>
      </w:pPr>
      <w:r w:rsidRPr="00306F4D">
        <w:rPr>
          <w:rFonts w:ascii="Arial" w:eastAsia="Arial" w:hAnsi="Arial" w:cs="Arial"/>
          <w:b/>
          <w:color w:val="auto"/>
          <w:sz w:val="20"/>
          <w:szCs w:val="20"/>
        </w:rPr>
        <w:lastRenderedPageBreak/>
        <w:t xml:space="preserve">Conducted </w:t>
      </w:r>
      <w:r w:rsidR="307DD96D" w:rsidRPr="00306F4D">
        <w:rPr>
          <w:rFonts w:ascii="Arial" w:eastAsia="Arial" w:hAnsi="Arial" w:cs="Arial"/>
          <w:b/>
          <w:color w:val="auto"/>
          <w:sz w:val="20"/>
          <w:szCs w:val="20"/>
        </w:rPr>
        <w:t>Selection and Due D</w:t>
      </w:r>
      <w:r w:rsidR="307DD96D" w:rsidRPr="00306F4D">
        <w:rPr>
          <w:rFonts w:ascii="Arial" w:eastAsia="Arial" w:hAnsi="Arial" w:cs="Arial"/>
          <w:color w:val="auto"/>
          <w:sz w:val="20"/>
          <w:szCs w:val="20"/>
        </w:rPr>
        <w:t>iligence</w:t>
      </w:r>
      <w:r w:rsidR="3508F7E5" w:rsidRPr="00306F4D">
        <w:rPr>
          <w:rFonts w:ascii="Arial" w:eastAsia="Arial" w:hAnsi="Arial" w:cs="Arial"/>
          <w:color w:val="auto"/>
          <w:sz w:val="20"/>
          <w:szCs w:val="20"/>
        </w:rPr>
        <w:t>, including background checks, financial assessments, and risk screening, while applying Environmental and Social Safeguards (ESS) and the Gender Marker.</w:t>
      </w:r>
    </w:p>
    <w:p w14:paraId="639BEAA5" w14:textId="78A25566" w:rsidR="000C502E" w:rsidRPr="00306F4D" w:rsidRDefault="307DD96D" w:rsidP="00767310">
      <w:pPr>
        <w:pStyle w:val="ListParagraph"/>
        <w:numPr>
          <w:ilvl w:val="0"/>
          <w:numId w:val="18"/>
        </w:numPr>
        <w:spacing w:before="240" w:after="240" w:line="276" w:lineRule="auto"/>
        <w:rPr>
          <w:rFonts w:ascii="Arial" w:eastAsia="Arial" w:hAnsi="Arial" w:cs="Arial"/>
          <w:color w:val="000000" w:themeColor="text1"/>
          <w:sz w:val="20"/>
          <w:szCs w:val="20"/>
        </w:rPr>
      </w:pPr>
      <w:r w:rsidRPr="00306F4D">
        <w:rPr>
          <w:rFonts w:ascii="Arial" w:eastAsia="Arial" w:hAnsi="Arial" w:cs="Arial"/>
          <w:b/>
          <w:color w:val="auto"/>
          <w:sz w:val="20"/>
          <w:szCs w:val="20"/>
        </w:rPr>
        <w:t>Grant Agreement Finalization</w:t>
      </w:r>
      <w:r w:rsidR="06A25626" w:rsidRPr="00306F4D">
        <w:rPr>
          <w:rFonts w:ascii="Arial" w:eastAsia="Arial" w:hAnsi="Arial" w:cs="Arial"/>
          <w:b/>
          <w:color w:val="auto"/>
          <w:sz w:val="20"/>
          <w:szCs w:val="20"/>
        </w:rPr>
        <w:t>, r</w:t>
      </w:r>
      <w:r w:rsidR="13FA9213" w:rsidRPr="00306F4D">
        <w:rPr>
          <w:rFonts w:ascii="Arial" w:eastAsia="Arial" w:hAnsi="Arial" w:cs="Arial"/>
          <w:color w:val="auto"/>
          <w:sz w:val="20"/>
          <w:szCs w:val="20"/>
        </w:rPr>
        <w:t>eview and finalize Low Value Grant Agreements (LVGAs) by reviewing and ensuring alignment with national adaptation priorities.</w:t>
      </w:r>
    </w:p>
    <w:p w14:paraId="5B288496" w14:textId="015BDB51" w:rsidR="000C502E" w:rsidRPr="00306F4D" w:rsidRDefault="307DD96D" w:rsidP="00767310">
      <w:pPr>
        <w:pStyle w:val="ListParagraph"/>
        <w:numPr>
          <w:ilvl w:val="0"/>
          <w:numId w:val="18"/>
        </w:numPr>
        <w:spacing w:before="240" w:after="240" w:line="276" w:lineRule="auto"/>
        <w:rPr>
          <w:rFonts w:ascii="Arial" w:eastAsia="Arial" w:hAnsi="Arial" w:cs="Arial"/>
          <w:color w:val="000000" w:themeColor="text1"/>
          <w:sz w:val="20"/>
          <w:szCs w:val="20"/>
        </w:rPr>
      </w:pPr>
      <w:r w:rsidRPr="00306F4D">
        <w:rPr>
          <w:rFonts w:ascii="Arial" w:eastAsia="Arial" w:hAnsi="Arial" w:cs="Arial"/>
          <w:b/>
          <w:color w:val="auto"/>
          <w:sz w:val="20"/>
          <w:szCs w:val="20"/>
        </w:rPr>
        <w:t xml:space="preserve">Disbursement and </w:t>
      </w:r>
      <w:proofErr w:type="gramStart"/>
      <w:r w:rsidRPr="00306F4D">
        <w:rPr>
          <w:rFonts w:ascii="Arial" w:eastAsia="Arial" w:hAnsi="Arial" w:cs="Arial"/>
          <w:b/>
          <w:color w:val="auto"/>
          <w:sz w:val="20"/>
          <w:szCs w:val="20"/>
        </w:rPr>
        <w:t>Monitoring</w:t>
      </w:r>
      <w:r w:rsidR="2AE7829B" w:rsidRPr="00306F4D">
        <w:rPr>
          <w:rFonts w:ascii="Arial" w:eastAsia="Arial" w:hAnsi="Arial" w:cs="Arial"/>
          <w:b/>
          <w:color w:val="auto"/>
          <w:sz w:val="20"/>
          <w:szCs w:val="20"/>
        </w:rPr>
        <w:t xml:space="preserve">, </w:t>
      </w:r>
      <w:r w:rsidR="2300A49F" w:rsidRPr="00306F4D">
        <w:rPr>
          <w:rFonts w:ascii="Arial" w:eastAsia="Arial" w:hAnsi="Arial" w:cs="Arial"/>
          <w:b/>
          <w:color w:val="auto"/>
          <w:sz w:val="20"/>
          <w:szCs w:val="20"/>
        </w:rPr>
        <w:t xml:space="preserve"> </w:t>
      </w:r>
      <w:r w:rsidR="317FB23E" w:rsidRPr="00306F4D">
        <w:rPr>
          <w:rFonts w:ascii="Arial" w:eastAsia="Arial" w:hAnsi="Arial" w:cs="Arial"/>
          <w:color w:val="auto"/>
          <w:sz w:val="20"/>
          <w:szCs w:val="20"/>
        </w:rPr>
        <w:t>di</w:t>
      </w:r>
      <w:r w:rsidR="2300A49F" w:rsidRPr="00306F4D">
        <w:rPr>
          <w:rFonts w:ascii="Arial" w:eastAsia="Arial" w:hAnsi="Arial" w:cs="Arial"/>
          <w:color w:val="auto"/>
          <w:sz w:val="20"/>
          <w:szCs w:val="20"/>
        </w:rPr>
        <w:t>sburse</w:t>
      </w:r>
      <w:proofErr w:type="gramEnd"/>
      <w:r w:rsidR="2300A49F" w:rsidRPr="00306F4D">
        <w:rPr>
          <w:rFonts w:ascii="Arial" w:eastAsia="Arial" w:hAnsi="Arial" w:cs="Arial"/>
          <w:color w:val="auto"/>
          <w:sz w:val="20"/>
          <w:szCs w:val="20"/>
        </w:rPr>
        <w:t xml:space="preserve"> funds in tranches based on milestones, with quarterly reporting and site visits (if required).</w:t>
      </w:r>
    </w:p>
    <w:p w14:paraId="2882E9AC" w14:textId="72646EE8" w:rsidR="00371094" w:rsidRPr="00306F4D" w:rsidRDefault="00371094" w:rsidP="00371094">
      <w:pPr>
        <w:spacing w:after="0" w:line="276" w:lineRule="auto"/>
        <w:rPr>
          <w:rFonts w:ascii="Arial" w:eastAsia="Arial" w:hAnsi="Arial" w:cs="Arial"/>
          <w:b/>
          <w:i/>
          <w:color w:val="000000" w:themeColor="text1"/>
          <w:sz w:val="20"/>
          <w:szCs w:val="20"/>
        </w:rPr>
      </w:pPr>
      <w:r w:rsidRPr="00306F4D">
        <w:rPr>
          <w:rFonts w:ascii="Arial" w:eastAsia="Arial" w:hAnsi="Arial" w:cs="Arial"/>
          <w:b/>
          <w:i/>
          <w:color w:val="000000" w:themeColor="text1"/>
          <w:sz w:val="20"/>
          <w:szCs w:val="20"/>
        </w:rPr>
        <w:t>Output 1.2: Promising pilots are financed through small-scale grants and supported to address climate risks with a focus on gender equality and social inclusion.</w:t>
      </w:r>
    </w:p>
    <w:p w14:paraId="3E0C524F" w14:textId="527F7676" w:rsidR="00371094" w:rsidRPr="00306F4D" w:rsidRDefault="00371094" w:rsidP="00371094">
      <w:pPr>
        <w:spacing w:before="240" w:after="240" w:line="276" w:lineRule="auto"/>
        <w:jc w:val="both"/>
        <w:rPr>
          <w:rFonts w:ascii="Arial" w:eastAsia="Arial" w:hAnsi="Arial" w:cs="Arial"/>
          <w:b/>
          <w:color w:val="auto"/>
          <w:sz w:val="20"/>
          <w:szCs w:val="20"/>
        </w:rPr>
      </w:pPr>
      <w:r w:rsidRPr="00306F4D">
        <w:rPr>
          <w:rFonts w:ascii="Arial" w:eastAsia="Arial" w:hAnsi="Arial" w:cs="Arial"/>
          <w:b/>
          <w:color w:val="auto"/>
          <w:sz w:val="20"/>
          <w:szCs w:val="20"/>
        </w:rPr>
        <w:t>Selection Committee establishment</w:t>
      </w:r>
    </w:p>
    <w:p w14:paraId="7A3FF427" w14:textId="2091D128" w:rsidR="00774B49" w:rsidRPr="00306F4D" w:rsidRDefault="00774B49" w:rsidP="78846333">
      <w:pPr>
        <w:spacing w:before="120" w:after="240" w:line="276" w:lineRule="auto"/>
        <w:rPr>
          <w:rFonts w:ascii="Arial" w:eastAsia="Arial" w:hAnsi="Arial" w:cs="Arial"/>
          <w:color w:val="000000" w:themeColor="text1"/>
          <w:sz w:val="20"/>
          <w:szCs w:val="20"/>
        </w:rPr>
      </w:pPr>
      <w:r w:rsidRPr="00306F4D">
        <w:rPr>
          <w:rFonts w:ascii="Arial" w:eastAsia="Arial" w:hAnsi="Arial" w:cs="Arial"/>
          <w:color w:val="000000" w:themeColor="text1"/>
          <w:sz w:val="20"/>
          <w:szCs w:val="20"/>
        </w:rPr>
        <w:t>As part of the inception phase of the project, a</w:t>
      </w:r>
      <w:r w:rsidR="21B4C608" w:rsidRPr="00306F4D">
        <w:rPr>
          <w:rFonts w:ascii="Arial" w:eastAsia="Arial" w:hAnsi="Arial" w:cs="Arial"/>
          <w:color w:val="000000" w:themeColor="text1"/>
          <w:sz w:val="20"/>
          <w:szCs w:val="20"/>
        </w:rPr>
        <w:t xml:space="preserve"> </w:t>
      </w:r>
      <w:r w:rsidRPr="00306F4D">
        <w:rPr>
          <w:rFonts w:ascii="Arial" w:eastAsia="Arial" w:hAnsi="Arial" w:cs="Arial"/>
          <w:color w:val="000000" w:themeColor="text1"/>
          <w:sz w:val="20"/>
          <w:szCs w:val="20"/>
        </w:rPr>
        <w:t>S</w:t>
      </w:r>
      <w:r w:rsidR="21B4C608" w:rsidRPr="00306F4D">
        <w:rPr>
          <w:rFonts w:ascii="Arial" w:eastAsia="Arial" w:hAnsi="Arial" w:cs="Arial"/>
          <w:color w:val="000000" w:themeColor="text1"/>
          <w:sz w:val="20"/>
          <w:szCs w:val="20"/>
        </w:rPr>
        <w:t>election</w:t>
      </w:r>
      <w:r w:rsidRPr="00306F4D">
        <w:rPr>
          <w:rFonts w:ascii="Arial" w:eastAsia="Arial" w:hAnsi="Arial" w:cs="Arial"/>
          <w:color w:val="000000" w:themeColor="text1"/>
          <w:sz w:val="20"/>
          <w:szCs w:val="20"/>
        </w:rPr>
        <w:t xml:space="preserve"> Committee will be established with delegated responsibility on behalf of the projects Steering Committee</w:t>
      </w:r>
      <w:r w:rsidR="003322CC" w:rsidRPr="00306F4D">
        <w:rPr>
          <w:rFonts w:ascii="Arial" w:eastAsia="Arial" w:hAnsi="Arial" w:cs="Arial"/>
          <w:color w:val="000000" w:themeColor="text1"/>
          <w:sz w:val="20"/>
          <w:szCs w:val="20"/>
        </w:rPr>
        <w:t xml:space="preserve">, as per UNDP’s programmatic </w:t>
      </w:r>
      <w:r w:rsidR="00F406F9" w:rsidRPr="00306F4D">
        <w:rPr>
          <w:rFonts w:ascii="Arial" w:eastAsia="Arial" w:hAnsi="Arial" w:cs="Arial"/>
          <w:color w:val="000000" w:themeColor="text1"/>
          <w:sz w:val="20"/>
          <w:szCs w:val="20"/>
        </w:rPr>
        <w:t xml:space="preserve">rules and regulations. </w:t>
      </w:r>
      <w:r w:rsidR="00BD4EE5" w:rsidRPr="00306F4D">
        <w:rPr>
          <w:rFonts w:ascii="Arial" w:eastAsia="Arial" w:hAnsi="Arial" w:cs="Arial"/>
          <w:color w:val="000000" w:themeColor="text1"/>
          <w:sz w:val="20"/>
          <w:szCs w:val="20"/>
        </w:rPr>
        <w:t xml:space="preserve">The Selection Committee comprises a minimum of </w:t>
      </w:r>
      <w:r w:rsidR="00BE0658" w:rsidRPr="00306F4D">
        <w:rPr>
          <w:rFonts w:ascii="Arial" w:eastAsia="Arial" w:hAnsi="Arial" w:cs="Arial"/>
          <w:color w:val="000000" w:themeColor="text1"/>
          <w:sz w:val="20"/>
          <w:szCs w:val="20"/>
        </w:rPr>
        <w:t>eight</w:t>
      </w:r>
      <w:r w:rsidR="00BD4EE5" w:rsidRPr="00306F4D">
        <w:rPr>
          <w:rFonts w:ascii="Arial" w:eastAsia="Arial" w:hAnsi="Arial" w:cs="Arial"/>
          <w:color w:val="000000" w:themeColor="text1"/>
          <w:sz w:val="20"/>
          <w:szCs w:val="20"/>
        </w:rPr>
        <w:t xml:space="preserve"> members ensuring balanced regional representation and technical expertise:</w:t>
      </w:r>
    </w:p>
    <w:p w14:paraId="2101D2DA" w14:textId="7731B121" w:rsidR="00425115" w:rsidRPr="00306F4D" w:rsidRDefault="00425115" w:rsidP="00DC620C">
      <w:pPr>
        <w:pStyle w:val="ListParagraph"/>
        <w:numPr>
          <w:ilvl w:val="0"/>
          <w:numId w:val="88"/>
        </w:numPr>
        <w:spacing w:before="120" w:after="240" w:line="276" w:lineRule="auto"/>
        <w:rPr>
          <w:rFonts w:ascii="Arial" w:eastAsia="Arial" w:hAnsi="Arial" w:cs="Arial"/>
          <w:color w:val="000000" w:themeColor="text1"/>
          <w:sz w:val="20"/>
          <w:szCs w:val="20"/>
        </w:rPr>
      </w:pPr>
      <w:r w:rsidRPr="00306F4D">
        <w:rPr>
          <w:rFonts w:ascii="Arial" w:eastAsia="Arial" w:hAnsi="Arial" w:cs="Arial"/>
          <w:color w:val="000000" w:themeColor="text1"/>
          <w:sz w:val="20"/>
          <w:szCs w:val="20"/>
        </w:rPr>
        <w:t xml:space="preserve">Four country office representatives at management level (Bosnia and Herzegovina, Montenegro, North Macedonia, Serbia) </w:t>
      </w:r>
    </w:p>
    <w:p w14:paraId="2DE5BEB2" w14:textId="1643C60A" w:rsidR="00425115" w:rsidRPr="00306F4D" w:rsidRDefault="00425115" w:rsidP="00DC620C">
      <w:pPr>
        <w:pStyle w:val="ListParagraph"/>
        <w:numPr>
          <w:ilvl w:val="0"/>
          <w:numId w:val="88"/>
        </w:numPr>
        <w:spacing w:before="120" w:after="240" w:line="276" w:lineRule="auto"/>
        <w:rPr>
          <w:rFonts w:ascii="Arial" w:eastAsia="Arial" w:hAnsi="Arial" w:cs="Arial"/>
          <w:color w:val="000000" w:themeColor="text1"/>
          <w:sz w:val="20"/>
          <w:szCs w:val="20"/>
        </w:rPr>
      </w:pPr>
      <w:r w:rsidRPr="00306F4D">
        <w:rPr>
          <w:rFonts w:ascii="Arial" w:eastAsia="Arial" w:hAnsi="Arial" w:cs="Arial"/>
          <w:color w:val="000000" w:themeColor="text1"/>
          <w:sz w:val="20"/>
          <w:szCs w:val="20"/>
        </w:rPr>
        <w:t xml:space="preserve">One senior representative from UNDP Istanbul Regional Hub </w:t>
      </w:r>
    </w:p>
    <w:p w14:paraId="5AF00D82" w14:textId="77777777" w:rsidR="00425115" w:rsidRPr="00306F4D" w:rsidRDefault="00425115" w:rsidP="00DC620C">
      <w:pPr>
        <w:pStyle w:val="ListParagraph"/>
        <w:numPr>
          <w:ilvl w:val="0"/>
          <w:numId w:val="88"/>
        </w:numPr>
        <w:spacing w:before="120" w:after="240" w:line="276" w:lineRule="auto"/>
        <w:rPr>
          <w:rFonts w:ascii="Arial" w:eastAsia="Arial" w:hAnsi="Arial" w:cs="Arial"/>
          <w:color w:val="000000" w:themeColor="text1"/>
          <w:sz w:val="20"/>
          <w:szCs w:val="20"/>
        </w:rPr>
      </w:pPr>
      <w:r w:rsidRPr="00306F4D">
        <w:rPr>
          <w:rFonts w:ascii="Arial" w:eastAsia="Arial" w:hAnsi="Arial" w:cs="Arial"/>
          <w:color w:val="000000" w:themeColor="text1"/>
          <w:sz w:val="20"/>
          <w:szCs w:val="20"/>
        </w:rPr>
        <w:t xml:space="preserve">One representative from UNDP's Technical Adaptation team </w:t>
      </w:r>
    </w:p>
    <w:p w14:paraId="18C93027" w14:textId="59854462" w:rsidR="00425115" w:rsidRPr="00306F4D" w:rsidRDefault="00425115" w:rsidP="00DC620C">
      <w:pPr>
        <w:pStyle w:val="ListParagraph"/>
        <w:numPr>
          <w:ilvl w:val="0"/>
          <w:numId w:val="88"/>
        </w:numPr>
        <w:spacing w:before="120" w:after="240" w:line="276" w:lineRule="auto"/>
        <w:rPr>
          <w:rFonts w:ascii="Arial" w:eastAsia="Arial" w:hAnsi="Arial" w:cs="Arial"/>
          <w:color w:val="000000" w:themeColor="text1"/>
          <w:sz w:val="20"/>
          <w:szCs w:val="20"/>
        </w:rPr>
      </w:pPr>
      <w:r w:rsidRPr="00306F4D">
        <w:rPr>
          <w:rFonts w:ascii="Arial" w:eastAsia="Arial" w:hAnsi="Arial" w:cs="Arial"/>
          <w:color w:val="000000" w:themeColor="text1"/>
          <w:sz w:val="20"/>
          <w:szCs w:val="20"/>
        </w:rPr>
        <w:t xml:space="preserve">Two external experts from relevant organizations or programs with </w:t>
      </w:r>
      <w:r w:rsidR="004A281A" w:rsidRPr="00306F4D">
        <w:rPr>
          <w:rFonts w:ascii="Arial" w:eastAsia="Arial" w:hAnsi="Arial" w:cs="Arial"/>
          <w:color w:val="000000" w:themeColor="text1"/>
          <w:sz w:val="20"/>
          <w:szCs w:val="20"/>
        </w:rPr>
        <w:t xml:space="preserve">1) </w:t>
      </w:r>
      <w:r w:rsidRPr="00306F4D">
        <w:rPr>
          <w:rFonts w:ascii="Arial" w:eastAsia="Arial" w:hAnsi="Arial" w:cs="Arial"/>
          <w:color w:val="000000" w:themeColor="text1"/>
          <w:sz w:val="20"/>
          <w:szCs w:val="20"/>
        </w:rPr>
        <w:t xml:space="preserve">climate adaptation and </w:t>
      </w:r>
      <w:r w:rsidR="004A281A" w:rsidRPr="00306F4D">
        <w:rPr>
          <w:rFonts w:ascii="Arial" w:eastAsia="Arial" w:hAnsi="Arial" w:cs="Arial"/>
          <w:color w:val="000000" w:themeColor="text1"/>
          <w:sz w:val="20"/>
          <w:szCs w:val="20"/>
        </w:rPr>
        <w:t xml:space="preserve">2) </w:t>
      </w:r>
      <w:r w:rsidRPr="00306F4D">
        <w:rPr>
          <w:rFonts w:ascii="Arial" w:eastAsia="Arial" w:hAnsi="Arial" w:cs="Arial"/>
          <w:color w:val="000000" w:themeColor="text1"/>
          <w:sz w:val="20"/>
          <w:szCs w:val="20"/>
        </w:rPr>
        <w:t>innovation expertise</w:t>
      </w:r>
    </w:p>
    <w:p w14:paraId="22346436" w14:textId="13751BA4" w:rsidR="004A281A" w:rsidRPr="00306F4D" w:rsidRDefault="1CF87804" w:rsidP="02E2BB75">
      <w:pPr>
        <w:pStyle w:val="ListParagraph"/>
        <w:numPr>
          <w:ilvl w:val="0"/>
          <w:numId w:val="88"/>
        </w:numPr>
        <w:spacing w:before="120" w:after="240" w:line="276" w:lineRule="auto"/>
        <w:jc w:val="both"/>
        <w:rPr>
          <w:rFonts w:ascii="Arial" w:eastAsia="Arial" w:hAnsi="Arial" w:cs="Arial"/>
          <w:color w:val="000000" w:themeColor="text1"/>
          <w:sz w:val="20"/>
          <w:szCs w:val="20"/>
        </w:rPr>
      </w:pPr>
      <w:r w:rsidRPr="00306F4D">
        <w:rPr>
          <w:rFonts w:ascii="Arial" w:eastAsia="Arial" w:hAnsi="Arial" w:cs="Arial"/>
          <w:color w:val="000000" w:themeColor="text1"/>
          <w:sz w:val="20"/>
          <w:szCs w:val="20"/>
        </w:rPr>
        <w:t>Social and Environmental Safeguard Specialist and Gender Equality and Women’s Empowerment Specialist</w:t>
      </w:r>
    </w:p>
    <w:p w14:paraId="3A2FFC13" w14:textId="23F65003" w:rsidR="00905051" w:rsidRPr="00306F4D" w:rsidRDefault="3C574C52" w:rsidP="02E2BB75">
      <w:pPr>
        <w:spacing w:before="120" w:after="240" w:line="276" w:lineRule="auto"/>
        <w:jc w:val="both"/>
        <w:rPr>
          <w:rFonts w:ascii="Arial" w:eastAsia="Arial" w:hAnsi="Arial" w:cs="Arial"/>
          <w:color w:val="000000" w:themeColor="text1"/>
          <w:sz w:val="20"/>
          <w:szCs w:val="20"/>
        </w:rPr>
      </w:pPr>
      <w:r w:rsidRPr="00306F4D">
        <w:rPr>
          <w:rFonts w:ascii="Arial" w:eastAsia="Arial" w:hAnsi="Arial" w:cs="Arial"/>
          <w:color w:val="000000" w:themeColor="text1"/>
          <w:sz w:val="20"/>
          <w:szCs w:val="20"/>
        </w:rPr>
        <w:t>Meetings will be held online</w:t>
      </w:r>
      <w:r w:rsidR="54B5F050" w:rsidRPr="00306F4D">
        <w:rPr>
          <w:rFonts w:ascii="Arial" w:eastAsia="Arial" w:hAnsi="Arial" w:cs="Arial"/>
          <w:color w:val="000000" w:themeColor="text1"/>
          <w:sz w:val="20"/>
          <w:szCs w:val="20"/>
        </w:rPr>
        <w:t xml:space="preserve">, the </w:t>
      </w:r>
      <w:r w:rsidR="3721F170" w:rsidRPr="00306F4D">
        <w:rPr>
          <w:rFonts w:ascii="Arial" w:eastAsia="Arial" w:hAnsi="Arial" w:cs="Arial"/>
          <w:color w:val="000000" w:themeColor="text1"/>
          <w:sz w:val="20"/>
          <w:szCs w:val="20"/>
        </w:rPr>
        <w:t>R</w:t>
      </w:r>
      <w:r w:rsidR="54B5F050" w:rsidRPr="00306F4D">
        <w:rPr>
          <w:rFonts w:ascii="Arial" w:eastAsia="Arial" w:hAnsi="Arial" w:cs="Arial"/>
          <w:color w:val="000000" w:themeColor="text1"/>
          <w:sz w:val="20"/>
          <w:szCs w:val="20"/>
        </w:rPr>
        <w:t xml:space="preserve">egional </w:t>
      </w:r>
      <w:r w:rsidR="53765BFF" w:rsidRPr="00306F4D">
        <w:rPr>
          <w:rFonts w:ascii="Arial" w:eastAsia="Arial" w:hAnsi="Arial" w:cs="Arial"/>
          <w:color w:val="000000" w:themeColor="text1"/>
          <w:sz w:val="20"/>
          <w:szCs w:val="20"/>
        </w:rPr>
        <w:t>P</w:t>
      </w:r>
      <w:r w:rsidR="54B5F050" w:rsidRPr="00306F4D">
        <w:rPr>
          <w:rFonts w:ascii="Arial" w:eastAsia="Arial" w:hAnsi="Arial" w:cs="Arial"/>
          <w:color w:val="000000" w:themeColor="text1"/>
          <w:sz w:val="20"/>
          <w:szCs w:val="20"/>
        </w:rPr>
        <w:t xml:space="preserve">roject team serves as the </w:t>
      </w:r>
      <w:r w:rsidR="29D597A7" w:rsidRPr="00306F4D">
        <w:rPr>
          <w:rFonts w:ascii="Arial" w:eastAsia="Arial" w:hAnsi="Arial" w:cs="Arial"/>
          <w:color w:val="000000" w:themeColor="text1"/>
          <w:sz w:val="20"/>
          <w:szCs w:val="20"/>
        </w:rPr>
        <w:t>S</w:t>
      </w:r>
      <w:r w:rsidR="54B5F050" w:rsidRPr="00306F4D">
        <w:rPr>
          <w:rFonts w:ascii="Arial" w:eastAsia="Arial" w:hAnsi="Arial" w:cs="Arial"/>
          <w:color w:val="000000" w:themeColor="text1"/>
          <w:sz w:val="20"/>
          <w:szCs w:val="20"/>
        </w:rPr>
        <w:t xml:space="preserve">ecretariat, and decisions are based on consensus. More information </w:t>
      </w:r>
      <w:r w:rsidR="382D3FD0" w:rsidRPr="00306F4D">
        <w:rPr>
          <w:rFonts w:ascii="Arial" w:eastAsia="Arial" w:hAnsi="Arial" w:cs="Arial"/>
          <w:color w:val="000000" w:themeColor="text1"/>
          <w:sz w:val="20"/>
          <w:szCs w:val="20"/>
        </w:rPr>
        <w:t>will</w:t>
      </w:r>
      <w:r w:rsidR="54B5F050" w:rsidRPr="00306F4D">
        <w:rPr>
          <w:rFonts w:ascii="Arial" w:eastAsia="Arial" w:hAnsi="Arial" w:cs="Arial"/>
          <w:color w:val="000000" w:themeColor="text1"/>
          <w:sz w:val="20"/>
          <w:szCs w:val="20"/>
        </w:rPr>
        <w:t xml:space="preserve"> be spelled out in </w:t>
      </w:r>
      <w:r w:rsidR="382D3FD0" w:rsidRPr="00306F4D">
        <w:rPr>
          <w:rFonts w:ascii="Arial" w:eastAsia="Arial" w:hAnsi="Arial" w:cs="Arial"/>
          <w:color w:val="000000" w:themeColor="text1"/>
          <w:sz w:val="20"/>
          <w:szCs w:val="20"/>
        </w:rPr>
        <w:t>the separate</w:t>
      </w:r>
      <w:r w:rsidR="54B5F050" w:rsidRPr="00306F4D">
        <w:rPr>
          <w:rFonts w:ascii="Arial" w:eastAsia="Arial" w:hAnsi="Arial" w:cs="Arial"/>
          <w:color w:val="000000" w:themeColor="text1"/>
          <w:sz w:val="20"/>
          <w:szCs w:val="20"/>
        </w:rPr>
        <w:t xml:space="preserve"> Terms of Reference of the Selection Committee endorsed upon its first meeting. </w:t>
      </w:r>
      <w:r w:rsidR="506A6DD9" w:rsidRPr="00306F4D">
        <w:rPr>
          <w:rFonts w:ascii="Arial" w:eastAsia="Arial" w:hAnsi="Arial" w:cs="Arial"/>
          <w:color w:val="000000" w:themeColor="text1"/>
          <w:sz w:val="20"/>
          <w:szCs w:val="20"/>
        </w:rPr>
        <w:t xml:space="preserve">Final selection recommendations require endorsement on a no-objection basis by the Steering Committee </w:t>
      </w:r>
      <w:r w:rsidR="2089B525" w:rsidRPr="00306F4D">
        <w:rPr>
          <w:rFonts w:ascii="Arial" w:eastAsia="Arial" w:hAnsi="Arial" w:cs="Arial"/>
          <w:color w:val="000000" w:themeColor="text1"/>
          <w:sz w:val="20"/>
          <w:szCs w:val="20"/>
        </w:rPr>
        <w:t>to ensure</w:t>
      </w:r>
      <w:r w:rsidR="506A6DD9" w:rsidRPr="00306F4D">
        <w:rPr>
          <w:rFonts w:ascii="Arial" w:eastAsia="Arial" w:hAnsi="Arial" w:cs="Arial"/>
          <w:color w:val="000000" w:themeColor="text1"/>
          <w:sz w:val="20"/>
          <w:szCs w:val="20"/>
        </w:rPr>
        <w:t xml:space="preserve"> alignment with overall project objectives and strategic priorities.</w:t>
      </w:r>
      <w:r w:rsidR="4764AD27" w:rsidRPr="00306F4D">
        <w:rPr>
          <w:rFonts w:ascii="Arial" w:eastAsia="Arial" w:hAnsi="Arial" w:cs="Arial"/>
          <w:color w:val="000000" w:themeColor="text1"/>
          <w:sz w:val="20"/>
          <w:szCs w:val="20"/>
        </w:rPr>
        <w:t xml:space="preserve"> </w:t>
      </w:r>
    </w:p>
    <w:p w14:paraId="00EDE712" w14:textId="330690CB" w:rsidR="005B6938" w:rsidRPr="00306F4D" w:rsidRDefault="676C5AB4" w:rsidP="02E2BB75">
      <w:pPr>
        <w:spacing w:before="120" w:after="240" w:line="276" w:lineRule="auto"/>
        <w:jc w:val="both"/>
        <w:rPr>
          <w:rFonts w:ascii="Arial" w:eastAsia="Arial" w:hAnsi="Arial" w:cs="Arial"/>
          <w:color w:val="000000" w:themeColor="text1"/>
          <w:sz w:val="20"/>
          <w:szCs w:val="20"/>
        </w:rPr>
      </w:pPr>
      <w:r w:rsidRPr="00306F4D">
        <w:rPr>
          <w:rFonts w:ascii="Arial" w:eastAsia="Arial" w:hAnsi="Arial" w:cs="Arial"/>
          <w:color w:val="000000" w:themeColor="text1"/>
          <w:sz w:val="20"/>
          <w:szCs w:val="20"/>
        </w:rPr>
        <w:t xml:space="preserve">Robust conflict of interest protocol </w:t>
      </w:r>
      <w:r w:rsidR="58C5AC5C" w:rsidRPr="00306F4D">
        <w:rPr>
          <w:rFonts w:ascii="Arial" w:eastAsia="Arial" w:hAnsi="Arial" w:cs="Arial"/>
          <w:color w:val="000000" w:themeColor="text1"/>
          <w:sz w:val="20"/>
          <w:szCs w:val="20"/>
        </w:rPr>
        <w:t>governs</w:t>
      </w:r>
      <w:r w:rsidRPr="00306F4D">
        <w:rPr>
          <w:rFonts w:ascii="Arial" w:eastAsia="Arial" w:hAnsi="Arial" w:cs="Arial"/>
          <w:color w:val="000000" w:themeColor="text1"/>
          <w:sz w:val="20"/>
          <w:szCs w:val="20"/>
        </w:rPr>
        <w:t xml:space="preserve"> the selection processes. Members of the Selection Committee, along with their affiliated institutions, are ineligible for funding. Any potential conflicts will be declared and managed according to UNDP standards, with affected members recusing themselves from relevant deliberations.</w:t>
      </w:r>
      <w:r w:rsidR="3AF1183D" w:rsidRPr="00306F4D">
        <w:rPr>
          <w:rFonts w:ascii="Arial" w:eastAsia="Arial" w:hAnsi="Arial" w:cs="Arial"/>
          <w:color w:val="000000" w:themeColor="text1"/>
          <w:sz w:val="20"/>
          <w:szCs w:val="20"/>
        </w:rPr>
        <w:t xml:space="preserve"> The grant application template and criteria are found in Annex 2. </w:t>
      </w:r>
      <w:r w:rsidR="38B062FE" w:rsidRPr="00306F4D">
        <w:rPr>
          <w:rFonts w:ascii="Arial" w:eastAsia="Arial" w:hAnsi="Arial" w:cs="Arial"/>
          <w:sz w:val="20"/>
          <w:szCs w:val="20"/>
        </w:rPr>
        <w:t>While grants will be awarded through a competitive merit-based selection process, the Selection Committee will apply a balanced regional distribution principle to ensure equitable participation and capacity development across all four participating countries, while maintaining quality standards and full alignment with project objective.</w:t>
      </w:r>
    </w:p>
    <w:p w14:paraId="52B7685C" w14:textId="6DD37DBD" w:rsidR="4186447D" w:rsidRPr="00306F4D" w:rsidRDefault="3EB15D33" w:rsidP="02E2BB75">
      <w:pPr>
        <w:spacing w:before="120" w:after="240" w:line="276" w:lineRule="auto"/>
        <w:jc w:val="both"/>
        <w:rPr>
          <w:rFonts w:ascii="Arial" w:eastAsia="Arial" w:hAnsi="Arial" w:cs="Arial"/>
          <w:color w:val="000000" w:themeColor="text1"/>
          <w:sz w:val="20"/>
          <w:szCs w:val="20"/>
        </w:rPr>
      </w:pPr>
      <w:r w:rsidRPr="00306F4D">
        <w:rPr>
          <w:rFonts w:ascii="Arial" w:eastAsia="Arial" w:hAnsi="Arial" w:cs="Arial"/>
          <w:color w:val="000000" w:themeColor="text1"/>
          <w:sz w:val="20"/>
          <w:szCs w:val="20"/>
        </w:rPr>
        <w:t>Grant agreements will be executed using appropriate modalities as per UNDP</w:t>
      </w:r>
      <w:r w:rsidR="401AD6A6" w:rsidRPr="00306F4D">
        <w:rPr>
          <w:rFonts w:ascii="Arial" w:eastAsia="Arial" w:hAnsi="Arial" w:cs="Arial"/>
          <w:color w:val="000000" w:themeColor="text1"/>
          <w:sz w:val="20"/>
          <w:szCs w:val="20"/>
        </w:rPr>
        <w:t>’s rules and regulations, and will include Low Value Grants, Innovation Challenge</w:t>
      </w:r>
      <w:r w:rsidR="46CB477D" w:rsidRPr="00306F4D">
        <w:rPr>
          <w:rFonts w:ascii="Arial" w:eastAsia="Arial" w:hAnsi="Arial" w:cs="Arial"/>
          <w:color w:val="000000" w:themeColor="text1"/>
          <w:sz w:val="20"/>
          <w:szCs w:val="20"/>
        </w:rPr>
        <w:t>s</w:t>
      </w:r>
      <w:r w:rsidR="401AD6A6" w:rsidRPr="00306F4D">
        <w:rPr>
          <w:rFonts w:ascii="Arial" w:eastAsia="Arial" w:hAnsi="Arial" w:cs="Arial"/>
          <w:color w:val="000000" w:themeColor="text1"/>
          <w:sz w:val="20"/>
          <w:szCs w:val="20"/>
        </w:rPr>
        <w:t xml:space="preserve">, </w:t>
      </w:r>
      <w:r w:rsidR="46CB477D" w:rsidRPr="00306F4D">
        <w:rPr>
          <w:rFonts w:ascii="Arial" w:eastAsia="Arial" w:hAnsi="Arial" w:cs="Arial"/>
          <w:color w:val="000000" w:themeColor="text1"/>
          <w:sz w:val="20"/>
          <w:szCs w:val="20"/>
        </w:rPr>
        <w:t xml:space="preserve">Responsible Party Agreements, and or in exceptional cases direct procurement by UNDP, to ensure maximum flexibility to adapt </w:t>
      </w:r>
      <w:r w:rsidR="046B8936" w:rsidRPr="00306F4D">
        <w:rPr>
          <w:rFonts w:ascii="Arial" w:eastAsia="Arial" w:hAnsi="Arial" w:cs="Arial"/>
          <w:color w:val="000000" w:themeColor="text1"/>
          <w:sz w:val="20"/>
          <w:szCs w:val="20"/>
        </w:rPr>
        <w:t>to changing circumstances</w:t>
      </w:r>
      <w:r w:rsidR="0CB08A92" w:rsidRPr="00306F4D">
        <w:rPr>
          <w:rFonts w:ascii="Arial" w:eastAsia="Arial" w:hAnsi="Arial" w:cs="Arial"/>
          <w:color w:val="000000" w:themeColor="text1"/>
          <w:sz w:val="20"/>
          <w:szCs w:val="20"/>
        </w:rPr>
        <w:t xml:space="preserve"> on the ground.</w:t>
      </w:r>
    </w:p>
    <w:p w14:paraId="30F1B94A" w14:textId="77777777" w:rsidR="00907A3E" w:rsidRPr="00306F4D" w:rsidRDefault="00E40015" w:rsidP="00852FB0">
      <w:pPr>
        <w:spacing w:before="240" w:after="240" w:line="276" w:lineRule="auto"/>
        <w:jc w:val="both"/>
        <w:rPr>
          <w:rFonts w:ascii="Arial" w:eastAsia="Arial" w:hAnsi="Arial" w:cs="Arial"/>
          <w:b/>
          <w:color w:val="auto"/>
          <w:sz w:val="20"/>
          <w:szCs w:val="20"/>
        </w:rPr>
      </w:pPr>
      <w:r w:rsidRPr="00306F4D">
        <w:rPr>
          <w:rFonts w:ascii="Arial" w:eastAsia="Arial" w:hAnsi="Arial" w:cs="Arial"/>
          <w:b/>
          <w:color w:val="auto"/>
          <w:sz w:val="20"/>
          <w:szCs w:val="20"/>
        </w:rPr>
        <w:t>Grants allocation and monitoring</w:t>
      </w:r>
    </w:p>
    <w:p w14:paraId="14B46693" w14:textId="721257E5" w:rsidR="00852FB0" w:rsidRPr="00306F4D" w:rsidRDefault="00B37720" w:rsidP="00852FB0">
      <w:pPr>
        <w:spacing w:before="240" w:after="240" w:line="276" w:lineRule="auto"/>
        <w:jc w:val="both"/>
        <w:rPr>
          <w:rFonts w:ascii="Arial" w:eastAsia="Arial" w:hAnsi="Arial" w:cs="Arial"/>
          <w:b/>
          <w:color w:val="auto"/>
          <w:sz w:val="20"/>
          <w:szCs w:val="20"/>
        </w:rPr>
      </w:pPr>
      <w:r w:rsidRPr="00306F4D">
        <w:rPr>
          <w:rFonts w:ascii="Arial" w:eastAsia="Arial" w:hAnsi="Arial" w:cs="Arial"/>
          <w:color w:val="auto"/>
          <w:sz w:val="20"/>
          <w:szCs w:val="20"/>
        </w:rPr>
        <w:t>The project's innovation approach deliberately employs a two-tiered f</w:t>
      </w:r>
      <w:r w:rsidR="00852FB0" w:rsidRPr="00306F4D">
        <w:rPr>
          <w:rFonts w:ascii="Arial" w:eastAsia="Arial" w:hAnsi="Arial" w:cs="Arial"/>
          <w:color w:val="auto"/>
          <w:sz w:val="20"/>
          <w:szCs w:val="20"/>
        </w:rPr>
        <w:t>unding</w:t>
      </w:r>
      <w:r w:rsidRPr="00306F4D">
        <w:rPr>
          <w:rFonts w:ascii="Arial" w:eastAsia="Arial" w:hAnsi="Arial" w:cs="Arial"/>
          <w:color w:val="auto"/>
          <w:sz w:val="20"/>
          <w:szCs w:val="20"/>
        </w:rPr>
        <w:t xml:space="preserve"> structure designed to nurture the full spectrum of climate adaptation solutions—from early-stage experimentation to proven concept scaling. This dual approach recognizes that genuine innovation requires supporting both emerging ideas and validated solutions, </w:t>
      </w:r>
      <w:r w:rsidR="009D31EC" w:rsidRPr="00306F4D">
        <w:rPr>
          <w:rFonts w:ascii="Arial" w:eastAsia="Arial" w:hAnsi="Arial" w:cs="Arial"/>
          <w:color w:val="auto"/>
          <w:sz w:val="20"/>
          <w:szCs w:val="20"/>
        </w:rPr>
        <w:t xml:space="preserve">helping to </w:t>
      </w:r>
      <w:r w:rsidR="00BE2BF5" w:rsidRPr="00306F4D">
        <w:rPr>
          <w:rFonts w:ascii="Arial" w:eastAsia="Arial" w:hAnsi="Arial" w:cs="Arial"/>
          <w:color w:val="auto"/>
          <w:sz w:val="20"/>
          <w:szCs w:val="20"/>
        </w:rPr>
        <w:t>foster</w:t>
      </w:r>
      <w:r w:rsidRPr="00306F4D">
        <w:rPr>
          <w:rFonts w:ascii="Arial" w:eastAsia="Arial" w:hAnsi="Arial" w:cs="Arial"/>
          <w:color w:val="auto"/>
          <w:sz w:val="20"/>
          <w:szCs w:val="20"/>
        </w:rPr>
        <w:t xml:space="preserve"> a dynamic ecosystem that generates novel approaches while accelerating proven interventions.</w:t>
      </w:r>
    </w:p>
    <w:p w14:paraId="0EFF2C1F" w14:textId="79FA156E" w:rsidR="00597DE1" w:rsidRPr="00306F4D" w:rsidRDefault="00907A3E" w:rsidP="00597DE1">
      <w:pPr>
        <w:spacing w:before="240" w:after="240" w:line="276" w:lineRule="auto"/>
        <w:jc w:val="both"/>
        <w:rPr>
          <w:rFonts w:ascii="Arial" w:eastAsia="Arial" w:hAnsi="Arial" w:cs="Arial"/>
          <w:color w:val="auto"/>
          <w:sz w:val="20"/>
          <w:szCs w:val="20"/>
        </w:rPr>
      </w:pPr>
      <w:r w:rsidRPr="00306F4D">
        <w:rPr>
          <w:rFonts w:ascii="Arial" w:eastAsia="Arial" w:hAnsi="Arial" w:cs="Arial"/>
          <w:b/>
          <w:color w:val="auto"/>
          <w:sz w:val="20"/>
          <w:szCs w:val="20"/>
        </w:rPr>
        <w:lastRenderedPageBreak/>
        <w:t xml:space="preserve">Lot 1 </w:t>
      </w:r>
      <w:r w:rsidR="00FE23E4" w:rsidRPr="00306F4D">
        <w:rPr>
          <w:rFonts w:ascii="Arial" w:eastAsia="Arial" w:hAnsi="Arial" w:cs="Arial"/>
          <w:b/>
          <w:color w:val="auto"/>
          <w:sz w:val="20"/>
          <w:szCs w:val="20"/>
        </w:rPr>
        <w:t>–</w:t>
      </w:r>
      <w:r w:rsidRPr="00306F4D">
        <w:rPr>
          <w:rFonts w:ascii="Arial" w:eastAsia="Arial" w:hAnsi="Arial" w:cs="Arial"/>
          <w:b/>
          <w:color w:val="auto"/>
          <w:sz w:val="20"/>
          <w:szCs w:val="20"/>
        </w:rPr>
        <w:t xml:space="preserve"> </w:t>
      </w:r>
      <w:r w:rsidR="00623DB1" w:rsidRPr="00306F4D">
        <w:rPr>
          <w:rFonts w:ascii="Arial" w:eastAsia="Arial" w:hAnsi="Arial" w:cs="Arial"/>
          <w:b/>
          <w:color w:val="auto"/>
          <w:sz w:val="20"/>
          <w:szCs w:val="20"/>
        </w:rPr>
        <w:t>Grants</w:t>
      </w:r>
      <w:r w:rsidR="00B37720" w:rsidRPr="00306F4D">
        <w:rPr>
          <w:rFonts w:ascii="Arial" w:eastAsia="Arial" w:hAnsi="Arial" w:cs="Arial"/>
          <w:b/>
          <w:color w:val="auto"/>
          <w:sz w:val="20"/>
          <w:szCs w:val="20"/>
        </w:rPr>
        <w:t xml:space="preserve"> for Innovation and Experimentation (USD 15,000 - USD 40,000)</w:t>
      </w:r>
      <w:r w:rsidR="00B37720" w:rsidRPr="00306F4D">
        <w:rPr>
          <w:rFonts w:ascii="Arial" w:eastAsia="Arial" w:hAnsi="Arial" w:cs="Arial"/>
          <w:color w:val="auto"/>
          <w:sz w:val="20"/>
          <w:szCs w:val="20"/>
        </w:rPr>
        <w:t xml:space="preserve"> These smaller grants specifically target novel approaches, emerging technologies, or innovative business models with clear potential for climate adaptation impact. Priority will be given to:</w:t>
      </w:r>
    </w:p>
    <w:p w14:paraId="2C6FDDDD" w14:textId="77777777" w:rsidR="00597DE1" w:rsidRPr="00306F4D" w:rsidRDefault="00B37720" w:rsidP="00DC620C">
      <w:pPr>
        <w:pStyle w:val="ListParagraph"/>
        <w:numPr>
          <w:ilvl w:val="0"/>
          <w:numId w:val="88"/>
        </w:numPr>
        <w:spacing w:before="240" w:after="240" w:line="276" w:lineRule="auto"/>
        <w:jc w:val="both"/>
        <w:rPr>
          <w:rFonts w:ascii="Arial" w:eastAsia="Arial" w:hAnsi="Arial" w:cs="Arial"/>
          <w:b/>
          <w:color w:val="auto"/>
          <w:sz w:val="20"/>
          <w:szCs w:val="20"/>
        </w:rPr>
      </w:pPr>
      <w:r w:rsidRPr="00306F4D">
        <w:rPr>
          <w:rFonts w:ascii="Arial" w:eastAsia="Arial" w:hAnsi="Arial" w:cs="Arial"/>
          <w:color w:val="auto"/>
          <w:sz w:val="20"/>
          <w:szCs w:val="20"/>
        </w:rPr>
        <w:t>Untested but promising concepts that address adaptation challenges through new methodologies</w:t>
      </w:r>
    </w:p>
    <w:p w14:paraId="045C91EC" w14:textId="77777777" w:rsidR="00597DE1" w:rsidRPr="00306F4D" w:rsidRDefault="00B37720" w:rsidP="00DC620C">
      <w:pPr>
        <w:pStyle w:val="ListParagraph"/>
        <w:numPr>
          <w:ilvl w:val="0"/>
          <w:numId w:val="88"/>
        </w:numPr>
        <w:spacing w:before="240" w:after="240" w:line="276" w:lineRule="auto"/>
        <w:jc w:val="both"/>
        <w:rPr>
          <w:rFonts w:ascii="Arial" w:eastAsia="Arial" w:hAnsi="Arial" w:cs="Arial"/>
          <w:b/>
          <w:color w:val="auto"/>
          <w:sz w:val="20"/>
          <w:szCs w:val="20"/>
        </w:rPr>
      </w:pPr>
      <w:r w:rsidRPr="00306F4D">
        <w:rPr>
          <w:rFonts w:ascii="Arial" w:eastAsia="Arial" w:hAnsi="Arial" w:cs="Arial"/>
          <w:color w:val="auto"/>
          <w:sz w:val="20"/>
          <w:szCs w:val="20"/>
        </w:rPr>
        <w:t>Early-stage innovations from non-traditional actors or emerging organizations</w:t>
      </w:r>
    </w:p>
    <w:p w14:paraId="6C29E804" w14:textId="77777777" w:rsidR="00597DE1" w:rsidRPr="00306F4D" w:rsidRDefault="00B37720" w:rsidP="00DC620C">
      <w:pPr>
        <w:pStyle w:val="ListParagraph"/>
        <w:numPr>
          <w:ilvl w:val="0"/>
          <w:numId w:val="88"/>
        </w:numPr>
        <w:spacing w:before="240" w:after="240" w:line="276" w:lineRule="auto"/>
        <w:jc w:val="both"/>
        <w:rPr>
          <w:rFonts w:ascii="Arial" w:eastAsia="Arial" w:hAnsi="Arial" w:cs="Arial"/>
          <w:b/>
          <w:color w:val="auto"/>
          <w:sz w:val="20"/>
          <w:szCs w:val="20"/>
        </w:rPr>
      </w:pPr>
      <w:r w:rsidRPr="00306F4D">
        <w:rPr>
          <w:rFonts w:ascii="Arial" w:eastAsia="Arial" w:hAnsi="Arial" w:cs="Arial"/>
          <w:color w:val="auto"/>
          <w:sz w:val="20"/>
          <w:szCs w:val="20"/>
        </w:rPr>
        <w:t>Experimental approaches that challenge conventional adaptation practices</w:t>
      </w:r>
    </w:p>
    <w:p w14:paraId="37440976" w14:textId="77777777" w:rsidR="00597DE1" w:rsidRPr="00306F4D" w:rsidRDefault="00B37720" w:rsidP="00DC620C">
      <w:pPr>
        <w:pStyle w:val="ListParagraph"/>
        <w:numPr>
          <w:ilvl w:val="0"/>
          <w:numId w:val="88"/>
        </w:numPr>
        <w:spacing w:before="240" w:after="240" w:line="276" w:lineRule="auto"/>
        <w:jc w:val="both"/>
        <w:rPr>
          <w:rFonts w:ascii="Arial" w:eastAsia="Arial" w:hAnsi="Arial" w:cs="Arial"/>
          <w:b/>
          <w:color w:val="auto"/>
          <w:sz w:val="20"/>
          <w:szCs w:val="20"/>
        </w:rPr>
      </w:pPr>
      <w:r w:rsidRPr="00306F4D">
        <w:rPr>
          <w:rFonts w:ascii="Arial" w:eastAsia="Arial" w:hAnsi="Arial" w:cs="Arial"/>
          <w:color w:val="auto"/>
          <w:sz w:val="20"/>
          <w:szCs w:val="20"/>
        </w:rPr>
        <w:t>Solutions that demonstrate potential for breakthrough impact despite limited track records</w:t>
      </w:r>
    </w:p>
    <w:p w14:paraId="378D24A5" w14:textId="09AFB2D7" w:rsidR="00B37720" w:rsidRPr="00306F4D" w:rsidRDefault="00907A3E" w:rsidP="00597DE1">
      <w:pPr>
        <w:spacing w:before="240" w:after="240" w:line="276" w:lineRule="auto"/>
        <w:jc w:val="both"/>
        <w:rPr>
          <w:rFonts w:ascii="Arial" w:eastAsia="Arial" w:hAnsi="Arial" w:cs="Arial"/>
          <w:b/>
          <w:color w:val="auto"/>
          <w:sz w:val="20"/>
          <w:szCs w:val="20"/>
        </w:rPr>
      </w:pPr>
      <w:r w:rsidRPr="00306F4D">
        <w:rPr>
          <w:rFonts w:ascii="Arial" w:eastAsia="Arial" w:hAnsi="Arial" w:cs="Arial"/>
          <w:b/>
          <w:color w:val="auto"/>
          <w:sz w:val="20"/>
          <w:szCs w:val="20"/>
        </w:rPr>
        <w:t xml:space="preserve">Lot 2 - </w:t>
      </w:r>
      <w:r w:rsidR="00B37720" w:rsidRPr="00306F4D">
        <w:rPr>
          <w:rFonts w:ascii="Arial" w:eastAsia="Arial" w:hAnsi="Arial" w:cs="Arial"/>
          <w:b/>
          <w:color w:val="auto"/>
          <w:sz w:val="20"/>
          <w:szCs w:val="20"/>
        </w:rPr>
        <w:t>Scaling Grants for Proven Solutions (USD 40,000 - USD 150,000)</w:t>
      </w:r>
      <w:r w:rsidR="00B37720" w:rsidRPr="00306F4D">
        <w:rPr>
          <w:rFonts w:ascii="Arial" w:eastAsia="Arial" w:hAnsi="Arial" w:cs="Arial"/>
          <w:color w:val="auto"/>
          <w:sz w:val="20"/>
          <w:szCs w:val="20"/>
        </w:rPr>
        <w:t xml:space="preserve"> These larger grants support the expansion or replication of solutions that have demonstrated early results and pathways to scale. Focus areas include:</w:t>
      </w:r>
    </w:p>
    <w:p w14:paraId="3CC39340" w14:textId="338A533D" w:rsidR="00B37720" w:rsidRPr="00306F4D" w:rsidRDefault="68DC3122" w:rsidP="00DC620C">
      <w:pPr>
        <w:pStyle w:val="ListParagraph"/>
        <w:numPr>
          <w:ilvl w:val="0"/>
          <w:numId w:val="88"/>
        </w:numPr>
        <w:spacing w:before="240" w:after="240" w:line="276" w:lineRule="auto"/>
        <w:jc w:val="both"/>
        <w:rPr>
          <w:rFonts w:ascii="Arial" w:eastAsia="Arial" w:hAnsi="Arial" w:cs="Arial"/>
          <w:color w:val="auto"/>
          <w:sz w:val="20"/>
          <w:szCs w:val="20"/>
        </w:rPr>
      </w:pPr>
      <w:r w:rsidRPr="00306F4D">
        <w:rPr>
          <w:rFonts w:ascii="Arial" w:eastAsia="Arial" w:hAnsi="Arial" w:cs="Arial"/>
          <w:color w:val="auto"/>
          <w:sz w:val="20"/>
          <w:szCs w:val="20"/>
        </w:rPr>
        <w:t>Validated approaches ready for geographic expansion</w:t>
      </w:r>
      <w:r w:rsidR="4EF56C32" w:rsidRPr="00306F4D">
        <w:rPr>
          <w:rFonts w:ascii="Arial" w:eastAsia="Arial" w:hAnsi="Arial" w:cs="Arial"/>
          <w:color w:val="auto"/>
          <w:sz w:val="20"/>
          <w:szCs w:val="20"/>
        </w:rPr>
        <w:t xml:space="preserve">, replication </w:t>
      </w:r>
      <w:r w:rsidRPr="00306F4D">
        <w:rPr>
          <w:rFonts w:ascii="Arial" w:eastAsia="Arial" w:hAnsi="Arial" w:cs="Arial"/>
          <w:color w:val="auto"/>
          <w:sz w:val="20"/>
          <w:szCs w:val="20"/>
        </w:rPr>
        <w:t>or deeper implementation</w:t>
      </w:r>
    </w:p>
    <w:p w14:paraId="35F4D8C4" w14:textId="77777777" w:rsidR="00B37720" w:rsidRPr="00306F4D" w:rsidRDefault="00B37720" w:rsidP="00DC620C">
      <w:pPr>
        <w:pStyle w:val="ListParagraph"/>
        <w:numPr>
          <w:ilvl w:val="0"/>
          <w:numId w:val="88"/>
        </w:numPr>
        <w:spacing w:before="240" w:after="240" w:line="276" w:lineRule="auto"/>
        <w:jc w:val="both"/>
        <w:rPr>
          <w:rFonts w:ascii="Arial" w:eastAsia="Arial" w:hAnsi="Arial" w:cs="Arial"/>
          <w:color w:val="auto"/>
          <w:sz w:val="20"/>
          <w:szCs w:val="20"/>
        </w:rPr>
      </w:pPr>
      <w:r w:rsidRPr="00306F4D">
        <w:rPr>
          <w:rFonts w:ascii="Arial" w:eastAsia="Arial" w:hAnsi="Arial" w:cs="Arial"/>
          <w:color w:val="auto"/>
          <w:sz w:val="20"/>
          <w:szCs w:val="20"/>
        </w:rPr>
        <w:t>Proven technologies or methodologies requiring support for broader adoption</w:t>
      </w:r>
    </w:p>
    <w:p w14:paraId="0D2C9ADE" w14:textId="61AF2FE5" w:rsidR="00BC3363" w:rsidRPr="00306F4D" w:rsidRDefault="00B37720" w:rsidP="00BC3363">
      <w:pPr>
        <w:pStyle w:val="ListParagraph"/>
        <w:numPr>
          <w:ilvl w:val="0"/>
          <w:numId w:val="88"/>
        </w:numPr>
        <w:spacing w:before="240" w:after="240" w:line="276" w:lineRule="auto"/>
        <w:jc w:val="both"/>
        <w:rPr>
          <w:rFonts w:ascii="Arial" w:eastAsia="Arial" w:hAnsi="Arial" w:cs="Arial"/>
          <w:color w:val="auto"/>
          <w:sz w:val="20"/>
          <w:szCs w:val="20"/>
        </w:rPr>
      </w:pPr>
      <w:r w:rsidRPr="00306F4D">
        <w:rPr>
          <w:rFonts w:ascii="Arial" w:eastAsia="Arial" w:hAnsi="Arial" w:cs="Arial"/>
          <w:color w:val="auto"/>
          <w:sz w:val="20"/>
          <w:szCs w:val="20"/>
        </w:rPr>
        <w:t xml:space="preserve">Successful pilot initiatives with documented </w:t>
      </w:r>
      <w:r w:rsidR="000143F6" w:rsidRPr="00306F4D">
        <w:rPr>
          <w:rFonts w:ascii="Arial" w:eastAsia="Arial" w:hAnsi="Arial" w:cs="Arial"/>
          <w:color w:val="auto"/>
          <w:sz w:val="20"/>
          <w:szCs w:val="20"/>
        </w:rPr>
        <w:t>results</w:t>
      </w:r>
      <w:r w:rsidRPr="00306F4D">
        <w:rPr>
          <w:rFonts w:ascii="Arial" w:eastAsia="Arial" w:hAnsi="Arial" w:cs="Arial"/>
          <w:color w:val="auto"/>
          <w:sz w:val="20"/>
          <w:szCs w:val="20"/>
        </w:rPr>
        <w:t xml:space="preserve"> and scaling potential</w:t>
      </w:r>
    </w:p>
    <w:p w14:paraId="22318CCD" w14:textId="66008953" w:rsidR="00BC3363" w:rsidRPr="00306F4D" w:rsidRDefault="0584787F" w:rsidP="00BC3363">
      <w:pPr>
        <w:spacing w:before="240" w:after="240" w:line="276" w:lineRule="auto"/>
        <w:jc w:val="both"/>
        <w:rPr>
          <w:rFonts w:ascii="Arial" w:eastAsia="Arial" w:hAnsi="Arial" w:cs="Arial"/>
          <w:color w:val="auto"/>
          <w:sz w:val="20"/>
          <w:szCs w:val="20"/>
        </w:rPr>
      </w:pPr>
      <w:r w:rsidRPr="00306F4D">
        <w:rPr>
          <w:rFonts w:ascii="Arial" w:eastAsia="Arial" w:hAnsi="Arial" w:cs="Arial"/>
          <w:color w:val="auto"/>
          <w:sz w:val="20"/>
          <w:szCs w:val="20"/>
        </w:rPr>
        <w:t xml:space="preserve">By </w:t>
      </w:r>
      <w:r w:rsidR="636BD43F" w:rsidRPr="00306F4D">
        <w:rPr>
          <w:rFonts w:ascii="Arial" w:eastAsia="Arial" w:hAnsi="Arial" w:cs="Arial"/>
          <w:color w:val="auto"/>
          <w:sz w:val="20"/>
          <w:szCs w:val="20"/>
        </w:rPr>
        <w:t xml:space="preserve">supporting both experimentation and scaling, the project </w:t>
      </w:r>
      <w:r w:rsidR="54168FF6" w:rsidRPr="00306F4D">
        <w:rPr>
          <w:rFonts w:ascii="Arial" w:eastAsia="Arial" w:hAnsi="Arial" w:cs="Arial"/>
          <w:color w:val="auto"/>
          <w:sz w:val="20"/>
          <w:szCs w:val="20"/>
        </w:rPr>
        <w:t xml:space="preserve">aims to </w:t>
      </w:r>
      <w:r w:rsidR="636BD43F" w:rsidRPr="00306F4D">
        <w:rPr>
          <w:rFonts w:ascii="Arial" w:eastAsia="Arial" w:hAnsi="Arial" w:cs="Arial"/>
          <w:color w:val="auto"/>
          <w:sz w:val="20"/>
          <w:szCs w:val="20"/>
        </w:rPr>
        <w:t>create a</w:t>
      </w:r>
      <w:r w:rsidR="1C8FC9EA" w:rsidRPr="00306F4D">
        <w:rPr>
          <w:rFonts w:ascii="Arial" w:eastAsia="Arial" w:hAnsi="Arial" w:cs="Arial"/>
          <w:color w:val="auto"/>
          <w:sz w:val="20"/>
          <w:szCs w:val="20"/>
        </w:rPr>
        <w:t>n</w:t>
      </w:r>
      <w:r w:rsidR="636BD43F" w:rsidRPr="00306F4D">
        <w:rPr>
          <w:rFonts w:ascii="Arial" w:eastAsia="Arial" w:hAnsi="Arial" w:cs="Arial"/>
          <w:color w:val="auto"/>
          <w:sz w:val="20"/>
          <w:szCs w:val="20"/>
        </w:rPr>
        <w:t xml:space="preserve"> innovation facility for climate adaptation that can attract additional funding sources beyond the Adaptation Fund. This facility acts as a dynamic platform for generating, testing, and scaling new solutions, building a pipeline of innovations that can leverage diverse funding mechanisms and create sustained impact across the Western Balkans region.</w:t>
      </w:r>
    </w:p>
    <w:p w14:paraId="4F71EC0C" w14:textId="60EFAF40" w:rsidR="00B37720" w:rsidRPr="00306F4D" w:rsidRDefault="614E9A40" w:rsidP="00BC3363">
      <w:pPr>
        <w:spacing w:before="240" w:after="240" w:line="276" w:lineRule="auto"/>
        <w:jc w:val="both"/>
        <w:rPr>
          <w:rFonts w:ascii="Arial" w:eastAsia="Arial" w:hAnsi="Arial" w:cs="Arial"/>
          <w:color w:val="auto"/>
          <w:sz w:val="20"/>
          <w:szCs w:val="20"/>
        </w:rPr>
      </w:pPr>
      <w:r w:rsidRPr="00306F4D">
        <w:rPr>
          <w:rFonts w:ascii="Arial" w:eastAsia="Arial" w:hAnsi="Arial" w:cs="Arial"/>
          <w:color w:val="auto"/>
          <w:sz w:val="20"/>
          <w:szCs w:val="20"/>
        </w:rPr>
        <w:t xml:space="preserve">On </w:t>
      </w:r>
      <w:r w:rsidRPr="00306F4D">
        <w:rPr>
          <w:rFonts w:ascii="Arial" w:eastAsia="Arial" w:hAnsi="Arial" w:cs="Arial"/>
          <w:b/>
          <w:bCs/>
          <w:color w:val="auto"/>
          <w:sz w:val="20"/>
          <w:szCs w:val="20"/>
        </w:rPr>
        <w:t>quality assurance and compliance</w:t>
      </w:r>
      <w:r w:rsidRPr="00306F4D">
        <w:rPr>
          <w:rFonts w:ascii="Arial" w:eastAsia="Arial" w:hAnsi="Arial" w:cs="Arial"/>
          <w:color w:val="auto"/>
          <w:sz w:val="20"/>
          <w:szCs w:val="20"/>
        </w:rPr>
        <w:t>, a</w:t>
      </w:r>
      <w:r w:rsidR="636BD43F" w:rsidRPr="00306F4D">
        <w:rPr>
          <w:rFonts w:ascii="Arial" w:eastAsia="Arial" w:hAnsi="Arial" w:cs="Arial"/>
          <w:color w:val="auto"/>
          <w:sz w:val="20"/>
          <w:szCs w:val="20"/>
        </w:rPr>
        <w:t>ll proposals undergo rigorous screening aligned with Adaptation Fund and UNDP guidelines, including:</w:t>
      </w:r>
    </w:p>
    <w:p w14:paraId="60797AEC" w14:textId="787302CD" w:rsidR="00B37720" w:rsidRPr="00306F4D" w:rsidRDefault="488BDF5B" w:rsidP="02E2BB75">
      <w:pPr>
        <w:pStyle w:val="Heading4"/>
        <w:numPr>
          <w:ilvl w:val="0"/>
          <w:numId w:val="89"/>
        </w:numPr>
        <w:spacing w:before="0" w:after="120" w:line="276" w:lineRule="auto"/>
        <w:contextualSpacing/>
        <w:jc w:val="both"/>
        <w:rPr>
          <w:rFonts w:ascii="Arial" w:eastAsia="Arial" w:hAnsi="Arial" w:cs="Arial"/>
          <w:i w:val="0"/>
          <w:iCs w:val="0"/>
          <w:color w:val="auto"/>
          <w:sz w:val="20"/>
          <w:szCs w:val="20"/>
        </w:rPr>
      </w:pPr>
      <w:r w:rsidRPr="00306F4D">
        <w:rPr>
          <w:rFonts w:ascii="Arial" w:eastAsia="Arial" w:hAnsi="Arial" w:cs="Arial"/>
          <w:i w:val="0"/>
          <w:iCs w:val="0"/>
          <w:color w:val="auto"/>
          <w:sz w:val="20"/>
          <w:szCs w:val="20"/>
        </w:rPr>
        <w:t>S</w:t>
      </w:r>
      <w:r w:rsidR="636BD43F" w:rsidRPr="00306F4D">
        <w:rPr>
          <w:rFonts w:ascii="Arial" w:eastAsia="Arial" w:hAnsi="Arial" w:cs="Arial"/>
          <w:i w:val="0"/>
          <w:iCs w:val="0"/>
          <w:color w:val="auto"/>
          <w:sz w:val="20"/>
          <w:szCs w:val="20"/>
        </w:rPr>
        <w:t>ocial and environmental safeguards assessment</w:t>
      </w:r>
    </w:p>
    <w:p w14:paraId="2F6DA586" w14:textId="3AE2AB8F" w:rsidR="00B37720" w:rsidRPr="00306F4D" w:rsidRDefault="675D5A2F" w:rsidP="02E2BB75">
      <w:pPr>
        <w:pStyle w:val="Heading4"/>
        <w:numPr>
          <w:ilvl w:val="0"/>
          <w:numId w:val="89"/>
        </w:numPr>
        <w:spacing w:before="0" w:after="120" w:line="276" w:lineRule="auto"/>
        <w:contextualSpacing/>
        <w:jc w:val="both"/>
        <w:rPr>
          <w:rFonts w:ascii="Arial" w:eastAsia="Arial" w:hAnsi="Arial" w:cs="Arial"/>
          <w:i w:val="0"/>
          <w:iCs w:val="0"/>
          <w:color w:val="auto"/>
          <w:sz w:val="20"/>
          <w:szCs w:val="20"/>
        </w:rPr>
      </w:pPr>
      <w:r w:rsidRPr="00306F4D">
        <w:rPr>
          <w:rFonts w:ascii="Arial" w:eastAsia="Arial" w:hAnsi="Arial" w:cs="Arial"/>
          <w:i w:val="0"/>
          <w:iCs w:val="0"/>
          <w:color w:val="auto"/>
          <w:sz w:val="20"/>
          <w:szCs w:val="20"/>
        </w:rPr>
        <w:t xml:space="preserve">Gender analysis and inclusion impact </w:t>
      </w:r>
      <w:r w:rsidR="539CB649" w:rsidRPr="00306F4D">
        <w:rPr>
          <w:rFonts w:ascii="Arial" w:eastAsia="Arial" w:hAnsi="Arial" w:cs="Arial"/>
          <w:i w:val="0"/>
          <w:iCs w:val="0"/>
          <w:color w:val="auto"/>
          <w:sz w:val="20"/>
          <w:szCs w:val="20"/>
        </w:rPr>
        <w:t>review</w:t>
      </w:r>
    </w:p>
    <w:p w14:paraId="1C73CDD7" w14:textId="605DB2BD" w:rsidR="00B37720" w:rsidRPr="00306F4D" w:rsidRDefault="636BD43F" w:rsidP="02E2BB75">
      <w:pPr>
        <w:pStyle w:val="Heading4"/>
        <w:numPr>
          <w:ilvl w:val="0"/>
          <w:numId w:val="89"/>
        </w:numPr>
        <w:spacing w:before="0" w:after="120" w:line="276" w:lineRule="auto"/>
        <w:contextualSpacing/>
        <w:jc w:val="both"/>
        <w:rPr>
          <w:rFonts w:ascii="Arial" w:eastAsia="Arial" w:hAnsi="Arial" w:cs="Arial"/>
          <w:i w:val="0"/>
          <w:iCs w:val="0"/>
          <w:color w:val="auto"/>
          <w:sz w:val="20"/>
          <w:szCs w:val="20"/>
        </w:rPr>
      </w:pPr>
      <w:r w:rsidRPr="00306F4D">
        <w:rPr>
          <w:rFonts w:ascii="Arial" w:eastAsia="Arial" w:hAnsi="Arial" w:cs="Arial"/>
          <w:i w:val="0"/>
          <w:iCs w:val="0"/>
          <w:color w:val="auto"/>
          <w:sz w:val="20"/>
          <w:szCs w:val="20"/>
        </w:rPr>
        <w:t xml:space="preserve">Sustainability and scalability </w:t>
      </w:r>
      <w:r w:rsidR="614E9A40" w:rsidRPr="00306F4D">
        <w:rPr>
          <w:rFonts w:ascii="Arial" w:eastAsia="Arial" w:hAnsi="Arial" w:cs="Arial"/>
          <w:i w:val="0"/>
          <w:iCs w:val="0"/>
          <w:color w:val="auto"/>
          <w:sz w:val="20"/>
          <w:szCs w:val="20"/>
        </w:rPr>
        <w:t>review</w:t>
      </w:r>
    </w:p>
    <w:p w14:paraId="13EB10AD" w14:textId="2E12BC2E" w:rsidR="695697BF" w:rsidRPr="00306F4D" w:rsidRDefault="3C51B307" w:rsidP="02E2BB75">
      <w:pPr>
        <w:pStyle w:val="Heading4"/>
        <w:numPr>
          <w:ilvl w:val="0"/>
          <w:numId w:val="89"/>
        </w:numPr>
        <w:spacing w:before="0" w:after="120" w:line="276" w:lineRule="auto"/>
        <w:contextualSpacing/>
        <w:jc w:val="both"/>
        <w:rPr>
          <w:rFonts w:ascii="Arial" w:eastAsia="Arial" w:hAnsi="Arial" w:cs="Arial"/>
          <w:i w:val="0"/>
          <w:iCs w:val="0"/>
          <w:color w:val="auto"/>
          <w:sz w:val="20"/>
          <w:szCs w:val="20"/>
        </w:rPr>
      </w:pPr>
      <w:r w:rsidRPr="00306F4D">
        <w:rPr>
          <w:rFonts w:ascii="Arial" w:eastAsia="Arial" w:hAnsi="Arial" w:cs="Arial"/>
          <w:i w:val="0"/>
          <w:iCs w:val="0"/>
          <w:color w:val="auto"/>
          <w:sz w:val="20"/>
          <w:szCs w:val="20"/>
        </w:rPr>
        <w:t>Technical feasibility and innovation potential review</w:t>
      </w:r>
    </w:p>
    <w:p w14:paraId="0FCDFD39" w14:textId="788631EE" w:rsidR="00B37720" w:rsidRPr="00306F4D" w:rsidRDefault="00B37720" w:rsidP="02E2BB75">
      <w:pPr>
        <w:pStyle w:val="Heading4"/>
        <w:spacing w:before="0" w:after="120" w:line="276" w:lineRule="auto"/>
        <w:jc w:val="both"/>
        <w:rPr>
          <w:rFonts w:ascii="Arial" w:eastAsia="Arial" w:hAnsi="Arial" w:cs="Arial"/>
          <w:i w:val="0"/>
          <w:iCs w:val="0"/>
          <w:color w:val="auto"/>
          <w:sz w:val="20"/>
          <w:szCs w:val="20"/>
        </w:rPr>
      </w:pPr>
    </w:p>
    <w:p w14:paraId="6D259F1A" w14:textId="426B4A9C" w:rsidR="00B37720" w:rsidRPr="00306F4D" w:rsidRDefault="636BD43F" w:rsidP="02E2BB75">
      <w:pPr>
        <w:pStyle w:val="Heading4"/>
        <w:spacing w:before="0" w:after="120" w:line="276" w:lineRule="auto"/>
        <w:jc w:val="both"/>
        <w:rPr>
          <w:rFonts w:ascii="Arial" w:eastAsia="Arial" w:hAnsi="Arial" w:cs="Arial"/>
          <w:i w:val="0"/>
          <w:iCs w:val="0"/>
          <w:color w:val="auto"/>
          <w:sz w:val="20"/>
          <w:szCs w:val="20"/>
        </w:rPr>
      </w:pPr>
      <w:r w:rsidRPr="00306F4D">
        <w:rPr>
          <w:rFonts w:ascii="Arial" w:eastAsia="Arial" w:hAnsi="Arial" w:cs="Arial"/>
          <w:i w:val="0"/>
          <w:iCs w:val="0"/>
          <w:color w:val="auto"/>
          <w:sz w:val="20"/>
          <w:szCs w:val="20"/>
        </w:rPr>
        <w:t>Priority consideration will be given to concepts that enhance the resilience of vulnerable populations, demonstrate clear pathways to longer-term sustainability, and contribute to the broader learning agenda of the innovation facility.</w:t>
      </w:r>
    </w:p>
    <w:p w14:paraId="276BDEF3" w14:textId="060F4A21" w:rsidR="4186447D" w:rsidRPr="00306F4D" w:rsidRDefault="675D5A2F" w:rsidP="00413459">
      <w:pPr>
        <w:spacing w:before="240" w:after="240" w:line="276" w:lineRule="auto"/>
        <w:jc w:val="both"/>
        <w:rPr>
          <w:rFonts w:ascii="Arial" w:eastAsia="Arial" w:hAnsi="Arial" w:cs="Arial"/>
          <w:i/>
          <w:iCs/>
          <w:color w:val="auto"/>
          <w:sz w:val="20"/>
          <w:szCs w:val="20"/>
        </w:rPr>
      </w:pPr>
      <w:r w:rsidRPr="00306F4D">
        <w:rPr>
          <w:rFonts w:ascii="Arial" w:eastAsia="Arial" w:hAnsi="Arial" w:cs="Arial"/>
          <w:i/>
          <w:color w:val="auto"/>
          <w:sz w:val="20"/>
          <w:szCs w:val="20"/>
        </w:rPr>
        <w:t xml:space="preserve">Grant </w:t>
      </w:r>
      <w:r w:rsidR="5488DD42" w:rsidRPr="00306F4D">
        <w:rPr>
          <w:rFonts w:ascii="Arial" w:eastAsia="Arial" w:hAnsi="Arial" w:cs="Arial"/>
          <w:i/>
          <w:iCs/>
          <w:color w:val="auto"/>
          <w:sz w:val="20"/>
          <w:szCs w:val="20"/>
        </w:rPr>
        <w:t xml:space="preserve">and </w:t>
      </w:r>
      <w:r w:rsidR="00623DB1" w:rsidRPr="00306F4D">
        <w:rPr>
          <w:rFonts w:ascii="Arial" w:eastAsia="Arial" w:hAnsi="Arial" w:cs="Arial"/>
          <w:i/>
          <w:iCs/>
          <w:color w:val="auto"/>
          <w:sz w:val="20"/>
          <w:szCs w:val="20"/>
        </w:rPr>
        <w:t>funding instrument</w:t>
      </w:r>
      <w:r w:rsidR="5488DD42" w:rsidRPr="00306F4D">
        <w:rPr>
          <w:rFonts w:ascii="Arial" w:eastAsia="Arial" w:hAnsi="Arial" w:cs="Arial"/>
          <w:i/>
          <w:iCs/>
          <w:color w:val="auto"/>
          <w:sz w:val="20"/>
          <w:szCs w:val="20"/>
        </w:rPr>
        <w:t xml:space="preserve"> </w:t>
      </w:r>
      <w:r w:rsidRPr="00306F4D">
        <w:rPr>
          <w:rFonts w:ascii="Arial" w:eastAsia="Arial" w:hAnsi="Arial" w:cs="Arial"/>
          <w:i/>
          <w:iCs/>
          <w:color w:val="auto"/>
          <w:sz w:val="20"/>
          <w:szCs w:val="20"/>
        </w:rPr>
        <w:t xml:space="preserve">agreements will be structured using appropriate UNDP modalities tailored to recipient organizational characteristics (CSOs, NGOs, SMEs, cooperatives), ensuring compliance with UNDP </w:t>
      </w:r>
      <w:r w:rsidR="37681DAF" w:rsidRPr="00306F4D">
        <w:rPr>
          <w:rFonts w:ascii="Arial" w:eastAsia="Arial" w:hAnsi="Arial" w:cs="Arial"/>
          <w:i/>
          <w:iCs/>
          <w:color w:val="auto"/>
          <w:sz w:val="20"/>
          <w:szCs w:val="20"/>
        </w:rPr>
        <w:t>r</w:t>
      </w:r>
      <w:r w:rsidRPr="00306F4D">
        <w:rPr>
          <w:rFonts w:ascii="Arial" w:eastAsia="Arial" w:hAnsi="Arial" w:cs="Arial"/>
          <w:i/>
          <w:iCs/>
          <w:color w:val="auto"/>
          <w:sz w:val="20"/>
          <w:szCs w:val="20"/>
        </w:rPr>
        <w:t xml:space="preserve">ules and </w:t>
      </w:r>
      <w:r w:rsidR="37681DAF" w:rsidRPr="00306F4D">
        <w:rPr>
          <w:rFonts w:ascii="Arial" w:eastAsia="Arial" w:hAnsi="Arial" w:cs="Arial"/>
          <w:i/>
          <w:iCs/>
          <w:color w:val="auto"/>
          <w:sz w:val="20"/>
          <w:szCs w:val="20"/>
        </w:rPr>
        <w:t>p</w:t>
      </w:r>
      <w:r w:rsidRPr="00306F4D">
        <w:rPr>
          <w:rFonts w:ascii="Arial" w:eastAsia="Arial" w:hAnsi="Arial" w:cs="Arial"/>
          <w:i/>
          <w:iCs/>
          <w:color w:val="auto"/>
          <w:sz w:val="20"/>
          <w:szCs w:val="20"/>
        </w:rPr>
        <w:t>olicies while maintaining flexibility to support diverse innovation actors. Performance-based disbursement mechanisms will be employed where appropriate, linking funding to achievement of specific milestones and learning objectives that contribute to both individual project success and broader ecosystem knowledge generation.</w:t>
      </w:r>
    </w:p>
    <w:p w14:paraId="66C24E6D" w14:textId="532EBC1C" w:rsidR="46C82E10" w:rsidRPr="00306F4D" w:rsidRDefault="001E1C83" w:rsidP="00413459">
      <w:pPr>
        <w:spacing w:before="240" w:after="240" w:line="276" w:lineRule="auto"/>
        <w:jc w:val="both"/>
        <w:rPr>
          <w:rFonts w:ascii="Arial" w:eastAsia="Arial" w:hAnsi="Arial" w:cs="Arial"/>
          <w:b/>
          <w:sz w:val="20"/>
          <w:szCs w:val="20"/>
          <w:u w:val="single"/>
          <w:lang w:val="en-GB"/>
        </w:rPr>
      </w:pPr>
      <w:r w:rsidRPr="00306F4D">
        <w:rPr>
          <w:rFonts w:ascii="Arial" w:eastAsia="Arial" w:hAnsi="Arial" w:cs="Arial"/>
          <w:b/>
          <w:sz w:val="20"/>
          <w:szCs w:val="20"/>
          <w:u w:val="single"/>
          <w:lang w:val="en-GB"/>
        </w:rPr>
        <w:t>What t</w:t>
      </w:r>
      <w:r w:rsidR="118177B2" w:rsidRPr="00306F4D">
        <w:rPr>
          <w:rFonts w:ascii="Arial" w:eastAsia="Arial" w:hAnsi="Arial" w:cs="Arial"/>
          <w:b/>
          <w:sz w:val="20"/>
          <w:szCs w:val="20"/>
          <w:u w:val="single"/>
          <w:lang w:val="en-GB"/>
        </w:rPr>
        <w:t>ypes of innovative adaptation solutions to be funded by the grants/</w:t>
      </w:r>
      <w:r w:rsidR="00623DB1" w:rsidRPr="00306F4D">
        <w:rPr>
          <w:rFonts w:ascii="Arial" w:eastAsia="Arial" w:hAnsi="Arial" w:cs="Arial"/>
          <w:b/>
          <w:sz w:val="20"/>
          <w:szCs w:val="20"/>
          <w:u w:val="single"/>
          <w:lang w:val="en-GB"/>
        </w:rPr>
        <w:t>funding instruments</w:t>
      </w:r>
      <w:r w:rsidRPr="00306F4D">
        <w:rPr>
          <w:rFonts w:ascii="Arial" w:eastAsia="Arial" w:hAnsi="Arial" w:cs="Arial"/>
          <w:b/>
          <w:sz w:val="20"/>
          <w:szCs w:val="20"/>
          <w:u w:val="single"/>
          <w:lang w:val="en-GB"/>
        </w:rPr>
        <w:t>?</w:t>
      </w:r>
    </w:p>
    <w:p w14:paraId="6A312087" w14:textId="1D20DE1B" w:rsidR="29238FC7" w:rsidRPr="00306F4D" w:rsidRDefault="27B45D09" w:rsidP="695697BF">
      <w:pPr>
        <w:spacing w:before="240" w:after="240" w:line="276" w:lineRule="auto"/>
        <w:jc w:val="both"/>
        <w:rPr>
          <w:rFonts w:ascii="Arial" w:eastAsia="Arial" w:hAnsi="Arial" w:cs="Arial"/>
          <w:sz w:val="20"/>
          <w:szCs w:val="20"/>
        </w:rPr>
      </w:pPr>
      <w:r w:rsidRPr="00306F4D">
        <w:rPr>
          <w:rFonts w:ascii="Arial" w:eastAsia="Arial" w:hAnsi="Arial" w:cs="Arial"/>
          <w:sz w:val="20"/>
          <w:szCs w:val="20"/>
          <w:lang w:val="en-GB"/>
        </w:rPr>
        <w:t xml:space="preserve">Based on the </w:t>
      </w:r>
      <w:r w:rsidR="522A16DE" w:rsidRPr="00306F4D">
        <w:rPr>
          <w:rFonts w:ascii="Arial" w:eastAsia="Arial" w:hAnsi="Arial" w:cs="Arial"/>
          <w:sz w:val="20"/>
          <w:szCs w:val="20"/>
          <w:lang w:val="en-GB"/>
        </w:rPr>
        <w:t>development context</w:t>
      </w:r>
      <w:r w:rsidRPr="00306F4D">
        <w:rPr>
          <w:rFonts w:ascii="Arial" w:eastAsia="Arial" w:hAnsi="Arial" w:cs="Arial"/>
          <w:sz w:val="20"/>
          <w:szCs w:val="20"/>
          <w:lang w:val="en-GB"/>
        </w:rPr>
        <w:t xml:space="preserve"> presented in the first part of this proposal</w:t>
      </w:r>
      <w:r w:rsidR="0BAB989D" w:rsidRPr="00306F4D">
        <w:rPr>
          <w:rFonts w:ascii="Arial" w:eastAsia="Arial" w:hAnsi="Arial" w:cs="Arial"/>
          <w:sz w:val="20"/>
          <w:szCs w:val="20"/>
          <w:lang w:val="en-GB"/>
        </w:rPr>
        <w:t>,</w:t>
      </w:r>
      <w:r w:rsidR="0BAB989D" w:rsidRPr="00306F4D">
        <w:rPr>
          <w:rFonts w:ascii="Arial" w:eastAsia="Arial" w:hAnsi="Arial" w:cs="Arial"/>
          <w:sz w:val="20"/>
          <w:szCs w:val="20"/>
        </w:rPr>
        <w:t xml:space="preserve"> </w:t>
      </w:r>
      <w:r w:rsidR="0BAB989D" w:rsidRPr="00306F4D">
        <w:rPr>
          <w:rFonts w:ascii="Arial" w:eastAsia="Arial" w:hAnsi="Arial" w:cs="Arial"/>
          <w:sz w:val="20"/>
          <w:szCs w:val="20"/>
          <w:lang w:val="en-GB"/>
        </w:rPr>
        <w:t xml:space="preserve">the climate risks faced by Bosnia and Herzegovina, Montenegro, North Macedonia, and Serbia are diverse but interconnected, with common threats including extreme heat, droughts, flooding, and wildfires. These impacts threaten key sectors such as agriculture, water resources, and energy, making adaptation a crucial priority for the region. Each country’s NAP priority areas outline specific actions, such as improving water management, strengthening disaster risk reduction systems, and </w:t>
      </w:r>
      <w:r w:rsidR="0BAB989D" w:rsidRPr="00306F4D">
        <w:rPr>
          <w:rFonts w:ascii="Arial" w:eastAsia="Arial" w:hAnsi="Arial" w:cs="Arial"/>
          <w:sz w:val="20"/>
          <w:szCs w:val="20"/>
          <w:lang w:val="en-GB"/>
        </w:rPr>
        <w:lastRenderedPageBreak/>
        <w:t xml:space="preserve">adapting agriculture to changing climate conditions among others. The Regional Project will build on these priorities, supporting the development and scaling of </w:t>
      </w:r>
      <w:proofErr w:type="gramStart"/>
      <w:r w:rsidR="0BAB989D" w:rsidRPr="00306F4D">
        <w:rPr>
          <w:rFonts w:ascii="Arial" w:eastAsia="Arial" w:hAnsi="Arial" w:cs="Arial"/>
          <w:sz w:val="20"/>
          <w:szCs w:val="20"/>
          <w:lang w:val="en-GB"/>
        </w:rPr>
        <w:t>locally-led</w:t>
      </w:r>
      <w:proofErr w:type="gramEnd"/>
      <w:r w:rsidR="0BAB989D" w:rsidRPr="00306F4D">
        <w:rPr>
          <w:rFonts w:ascii="Arial" w:eastAsia="Arial" w:hAnsi="Arial" w:cs="Arial"/>
          <w:sz w:val="20"/>
          <w:szCs w:val="20"/>
          <w:lang w:val="en-GB"/>
        </w:rPr>
        <w:t xml:space="preserve"> adaptation innovations</w:t>
      </w:r>
      <w:r w:rsidR="0D4A6A02" w:rsidRPr="00306F4D">
        <w:rPr>
          <w:rFonts w:ascii="Arial" w:eastAsia="Arial" w:hAnsi="Arial" w:cs="Arial"/>
          <w:sz w:val="20"/>
          <w:szCs w:val="20"/>
          <w:lang w:val="en-GB"/>
        </w:rPr>
        <w:t xml:space="preserve"> solutions</w:t>
      </w:r>
      <w:r w:rsidR="29238FC7" w:rsidRPr="00306F4D">
        <w:rPr>
          <w:rStyle w:val="FootnoteReference"/>
          <w:rFonts w:ascii="Arial" w:eastAsia="Arial" w:hAnsi="Arial" w:cs="Arial"/>
          <w:color w:val="000000" w:themeColor="text1"/>
          <w:sz w:val="20"/>
          <w:szCs w:val="20"/>
          <w:lang w:val="en-GB"/>
        </w:rPr>
        <w:footnoteReference w:id="128"/>
      </w:r>
      <w:r w:rsidR="0BAB989D" w:rsidRPr="00306F4D">
        <w:rPr>
          <w:rFonts w:ascii="Arial" w:eastAsia="Arial" w:hAnsi="Arial" w:cs="Arial"/>
          <w:sz w:val="20"/>
          <w:szCs w:val="20"/>
          <w:lang w:val="en-GB"/>
        </w:rPr>
        <w:t>, enhancing regional collaboration, and ensuring that adaptation solutions are inclusive, sustainable, and resilient to future climate risks.</w:t>
      </w:r>
      <w:r w:rsidR="0BAB989D" w:rsidRPr="00306F4D">
        <w:rPr>
          <w:rFonts w:ascii="Arial" w:eastAsia="Arial" w:hAnsi="Arial" w:cs="Arial"/>
          <w:sz w:val="20"/>
          <w:szCs w:val="20"/>
        </w:rPr>
        <w:t xml:space="preserve"> </w:t>
      </w:r>
    </w:p>
    <w:p w14:paraId="4F848652" w14:textId="37A43C6A" w:rsidR="42E6C641" w:rsidRPr="00306F4D" w:rsidRDefault="42E6C641" w:rsidP="695697BF">
      <w:pPr>
        <w:spacing w:before="240" w:after="240" w:line="276" w:lineRule="auto"/>
        <w:jc w:val="both"/>
        <w:rPr>
          <w:rFonts w:ascii="Arial" w:eastAsia="Arial" w:hAnsi="Arial" w:cs="Arial"/>
          <w:sz w:val="20"/>
          <w:szCs w:val="20"/>
        </w:rPr>
      </w:pPr>
      <w:r w:rsidRPr="00306F4D">
        <w:rPr>
          <w:rFonts w:ascii="Arial" w:eastAsia="Arial" w:hAnsi="Arial" w:cs="Arial"/>
          <w:sz w:val="20"/>
          <w:szCs w:val="20"/>
          <w:lang w:val="en-GB"/>
        </w:rPr>
        <w:t>Th</w:t>
      </w:r>
      <w:r w:rsidR="79FF3B74" w:rsidRPr="00306F4D">
        <w:rPr>
          <w:rFonts w:ascii="Arial" w:eastAsia="Arial" w:hAnsi="Arial" w:cs="Arial"/>
          <w:sz w:val="20"/>
          <w:szCs w:val="20"/>
          <w:lang w:val="en-GB"/>
        </w:rPr>
        <w:t xml:space="preserve">e following priority climate risks </w:t>
      </w:r>
      <w:r w:rsidR="13BFD992" w:rsidRPr="00306F4D">
        <w:rPr>
          <w:rFonts w:ascii="Arial" w:eastAsia="Arial" w:hAnsi="Arial" w:cs="Arial"/>
          <w:sz w:val="20"/>
          <w:szCs w:val="20"/>
          <w:lang w:val="en-GB"/>
        </w:rPr>
        <w:t>will be</w:t>
      </w:r>
      <w:r w:rsidR="79FF3B74" w:rsidRPr="00306F4D">
        <w:rPr>
          <w:rFonts w:ascii="Arial" w:eastAsia="Arial" w:hAnsi="Arial" w:cs="Arial"/>
          <w:sz w:val="20"/>
          <w:szCs w:val="20"/>
          <w:lang w:val="en-GB"/>
        </w:rPr>
        <w:t xml:space="preserve"> addressed through this project, as they are common to the four Western Balkan countries:</w:t>
      </w:r>
    </w:p>
    <w:p w14:paraId="682E33D7" w14:textId="523ACE71" w:rsidR="79FF3B74" w:rsidRPr="00306F4D" w:rsidRDefault="79FF3B74" w:rsidP="695697BF">
      <w:pPr>
        <w:spacing w:before="240" w:after="240" w:line="276" w:lineRule="auto"/>
        <w:rPr>
          <w:rFonts w:ascii="Arial" w:eastAsia="Arial" w:hAnsi="Arial" w:cs="Arial"/>
          <w:b/>
          <w:sz w:val="20"/>
          <w:szCs w:val="20"/>
          <w:lang w:val="en-GB"/>
        </w:rPr>
      </w:pPr>
      <w:r w:rsidRPr="00306F4D">
        <w:rPr>
          <w:rFonts w:ascii="Arial" w:eastAsia="Arial" w:hAnsi="Arial" w:cs="Arial"/>
          <w:b/>
          <w:sz w:val="20"/>
          <w:szCs w:val="20"/>
          <w:lang w:val="en-GB"/>
        </w:rPr>
        <w:t>Priority climate risks:</w:t>
      </w:r>
    </w:p>
    <w:p w14:paraId="3979EA85" w14:textId="0A08316A" w:rsidR="79FF3B74" w:rsidRPr="00306F4D" w:rsidRDefault="79FF3B74" w:rsidP="00093F5F">
      <w:pPr>
        <w:pStyle w:val="ListParagraph"/>
        <w:numPr>
          <w:ilvl w:val="0"/>
          <w:numId w:val="40"/>
        </w:numPr>
        <w:spacing w:before="240" w:after="240" w:line="276" w:lineRule="auto"/>
        <w:rPr>
          <w:rFonts w:ascii="Arial" w:eastAsia="Arial" w:hAnsi="Arial" w:cs="Arial"/>
          <w:sz w:val="20"/>
          <w:szCs w:val="20"/>
          <w:lang w:val="en-GB"/>
        </w:rPr>
      </w:pPr>
      <w:r w:rsidRPr="00306F4D">
        <w:rPr>
          <w:rFonts w:ascii="Arial" w:eastAsia="Arial" w:hAnsi="Arial" w:cs="Arial"/>
          <w:sz w:val="20"/>
          <w:szCs w:val="20"/>
          <w:lang w:val="en-GB"/>
        </w:rPr>
        <w:t>Droughts and rainfall variability</w:t>
      </w:r>
    </w:p>
    <w:p w14:paraId="70DEC57B" w14:textId="5C35D7E4" w:rsidR="79FF3B74" w:rsidRPr="00306F4D" w:rsidRDefault="79FF3B74" w:rsidP="00093F5F">
      <w:pPr>
        <w:pStyle w:val="ListParagraph"/>
        <w:numPr>
          <w:ilvl w:val="0"/>
          <w:numId w:val="40"/>
        </w:numPr>
        <w:spacing w:before="240" w:after="240" w:line="276" w:lineRule="auto"/>
        <w:rPr>
          <w:rFonts w:ascii="Arial" w:eastAsia="Arial" w:hAnsi="Arial" w:cs="Arial"/>
          <w:sz w:val="20"/>
          <w:szCs w:val="20"/>
          <w:lang w:val="en-GB"/>
        </w:rPr>
      </w:pPr>
      <w:r w:rsidRPr="00306F4D">
        <w:rPr>
          <w:rFonts w:ascii="Arial" w:eastAsia="Arial" w:hAnsi="Arial" w:cs="Arial"/>
          <w:sz w:val="20"/>
          <w:szCs w:val="20"/>
          <w:lang w:val="en-GB"/>
        </w:rPr>
        <w:t>Temperature rise, heatwaves and wildfires</w:t>
      </w:r>
    </w:p>
    <w:p w14:paraId="47338154" w14:textId="22B119D5" w:rsidR="79FF3B74" w:rsidRPr="00306F4D" w:rsidRDefault="79FF3B74" w:rsidP="00093F5F">
      <w:pPr>
        <w:pStyle w:val="ListParagraph"/>
        <w:numPr>
          <w:ilvl w:val="0"/>
          <w:numId w:val="40"/>
        </w:numPr>
        <w:spacing w:before="240" w:after="240" w:line="276" w:lineRule="auto"/>
        <w:rPr>
          <w:rFonts w:ascii="Arial" w:eastAsia="Arial" w:hAnsi="Arial" w:cs="Arial"/>
          <w:sz w:val="20"/>
          <w:szCs w:val="20"/>
          <w:lang w:val="en-GB"/>
        </w:rPr>
      </w:pPr>
      <w:r w:rsidRPr="00306F4D">
        <w:rPr>
          <w:rFonts w:ascii="Arial" w:eastAsia="Arial" w:hAnsi="Arial" w:cs="Arial"/>
          <w:sz w:val="20"/>
          <w:szCs w:val="20"/>
          <w:lang w:val="en-GB"/>
        </w:rPr>
        <w:t>Floods</w:t>
      </w:r>
    </w:p>
    <w:p w14:paraId="529B39D5" w14:textId="4CA70D54" w:rsidR="79FF3B74" w:rsidRPr="00306F4D" w:rsidRDefault="79FF3B74" w:rsidP="00093F5F">
      <w:pPr>
        <w:pStyle w:val="ListParagraph"/>
        <w:numPr>
          <w:ilvl w:val="0"/>
          <w:numId w:val="40"/>
        </w:numPr>
        <w:spacing w:before="240" w:after="240" w:line="276" w:lineRule="auto"/>
        <w:rPr>
          <w:rFonts w:ascii="Arial" w:eastAsia="Arial" w:hAnsi="Arial" w:cs="Arial"/>
          <w:sz w:val="20"/>
          <w:szCs w:val="20"/>
          <w:lang w:val="en-GB"/>
        </w:rPr>
      </w:pPr>
      <w:r w:rsidRPr="00306F4D">
        <w:rPr>
          <w:rFonts w:ascii="Arial" w:eastAsia="Arial" w:hAnsi="Arial" w:cs="Arial"/>
          <w:sz w:val="20"/>
          <w:szCs w:val="20"/>
          <w:lang w:val="en-GB"/>
        </w:rPr>
        <w:t>Landslides</w:t>
      </w:r>
    </w:p>
    <w:p w14:paraId="51E359F7" w14:textId="1311A2E6" w:rsidR="79FF3B74" w:rsidRPr="00306F4D" w:rsidRDefault="79FF3B74" w:rsidP="00093F5F">
      <w:pPr>
        <w:pStyle w:val="ListParagraph"/>
        <w:numPr>
          <w:ilvl w:val="0"/>
          <w:numId w:val="40"/>
        </w:numPr>
        <w:spacing w:before="240" w:after="240" w:line="276" w:lineRule="auto"/>
        <w:rPr>
          <w:rFonts w:ascii="Arial" w:eastAsia="Arial" w:hAnsi="Arial" w:cs="Arial"/>
          <w:sz w:val="20"/>
          <w:szCs w:val="20"/>
          <w:lang w:val="en-GB"/>
        </w:rPr>
      </w:pPr>
      <w:r w:rsidRPr="00306F4D">
        <w:rPr>
          <w:rFonts w:ascii="Arial" w:eastAsia="Arial" w:hAnsi="Arial" w:cs="Arial"/>
          <w:sz w:val="20"/>
          <w:szCs w:val="20"/>
          <w:lang w:val="en-GB"/>
        </w:rPr>
        <w:t>Sea Level Rise and/or Salination (only Montenegro)</w:t>
      </w:r>
    </w:p>
    <w:p w14:paraId="6782406D" w14:textId="0AFCE868" w:rsidR="79FF3B74" w:rsidRPr="00306F4D" w:rsidRDefault="79FF3B74" w:rsidP="00093F5F">
      <w:pPr>
        <w:pStyle w:val="ListParagraph"/>
        <w:numPr>
          <w:ilvl w:val="0"/>
          <w:numId w:val="40"/>
        </w:numPr>
        <w:spacing w:before="240" w:after="240" w:line="276" w:lineRule="auto"/>
        <w:rPr>
          <w:rFonts w:ascii="Arial" w:eastAsia="Arial" w:hAnsi="Arial" w:cs="Arial"/>
          <w:sz w:val="20"/>
          <w:szCs w:val="20"/>
        </w:rPr>
      </w:pPr>
      <w:r w:rsidRPr="00306F4D">
        <w:rPr>
          <w:rFonts w:ascii="Arial" w:eastAsia="Arial" w:hAnsi="Arial" w:cs="Arial"/>
          <w:sz w:val="20"/>
          <w:szCs w:val="20"/>
          <w:lang w:val="en-GB"/>
        </w:rPr>
        <w:t>Coastal erosion (only Montenegro)</w:t>
      </w:r>
    </w:p>
    <w:p w14:paraId="2736606D" w14:textId="686CA65F" w:rsidR="79FF3B74" w:rsidRPr="00306F4D" w:rsidRDefault="79FF3B74" w:rsidP="00093F5F">
      <w:pPr>
        <w:pStyle w:val="ListParagraph"/>
        <w:numPr>
          <w:ilvl w:val="0"/>
          <w:numId w:val="40"/>
        </w:numPr>
        <w:spacing w:before="240" w:after="240" w:line="276" w:lineRule="auto"/>
        <w:rPr>
          <w:rFonts w:ascii="Arial" w:eastAsia="Arial" w:hAnsi="Arial" w:cs="Arial"/>
          <w:sz w:val="20"/>
          <w:szCs w:val="20"/>
        </w:rPr>
      </w:pPr>
      <w:r w:rsidRPr="00306F4D">
        <w:rPr>
          <w:rFonts w:ascii="Arial" w:eastAsia="Arial" w:hAnsi="Arial" w:cs="Arial"/>
          <w:sz w:val="20"/>
          <w:szCs w:val="20"/>
          <w:lang w:val="en-GB"/>
        </w:rPr>
        <w:t>Climate induced health risk</w:t>
      </w:r>
    </w:p>
    <w:p w14:paraId="36D97361" w14:textId="60F2CFF6" w:rsidR="007B7564" w:rsidRPr="00306F4D" w:rsidRDefault="007B7564" w:rsidP="00413459">
      <w:p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 xml:space="preserve">Considering the above, the following types of solutions and thematic sectors would be considered for the call for proposals/grantees selection. </w:t>
      </w:r>
      <w:r w:rsidR="00FB1A29" w:rsidRPr="00306F4D">
        <w:rPr>
          <w:rFonts w:ascii="Arial" w:eastAsia="Arial" w:hAnsi="Arial" w:cs="Arial"/>
          <w:sz w:val="20"/>
          <w:szCs w:val="20"/>
          <w:lang w:val="en-GB"/>
        </w:rPr>
        <w:t>It is important to recognize the strong interlinkages and co-benefits that exist between the targeted sectors and adaptation solutions. Many of the piloted interventions contribute to multiple outcomes across thematic areas. Leveraging these interconnections can significantly enhance the overall impact and sustainability of the financing. Ensuring the scalability of solutions and maximizing their relevance across sectors are both critical to the effectiveness and long-term value of the grant</w:t>
      </w:r>
      <w:r w:rsidRPr="00306F4D">
        <w:rPr>
          <w:rFonts w:ascii="Arial" w:eastAsia="Arial" w:hAnsi="Arial" w:cs="Arial"/>
          <w:sz w:val="20"/>
          <w:szCs w:val="20"/>
          <w:lang w:val="en-GB"/>
        </w:rPr>
        <w:t>:</w:t>
      </w:r>
    </w:p>
    <w:p w14:paraId="4F2C2B47" w14:textId="33013997" w:rsidR="007B7564" w:rsidRPr="00306F4D" w:rsidRDefault="007B7564" w:rsidP="007B7564">
      <w:pPr>
        <w:spacing w:before="240" w:after="240" w:line="276" w:lineRule="auto"/>
        <w:rPr>
          <w:rFonts w:ascii="Arial" w:eastAsia="Arial" w:hAnsi="Arial" w:cs="Arial"/>
          <w:b/>
          <w:sz w:val="20"/>
          <w:szCs w:val="20"/>
          <w:lang w:val="en-GB"/>
        </w:rPr>
      </w:pPr>
      <w:r w:rsidRPr="00306F4D">
        <w:rPr>
          <w:rFonts w:ascii="Arial" w:eastAsia="Arial" w:hAnsi="Arial" w:cs="Arial"/>
          <w:b/>
          <w:sz w:val="20"/>
          <w:szCs w:val="20"/>
          <w:lang w:val="en-GB"/>
        </w:rPr>
        <w:t>1. Climate-Resilient Agriculture and Food Security</w:t>
      </w:r>
    </w:p>
    <w:p w14:paraId="6C8510DE" w14:textId="2A2D8DBC" w:rsidR="007B7564" w:rsidRPr="00306F4D" w:rsidRDefault="007B7564" w:rsidP="00413459">
      <w:p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 xml:space="preserve">The agricultural sector is not only a major driver of climate change but is also seriously affected by it, increasing the importance of the sector to climate action. As noted in the narrative section, the agriculture sector is central to the economies of the Western Balkans. Climate change increases weather variability, intensifying and increasing extreme weather events, disrupts rainfall patterns, increases temperatures, and risks the introduction of pests and diseases to regions previously unaffected. </w:t>
      </w:r>
    </w:p>
    <w:p w14:paraId="47E4F8D4" w14:textId="17FCF263" w:rsidR="007B7564" w:rsidRPr="00306F4D" w:rsidRDefault="007B7564" w:rsidP="007B7564">
      <w:pPr>
        <w:spacing w:before="240" w:after="240" w:line="276" w:lineRule="auto"/>
        <w:rPr>
          <w:rFonts w:ascii="Arial" w:eastAsia="Arial" w:hAnsi="Arial" w:cs="Arial"/>
          <w:sz w:val="20"/>
          <w:szCs w:val="20"/>
          <w:lang w:val="en-GB"/>
        </w:rPr>
      </w:pPr>
      <w:r w:rsidRPr="00306F4D">
        <w:rPr>
          <w:rFonts w:ascii="Arial" w:eastAsia="Arial" w:hAnsi="Arial" w:cs="Arial"/>
          <w:sz w:val="20"/>
          <w:szCs w:val="20"/>
          <w:lang w:val="en-GB"/>
        </w:rPr>
        <w:t>Adaptation benefits:</w:t>
      </w:r>
    </w:p>
    <w:p w14:paraId="362AB150" w14:textId="066CFC7F" w:rsidR="007B7564" w:rsidRPr="00306F4D" w:rsidRDefault="007B7564" w:rsidP="00413459">
      <w:pPr>
        <w:pStyle w:val="ListParagraph"/>
        <w:numPr>
          <w:ilvl w:val="0"/>
          <w:numId w:val="44"/>
        </w:num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Promoting drought- and flood-tolerant crops, digital agricultural tools and services</w:t>
      </w:r>
      <w:r w:rsidR="003359BA" w:rsidRPr="00306F4D">
        <w:rPr>
          <w:rFonts w:ascii="Arial" w:eastAsia="Arial" w:hAnsi="Arial" w:cs="Arial"/>
          <w:sz w:val="20"/>
          <w:szCs w:val="20"/>
          <w:lang w:val="en-GB"/>
        </w:rPr>
        <w:t xml:space="preserve"> for on-farm </w:t>
      </w:r>
      <w:r w:rsidR="009B42A9" w:rsidRPr="00306F4D">
        <w:rPr>
          <w:rFonts w:ascii="Arial" w:eastAsia="Arial" w:hAnsi="Arial" w:cs="Arial"/>
          <w:sz w:val="20"/>
          <w:szCs w:val="20"/>
          <w:lang w:val="en-GB"/>
        </w:rPr>
        <w:t>practices like irrigation and agrochemical inputs</w:t>
      </w:r>
      <w:r w:rsidRPr="00306F4D">
        <w:rPr>
          <w:rFonts w:ascii="Arial" w:eastAsia="Arial" w:hAnsi="Arial" w:cs="Arial"/>
          <w:sz w:val="20"/>
          <w:szCs w:val="20"/>
          <w:lang w:val="en-GB"/>
        </w:rPr>
        <w:t xml:space="preserve">, </w:t>
      </w:r>
      <w:r w:rsidR="009B42A9" w:rsidRPr="00306F4D">
        <w:rPr>
          <w:rFonts w:ascii="Arial" w:eastAsia="Arial" w:hAnsi="Arial" w:cs="Arial"/>
          <w:sz w:val="20"/>
          <w:szCs w:val="20"/>
          <w:lang w:val="en-GB"/>
        </w:rPr>
        <w:t>resilient and effective</w:t>
      </w:r>
      <w:r w:rsidRPr="00306F4D">
        <w:rPr>
          <w:rFonts w:ascii="Arial" w:eastAsia="Arial" w:hAnsi="Arial" w:cs="Arial"/>
          <w:sz w:val="20"/>
          <w:szCs w:val="20"/>
          <w:lang w:val="en-GB"/>
        </w:rPr>
        <w:t xml:space="preserve"> irrigation systems, among other interventions, can reduce the vulnerability of farmers to climate change, increase food security by stabilizing crop yields and prices of agricultural commodities.</w:t>
      </w:r>
    </w:p>
    <w:p w14:paraId="1EE10ACE" w14:textId="6742CA58" w:rsidR="007B7564" w:rsidRPr="00306F4D" w:rsidRDefault="007B7564" w:rsidP="00413459">
      <w:pPr>
        <w:pStyle w:val="ListParagraph"/>
        <w:numPr>
          <w:ilvl w:val="0"/>
          <w:numId w:val="44"/>
        </w:num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Promote sustainable and resilient livelihoods of farmers through sustainable production of agricultural commodities, higher value-added and sustainable food value chain development, and crop/plant diversification, including agroforestry.</w:t>
      </w:r>
    </w:p>
    <w:p w14:paraId="3A6831EA" w14:textId="799F347D" w:rsidR="007B7564" w:rsidRPr="00306F4D" w:rsidRDefault="007B7564" w:rsidP="00413459">
      <w:pPr>
        <w:pStyle w:val="ListParagraph"/>
        <w:numPr>
          <w:ilvl w:val="0"/>
          <w:numId w:val="44"/>
        </w:num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Supports sustainable farming practices that preserve or improve soil health, water, and biodiversity.</w:t>
      </w:r>
    </w:p>
    <w:p w14:paraId="33A4FAF9" w14:textId="4575B7FD" w:rsidR="14883003" w:rsidRPr="00306F4D" w:rsidRDefault="76FC47F7" w:rsidP="00413459">
      <w:pPr>
        <w:pStyle w:val="ListParagraph"/>
        <w:numPr>
          <w:ilvl w:val="0"/>
          <w:numId w:val="44"/>
        </w:numPr>
        <w:spacing w:before="240" w:after="240" w:line="276" w:lineRule="auto"/>
        <w:jc w:val="both"/>
        <w:rPr>
          <w:rFonts w:ascii="Arial" w:eastAsia="Arial" w:hAnsi="Arial" w:cs="Arial"/>
          <w:sz w:val="20"/>
          <w:szCs w:val="20"/>
        </w:rPr>
      </w:pPr>
      <w:r w:rsidRPr="00306F4D">
        <w:rPr>
          <w:rFonts w:ascii="Arial" w:eastAsia="Arial" w:hAnsi="Arial" w:cs="Arial"/>
          <w:sz w:val="20"/>
          <w:szCs w:val="20"/>
        </w:rPr>
        <w:t xml:space="preserve">Integrating farming and food traditions with context-specific technology can drive sustainable development by building on local knowledge.   </w:t>
      </w:r>
    </w:p>
    <w:p w14:paraId="307F3B96" w14:textId="345ABDB5" w:rsidR="638CA251" w:rsidRPr="00306F4D" w:rsidRDefault="3A3B297A" w:rsidP="00413459">
      <w:pPr>
        <w:pStyle w:val="ListParagraph"/>
        <w:numPr>
          <w:ilvl w:val="0"/>
          <w:numId w:val="44"/>
        </w:numPr>
        <w:spacing w:before="240" w:after="240" w:line="276" w:lineRule="auto"/>
        <w:jc w:val="both"/>
        <w:rPr>
          <w:rFonts w:ascii="Arial" w:eastAsia="Arial" w:hAnsi="Arial" w:cs="Arial"/>
          <w:sz w:val="20"/>
          <w:szCs w:val="20"/>
          <w:lang w:val="en-GB"/>
        </w:rPr>
      </w:pPr>
      <w:r w:rsidRPr="00306F4D">
        <w:rPr>
          <w:rFonts w:ascii="Arial" w:eastAsia="Arial" w:hAnsi="Arial" w:cs="Arial"/>
          <w:color w:val="000000" w:themeColor="text1"/>
          <w:sz w:val="20"/>
          <w:szCs w:val="20"/>
        </w:rPr>
        <w:lastRenderedPageBreak/>
        <w:t xml:space="preserve">Technological and policy innovations must reshape the cost structure of the agrifood value chain to incentivize sustainable practices. </w:t>
      </w:r>
      <w:r w:rsidRPr="00306F4D">
        <w:rPr>
          <w:rFonts w:ascii="Arial" w:eastAsia="Arial" w:hAnsi="Arial" w:cs="Arial"/>
          <w:sz w:val="20"/>
          <w:szCs w:val="20"/>
          <w:lang w:val="en-GB"/>
        </w:rPr>
        <w:t xml:space="preserve"> </w:t>
      </w:r>
    </w:p>
    <w:p w14:paraId="26D9304D" w14:textId="7A05808B" w:rsidR="02E2BB75" w:rsidRPr="00306F4D" w:rsidRDefault="6F3C400B" w:rsidP="00413459">
      <w:pPr>
        <w:pStyle w:val="ListParagraph"/>
        <w:numPr>
          <w:ilvl w:val="0"/>
          <w:numId w:val="44"/>
        </w:numPr>
        <w:spacing w:before="240" w:after="240" w:line="276" w:lineRule="auto"/>
        <w:jc w:val="both"/>
        <w:rPr>
          <w:rFonts w:ascii="Arial" w:eastAsia="Arial" w:hAnsi="Arial" w:cs="Arial"/>
          <w:sz w:val="20"/>
          <w:szCs w:val="20"/>
          <w:lang w:val="en-GB"/>
        </w:rPr>
      </w:pPr>
      <w:r w:rsidRPr="00306F4D">
        <w:rPr>
          <w:rFonts w:ascii="Arial" w:eastAsia="Arial" w:hAnsi="Arial" w:cs="Arial"/>
          <w:color w:val="000000" w:themeColor="text1"/>
          <w:sz w:val="20"/>
          <w:szCs w:val="20"/>
        </w:rPr>
        <w:t>Tapping into wasted and underutilized assets offers potential for creating sustainable food value, reducing waste while enhancing resource efficiency and economic inclusiveness.</w:t>
      </w:r>
    </w:p>
    <w:p w14:paraId="4A4FB6DF" w14:textId="7FBD589E" w:rsidR="007B7564" w:rsidRPr="00306F4D" w:rsidRDefault="007B7564" w:rsidP="00413459">
      <w:pPr>
        <w:spacing w:before="240" w:after="240" w:line="276" w:lineRule="auto"/>
        <w:jc w:val="both"/>
        <w:rPr>
          <w:rFonts w:ascii="Arial" w:eastAsia="Arial" w:hAnsi="Arial" w:cs="Arial"/>
          <w:b/>
          <w:sz w:val="20"/>
          <w:szCs w:val="20"/>
          <w:lang w:val="en-GB"/>
        </w:rPr>
      </w:pPr>
      <w:r w:rsidRPr="00306F4D">
        <w:rPr>
          <w:rFonts w:ascii="Arial" w:eastAsia="Arial" w:hAnsi="Arial" w:cs="Arial"/>
          <w:b/>
          <w:sz w:val="20"/>
          <w:szCs w:val="20"/>
          <w:lang w:val="en-GB"/>
        </w:rPr>
        <w:t>2. Water Management</w:t>
      </w:r>
    </w:p>
    <w:p w14:paraId="6F27732F" w14:textId="11E41753" w:rsidR="007B7564" w:rsidRPr="00306F4D" w:rsidRDefault="7227082F" w:rsidP="00413459">
      <w:pPr>
        <w:spacing w:before="240" w:after="240" w:line="276" w:lineRule="auto"/>
        <w:jc w:val="both"/>
        <w:rPr>
          <w:rFonts w:ascii="Arial" w:eastAsia="Arial" w:hAnsi="Arial" w:cs="Arial"/>
          <w:sz w:val="20"/>
          <w:szCs w:val="20"/>
        </w:rPr>
      </w:pPr>
      <w:r w:rsidRPr="00306F4D">
        <w:rPr>
          <w:rFonts w:ascii="Arial" w:eastAsia="Arial" w:hAnsi="Arial" w:cs="Arial"/>
          <w:sz w:val="20"/>
          <w:szCs w:val="20"/>
          <w:lang w:val="en-GB"/>
        </w:rPr>
        <w:t xml:space="preserve">Climate change </w:t>
      </w:r>
      <w:proofErr w:type="gramStart"/>
      <w:r w:rsidRPr="00306F4D">
        <w:rPr>
          <w:rFonts w:ascii="Arial" w:eastAsia="Arial" w:hAnsi="Arial" w:cs="Arial"/>
          <w:sz w:val="20"/>
          <w:szCs w:val="20"/>
          <w:lang w:val="en-GB"/>
        </w:rPr>
        <w:t>increase</w:t>
      </w:r>
      <w:proofErr w:type="gramEnd"/>
      <w:r w:rsidRPr="00306F4D">
        <w:rPr>
          <w:rFonts w:ascii="Arial" w:eastAsia="Arial" w:hAnsi="Arial" w:cs="Arial"/>
          <w:sz w:val="20"/>
          <w:szCs w:val="20"/>
          <w:lang w:val="en-GB"/>
        </w:rPr>
        <w:t xml:space="preserve"> the intensity and frequency of droughts, and increasingly variable rainfall impacts hydrological cycles and freshwater availability, among others</w:t>
      </w:r>
      <w:r w:rsidR="007B7564" w:rsidRPr="00306F4D">
        <w:rPr>
          <w:rStyle w:val="FootnoteReference"/>
          <w:rFonts w:ascii="Arial" w:eastAsiaTheme="minorEastAsia" w:hAnsi="Arial" w:cs="Arial"/>
          <w:sz w:val="20"/>
          <w:szCs w:val="20"/>
          <w:lang w:val="en-GB"/>
        </w:rPr>
        <w:footnoteReference w:id="129"/>
      </w:r>
      <w:r w:rsidRPr="00306F4D">
        <w:rPr>
          <w:rFonts w:ascii="Arial" w:eastAsia="Arial" w:hAnsi="Arial" w:cs="Arial"/>
          <w:sz w:val="20"/>
          <w:szCs w:val="20"/>
          <w:lang w:val="en-GB"/>
        </w:rPr>
        <w:t xml:space="preserve">. Improving water management in areas experiencing an elevated level of water stress can reduce the increased pressure on water demand and improve room for allocation under </w:t>
      </w:r>
      <w:r w:rsidR="333CD35B" w:rsidRPr="00306F4D">
        <w:rPr>
          <w:rFonts w:ascii="Arial" w:eastAsia="Arial" w:hAnsi="Arial" w:cs="Arial"/>
          <w:sz w:val="20"/>
          <w:szCs w:val="20"/>
          <w:lang w:val="en-GB"/>
        </w:rPr>
        <w:t xml:space="preserve">increasingly scarce and </w:t>
      </w:r>
      <w:r w:rsidRPr="00306F4D">
        <w:rPr>
          <w:rFonts w:ascii="Arial" w:eastAsia="Arial" w:hAnsi="Arial" w:cs="Arial"/>
          <w:sz w:val="20"/>
          <w:szCs w:val="20"/>
          <w:lang w:val="en-GB"/>
        </w:rPr>
        <w:t xml:space="preserve">constrained conditions, particularly important for reducing competition between critical water use sectors. There is a high degree of interlinkages with several other thematic priorities, including agriculture and disaster risk reduction. </w:t>
      </w:r>
    </w:p>
    <w:p w14:paraId="577ABAAC" w14:textId="103E38AE" w:rsidR="007B7564" w:rsidRPr="00306F4D" w:rsidRDefault="007B7564" w:rsidP="00413459">
      <w:p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Adaptation benefits:</w:t>
      </w:r>
    </w:p>
    <w:p w14:paraId="1A584835" w14:textId="6EE144CC" w:rsidR="007B7564" w:rsidRPr="00306F4D" w:rsidRDefault="007B7564" w:rsidP="00413459">
      <w:pPr>
        <w:pStyle w:val="ListParagraph"/>
        <w:numPr>
          <w:ilvl w:val="0"/>
          <w:numId w:val="45"/>
        </w:num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 xml:space="preserve">Rainwater harvesting and storage can reduce dependency on ground- and surface water extraction, reduce flows in drainage systems (alleviating flood risk). Risks of reduced surface flow and/or return flows would have to be determined on a case-to-case basis. </w:t>
      </w:r>
    </w:p>
    <w:p w14:paraId="47D6C610" w14:textId="55E10B11" w:rsidR="007B7564" w:rsidRPr="00306F4D" w:rsidRDefault="007B7564" w:rsidP="00413459">
      <w:pPr>
        <w:pStyle w:val="ListParagraph"/>
        <w:numPr>
          <w:ilvl w:val="0"/>
          <w:numId w:val="45"/>
        </w:num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Wastewater treatment that leads to effective water recycling can contribute to more efficient use during dry periods.</w:t>
      </w:r>
    </w:p>
    <w:p w14:paraId="15791F1E" w14:textId="2D7C5ADE" w:rsidR="007B7564" w:rsidRPr="00306F4D" w:rsidRDefault="007B7564" w:rsidP="00413459">
      <w:pPr>
        <w:pStyle w:val="ListParagraph"/>
        <w:numPr>
          <w:ilvl w:val="0"/>
          <w:numId w:val="45"/>
        </w:num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 xml:space="preserve">Builds resilience in both rural and urban water systems. Due to the interconnectedness of the water sector, especially at basin, watershed, and catchment levels, adaptation measures for improved water resources management have significant co-benefits and leveraging opportunity – for example in terms of agriculture and flood protection. </w:t>
      </w:r>
    </w:p>
    <w:p w14:paraId="459093BB" w14:textId="7EF9CE51" w:rsidR="007B7564" w:rsidRPr="00306F4D" w:rsidRDefault="007B7564" w:rsidP="00413459">
      <w:pPr>
        <w:spacing w:before="240" w:after="240" w:line="276" w:lineRule="auto"/>
        <w:jc w:val="both"/>
        <w:rPr>
          <w:rFonts w:ascii="Arial" w:eastAsia="Arial" w:hAnsi="Arial" w:cs="Arial"/>
          <w:b/>
          <w:bCs/>
          <w:sz w:val="20"/>
          <w:szCs w:val="20"/>
          <w:lang w:val="en-GB"/>
        </w:rPr>
      </w:pPr>
      <w:r w:rsidRPr="00306F4D">
        <w:rPr>
          <w:rFonts w:ascii="Arial" w:eastAsia="Arial" w:hAnsi="Arial" w:cs="Arial"/>
          <w:b/>
          <w:sz w:val="20"/>
          <w:szCs w:val="20"/>
          <w:lang w:val="en-GB"/>
        </w:rPr>
        <w:t xml:space="preserve">3. </w:t>
      </w:r>
      <w:r w:rsidR="36661490" w:rsidRPr="00306F4D">
        <w:rPr>
          <w:rFonts w:ascii="Arial" w:eastAsia="Arial" w:hAnsi="Arial" w:cs="Arial"/>
          <w:b/>
          <w:bCs/>
          <w:sz w:val="20"/>
          <w:szCs w:val="20"/>
          <w:lang w:val="en-GB"/>
        </w:rPr>
        <w:t>Flood Risk Management</w:t>
      </w:r>
    </w:p>
    <w:p w14:paraId="555938F7" w14:textId="58910A33" w:rsidR="007B7564" w:rsidRPr="00306F4D" w:rsidRDefault="36661490" w:rsidP="00413459">
      <w:p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Reasons: Climate change increases the frequency and intensity of floods. Adaptation benefits:</w:t>
      </w:r>
    </w:p>
    <w:p w14:paraId="366DBC19" w14:textId="65463FCF" w:rsidR="007B7564" w:rsidRPr="00306F4D" w:rsidRDefault="36661490" w:rsidP="00413459">
      <w:pPr>
        <w:pStyle w:val="ListParagraph"/>
        <w:numPr>
          <w:ilvl w:val="0"/>
          <w:numId w:val="46"/>
        </w:num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Infrastructure like levees, retention basins, and green drainage systems protect lives and property</w:t>
      </w:r>
    </w:p>
    <w:p w14:paraId="59561D60" w14:textId="05FA5253" w:rsidR="007B7564" w:rsidRPr="00306F4D" w:rsidRDefault="36661490" w:rsidP="00413459">
      <w:pPr>
        <w:pStyle w:val="ListParagraph"/>
        <w:numPr>
          <w:ilvl w:val="0"/>
          <w:numId w:val="46"/>
        </w:num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Flood zoning and early warning systems reduce vulnerability</w:t>
      </w:r>
    </w:p>
    <w:p w14:paraId="3A0AC3E5" w14:textId="244C615F" w:rsidR="007B7564" w:rsidRPr="00306F4D" w:rsidRDefault="36661490" w:rsidP="00413459">
      <w:pPr>
        <w:pStyle w:val="ListParagraph"/>
        <w:numPr>
          <w:ilvl w:val="0"/>
          <w:numId w:val="46"/>
        </w:num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Helps maintain economic stability in flood-prone areas</w:t>
      </w:r>
    </w:p>
    <w:p w14:paraId="62AB8A6D" w14:textId="3E91B9D9" w:rsidR="007B7564" w:rsidRPr="00306F4D" w:rsidRDefault="4186447D" w:rsidP="00413459">
      <w:pPr>
        <w:spacing w:before="240" w:after="240" w:line="276" w:lineRule="auto"/>
        <w:jc w:val="both"/>
        <w:rPr>
          <w:rFonts w:ascii="Arial" w:eastAsia="Arial" w:hAnsi="Arial" w:cs="Arial"/>
          <w:b/>
          <w:color w:val="000000" w:themeColor="text1"/>
          <w:sz w:val="20"/>
          <w:szCs w:val="20"/>
          <w:lang w:val="en-GB"/>
        </w:rPr>
      </w:pPr>
      <w:r w:rsidRPr="00306F4D">
        <w:rPr>
          <w:rFonts w:ascii="Arial" w:eastAsia="Arial" w:hAnsi="Arial" w:cs="Arial"/>
          <w:b/>
          <w:bCs/>
          <w:sz w:val="20"/>
          <w:szCs w:val="20"/>
          <w:lang w:val="en-GB"/>
        </w:rPr>
        <w:t>4.</w:t>
      </w:r>
      <w:r w:rsidR="7F411BB7" w:rsidRPr="00306F4D">
        <w:rPr>
          <w:rFonts w:ascii="Arial" w:eastAsia="Arial" w:hAnsi="Arial" w:cs="Arial"/>
          <w:b/>
          <w:bCs/>
          <w:sz w:val="20"/>
          <w:szCs w:val="20"/>
          <w:lang w:val="en-GB"/>
        </w:rPr>
        <w:t xml:space="preserve"> </w:t>
      </w:r>
      <w:r w:rsidR="007B7564" w:rsidRPr="00306F4D">
        <w:rPr>
          <w:rFonts w:ascii="Arial" w:eastAsia="Arial" w:hAnsi="Arial" w:cs="Arial"/>
          <w:b/>
          <w:sz w:val="20"/>
          <w:szCs w:val="20"/>
          <w:lang w:val="en-GB"/>
        </w:rPr>
        <w:t>Urban Climate Resilience</w:t>
      </w:r>
    </w:p>
    <w:p w14:paraId="2FE00B9F" w14:textId="7EFF3EDA" w:rsidR="02E2BB75" w:rsidRPr="00306F4D" w:rsidRDefault="7227082F" w:rsidP="00413459">
      <w:pPr>
        <w:jc w:val="both"/>
        <w:rPr>
          <w:rStyle w:val="FootnoteReference"/>
          <w:rFonts w:ascii="Arial" w:eastAsia="Arial" w:hAnsi="Arial" w:cs="Arial"/>
          <w:sz w:val="20"/>
          <w:szCs w:val="20"/>
        </w:rPr>
      </w:pPr>
      <w:r w:rsidRPr="00306F4D">
        <w:rPr>
          <w:rFonts w:ascii="Arial" w:eastAsia="Arial" w:hAnsi="Arial" w:cs="Arial"/>
          <w:sz w:val="20"/>
          <w:szCs w:val="20"/>
          <w:lang w:val="en-GB"/>
        </w:rPr>
        <w:t xml:space="preserve">Cities are hotspots for climate risks like heatwaves, flooding, </w:t>
      </w:r>
      <w:r w:rsidR="650F5DF1" w:rsidRPr="00306F4D">
        <w:rPr>
          <w:rFonts w:ascii="Arial" w:eastAsia="Arial" w:hAnsi="Arial" w:cs="Arial"/>
          <w:sz w:val="20"/>
          <w:szCs w:val="20"/>
          <w:lang w:val="en-GB"/>
        </w:rPr>
        <w:t xml:space="preserve">air pollution, </w:t>
      </w:r>
      <w:r w:rsidRPr="00306F4D">
        <w:rPr>
          <w:rFonts w:ascii="Arial" w:eastAsia="Arial" w:hAnsi="Arial" w:cs="Arial"/>
          <w:sz w:val="20"/>
          <w:szCs w:val="20"/>
          <w:lang w:val="en-GB"/>
        </w:rPr>
        <w:t>and infrastructure stress.</w:t>
      </w:r>
      <w:r w:rsidR="79632190" w:rsidRPr="00306F4D">
        <w:rPr>
          <w:rFonts w:ascii="Arial" w:eastAsia="Arial" w:hAnsi="Arial" w:cs="Arial"/>
          <w:sz w:val="20"/>
          <w:szCs w:val="20"/>
          <w:lang w:val="en-GB"/>
        </w:rPr>
        <w:t xml:space="preserve"> </w:t>
      </w:r>
      <w:r w:rsidR="79632190" w:rsidRPr="00306F4D">
        <w:rPr>
          <w:rFonts w:ascii="Arial" w:eastAsia="Arial" w:hAnsi="Arial" w:cs="Arial"/>
          <w:sz w:val="20"/>
          <w:szCs w:val="20"/>
        </w:rPr>
        <w:t>According to a 2024 World Bank report, the average frequency of extremely hot temperatures in Western Balkan cities, on average, relative to its own historical experience increased from 0.09 months (or 3 days a year) in the 1990s to 1.32 months (or more than 40 days a year) in 2011–20 – a fourteen-fold increase in only two decades. The average intensity of extreme heat events also gradually increased over the same period</w:t>
      </w:r>
      <w:r w:rsidR="42FEA181" w:rsidRPr="00306F4D">
        <w:rPr>
          <w:rFonts w:ascii="Arial" w:eastAsia="Arial" w:hAnsi="Arial" w:cs="Arial"/>
          <w:sz w:val="20"/>
          <w:szCs w:val="20"/>
        </w:rPr>
        <w:t>, while extreme dry and extreme wet weather events have been increasing.</w:t>
      </w:r>
      <w:r w:rsidR="42FEA181" w:rsidRPr="00306F4D">
        <w:rPr>
          <w:rStyle w:val="FootnoteReference"/>
          <w:rFonts w:ascii="Arial" w:eastAsia="Arial" w:hAnsi="Arial" w:cs="Arial"/>
          <w:sz w:val="20"/>
          <w:szCs w:val="20"/>
        </w:rPr>
        <w:t xml:space="preserve"> </w:t>
      </w:r>
      <w:r w:rsidR="00A94CA3" w:rsidRPr="00306F4D">
        <w:rPr>
          <w:rStyle w:val="FootnoteReference"/>
          <w:rFonts w:ascii="Arial" w:hAnsi="Arial" w:cs="Arial"/>
          <w:sz w:val="20"/>
          <w:szCs w:val="20"/>
        </w:rPr>
        <w:footnoteReference w:id="130"/>
      </w:r>
    </w:p>
    <w:p w14:paraId="6205D086" w14:textId="00D990D1" w:rsidR="007B7564" w:rsidRPr="00306F4D" w:rsidRDefault="007B7564" w:rsidP="00413459">
      <w:p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Adaptation benefits:</w:t>
      </w:r>
    </w:p>
    <w:p w14:paraId="141D8F75" w14:textId="0B6A3E92" w:rsidR="007B7564" w:rsidRPr="00306F4D" w:rsidRDefault="7005C801" w:rsidP="00413459">
      <w:pPr>
        <w:pStyle w:val="ListParagraph"/>
        <w:numPr>
          <w:ilvl w:val="0"/>
          <w:numId w:val="48"/>
        </w:num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lastRenderedPageBreak/>
        <w:t xml:space="preserve">Resilient </w:t>
      </w:r>
      <w:r w:rsidR="02256D74" w:rsidRPr="00306F4D">
        <w:rPr>
          <w:rFonts w:ascii="Arial" w:eastAsia="Arial" w:hAnsi="Arial" w:cs="Arial"/>
          <w:sz w:val="20"/>
          <w:szCs w:val="20"/>
          <w:lang w:val="en-GB"/>
        </w:rPr>
        <w:t xml:space="preserve">and risk-informed </w:t>
      </w:r>
      <w:r w:rsidRPr="00306F4D">
        <w:rPr>
          <w:rFonts w:ascii="Arial" w:eastAsia="Arial" w:hAnsi="Arial" w:cs="Arial"/>
          <w:sz w:val="20"/>
          <w:szCs w:val="20"/>
          <w:lang w:val="en-GB"/>
        </w:rPr>
        <w:t>housing</w:t>
      </w:r>
      <w:r w:rsidR="24E671EB" w:rsidRPr="00306F4D">
        <w:rPr>
          <w:rFonts w:ascii="Arial" w:eastAsia="Arial" w:hAnsi="Arial" w:cs="Arial"/>
          <w:sz w:val="20"/>
          <w:szCs w:val="20"/>
          <w:lang w:val="en-GB"/>
        </w:rPr>
        <w:t xml:space="preserve"> </w:t>
      </w:r>
      <w:r w:rsidR="02256D74" w:rsidRPr="00306F4D">
        <w:rPr>
          <w:rFonts w:ascii="Arial" w:eastAsia="Arial" w:hAnsi="Arial" w:cs="Arial"/>
          <w:sz w:val="20"/>
          <w:szCs w:val="20"/>
          <w:lang w:val="en-GB"/>
        </w:rPr>
        <w:t>development</w:t>
      </w:r>
      <w:r w:rsidR="315A56B9" w:rsidRPr="00306F4D">
        <w:rPr>
          <w:rFonts w:ascii="Arial" w:eastAsia="Arial" w:hAnsi="Arial" w:cs="Arial"/>
          <w:sz w:val="20"/>
          <w:szCs w:val="20"/>
          <w:lang w:val="en-GB"/>
        </w:rPr>
        <w:t>, sustainable and resilient city planning,</w:t>
      </w:r>
      <w:r w:rsidRPr="00306F4D">
        <w:rPr>
          <w:rFonts w:ascii="Arial" w:eastAsia="Arial" w:hAnsi="Arial" w:cs="Arial"/>
          <w:sz w:val="20"/>
          <w:szCs w:val="20"/>
          <w:lang w:val="en-GB"/>
        </w:rPr>
        <w:t xml:space="preserve"> </w:t>
      </w:r>
      <w:r w:rsidR="58330CD1" w:rsidRPr="00306F4D">
        <w:rPr>
          <w:rFonts w:ascii="Arial" w:eastAsia="Arial" w:hAnsi="Arial" w:cs="Arial"/>
          <w:sz w:val="20"/>
          <w:szCs w:val="20"/>
          <w:lang w:val="en-GB"/>
        </w:rPr>
        <w:t xml:space="preserve">and climate resilience principles integrated in zoning regulation. </w:t>
      </w:r>
    </w:p>
    <w:p w14:paraId="4D1528C3" w14:textId="153CD377" w:rsidR="007B7564" w:rsidRPr="00306F4D" w:rsidRDefault="5CF8997B" w:rsidP="00413459">
      <w:pPr>
        <w:pStyle w:val="ListParagraph"/>
        <w:numPr>
          <w:ilvl w:val="0"/>
          <w:numId w:val="48"/>
        </w:num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Develop solutions focused on</w:t>
      </w:r>
      <w:r w:rsidR="5EBB85A6" w:rsidRPr="00306F4D">
        <w:rPr>
          <w:rFonts w:ascii="Arial" w:eastAsia="Arial" w:hAnsi="Arial" w:cs="Arial"/>
          <w:sz w:val="20"/>
          <w:szCs w:val="20"/>
          <w:lang w:val="en-GB"/>
        </w:rPr>
        <w:t xml:space="preserve"> climate resilience of energy infrastructure </w:t>
      </w:r>
      <w:r w:rsidRPr="00306F4D">
        <w:rPr>
          <w:rFonts w:ascii="Arial" w:eastAsia="Arial" w:hAnsi="Arial" w:cs="Arial"/>
          <w:sz w:val="20"/>
          <w:szCs w:val="20"/>
          <w:lang w:val="en-GB"/>
        </w:rPr>
        <w:t>to</w:t>
      </w:r>
      <w:r w:rsidR="5EBB85A6" w:rsidRPr="00306F4D">
        <w:rPr>
          <w:rFonts w:ascii="Arial" w:eastAsia="Arial" w:hAnsi="Arial" w:cs="Arial"/>
          <w:sz w:val="20"/>
          <w:szCs w:val="20"/>
          <w:lang w:val="en-GB"/>
        </w:rPr>
        <w:t xml:space="preserve"> address </w:t>
      </w:r>
      <w:r w:rsidR="323E0469" w:rsidRPr="00306F4D">
        <w:rPr>
          <w:rFonts w:ascii="Arial" w:eastAsia="Arial" w:hAnsi="Arial" w:cs="Arial"/>
          <w:sz w:val="20"/>
          <w:szCs w:val="20"/>
          <w:lang w:val="en-GB"/>
        </w:rPr>
        <w:t xml:space="preserve">issues of access and costs </w:t>
      </w:r>
      <w:r w:rsidR="29568A08" w:rsidRPr="00306F4D">
        <w:rPr>
          <w:rFonts w:ascii="Arial" w:eastAsia="Arial" w:hAnsi="Arial" w:cs="Arial"/>
          <w:sz w:val="20"/>
          <w:szCs w:val="20"/>
          <w:lang w:val="en-GB"/>
        </w:rPr>
        <w:t xml:space="preserve">– aiming </w:t>
      </w:r>
      <w:r w:rsidR="323E0469" w:rsidRPr="00306F4D">
        <w:rPr>
          <w:rFonts w:ascii="Arial" w:eastAsia="Arial" w:hAnsi="Arial" w:cs="Arial"/>
          <w:sz w:val="20"/>
          <w:szCs w:val="20"/>
          <w:lang w:val="en-GB"/>
        </w:rPr>
        <w:t xml:space="preserve">to reduce </w:t>
      </w:r>
      <w:r w:rsidR="13C3527B" w:rsidRPr="00306F4D">
        <w:rPr>
          <w:rFonts w:ascii="Arial" w:eastAsia="Arial" w:hAnsi="Arial" w:cs="Arial"/>
          <w:sz w:val="20"/>
          <w:szCs w:val="20"/>
          <w:lang w:val="en-GB"/>
        </w:rPr>
        <w:t xml:space="preserve">demand and use of </w:t>
      </w:r>
      <w:r w:rsidR="71581A43" w:rsidRPr="00306F4D">
        <w:rPr>
          <w:rFonts w:ascii="Arial" w:eastAsia="Arial" w:hAnsi="Arial" w:cs="Arial"/>
          <w:sz w:val="20"/>
          <w:szCs w:val="20"/>
          <w:lang w:val="en-GB"/>
        </w:rPr>
        <w:t>polluting fuels, such as wood and waste, for private heating solutions</w:t>
      </w:r>
      <w:r w:rsidR="7005C801" w:rsidRPr="00306F4D">
        <w:rPr>
          <w:rFonts w:ascii="Arial" w:eastAsia="Arial" w:hAnsi="Arial" w:cs="Arial"/>
          <w:sz w:val="20"/>
          <w:szCs w:val="20"/>
          <w:lang w:val="en-GB"/>
        </w:rPr>
        <w:t>.</w:t>
      </w:r>
    </w:p>
    <w:p w14:paraId="3FC98F97" w14:textId="517DB5E7" w:rsidR="007B7564" w:rsidRPr="00306F4D" w:rsidRDefault="7721E039" w:rsidP="00413459">
      <w:pPr>
        <w:pStyle w:val="ListParagraph"/>
        <w:numPr>
          <w:ilvl w:val="0"/>
          <w:numId w:val="48"/>
        </w:num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 xml:space="preserve">Innovative solutions for greening cities in a practical and walkable manner, </w:t>
      </w:r>
      <w:r w:rsidR="2278B3F0" w:rsidRPr="00306F4D">
        <w:rPr>
          <w:rFonts w:ascii="Arial" w:eastAsia="Arial" w:hAnsi="Arial" w:cs="Arial"/>
          <w:sz w:val="20"/>
          <w:szCs w:val="20"/>
          <w:lang w:val="en-GB"/>
        </w:rPr>
        <w:t>developing urban nature-based solutions (</w:t>
      </w:r>
      <w:proofErr w:type="spellStart"/>
      <w:r w:rsidR="2278B3F0" w:rsidRPr="00306F4D">
        <w:rPr>
          <w:rFonts w:ascii="Arial" w:eastAsia="Arial" w:hAnsi="Arial" w:cs="Arial"/>
          <w:sz w:val="20"/>
          <w:szCs w:val="20"/>
          <w:lang w:val="en-GB"/>
        </w:rPr>
        <w:t>NbS</w:t>
      </w:r>
      <w:proofErr w:type="spellEnd"/>
      <w:r w:rsidR="2278B3F0" w:rsidRPr="00306F4D">
        <w:rPr>
          <w:rFonts w:ascii="Arial" w:eastAsia="Arial" w:hAnsi="Arial" w:cs="Arial"/>
          <w:sz w:val="20"/>
          <w:szCs w:val="20"/>
          <w:lang w:val="en-GB"/>
        </w:rPr>
        <w:t xml:space="preserve">) for </w:t>
      </w:r>
      <w:r w:rsidR="1A30DDE8" w:rsidRPr="00306F4D">
        <w:rPr>
          <w:rFonts w:ascii="Arial" w:eastAsia="Arial" w:hAnsi="Arial" w:cs="Arial"/>
          <w:sz w:val="20"/>
          <w:szCs w:val="20"/>
          <w:lang w:val="en-GB"/>
        </w:rPr>
        <w:t>adapting to climate risks, e.g. permeable sur</w:t>
      </w:r>
      <w:r w:rsidR="6EB587EA" w:rsidRPr="00306F4D">
        <w:rPr>
          <w:rFonts w:ascii="Arial" w:eastAsia="Arial" w:hAnsi="Arial" w:cs="Arial"/>
          <w:sz w:val="20"/>
          <w:szCs w:val="20"/>
          <w:lang w:val="en-GB"/>
        </w:rPr>
        <w:t xml:space="preserve">faces, </w:t>
      </w:r>
      <w:r w:rsidR="43E20296" w:rsidRPr="00306F4D">
        <w:rPr>
          <w:rFonts w:ascii="Arial" w:eastAsia="Arial" w:hAnsi="Arial" w:cs="Arial"/>
          <w:sz w:val="20"/>
          <w:szCs w:val="20"/>
          <w:lang w:val="en-GB"/>
        </w:rPr>
        <w:t>tree</w:t>
      </w:r>
      <w:r w:rsidR="6E760E60" w:rsidRPr="00306F4D">
        <w:rPr>
          <w:rFonts w:ascii="Arial" w:eastAsia="Arial" w:hAnsi="Arial" w:cs="Arial"/>
          <w:sz w:val="20"/>
          <w:szCs w:val="20"/>
          <w:lang w:val="en-GB"/>
        </w:rPr>
        <w:t>-planting solutions</w:t>
      </w:r>
      <w:r w:rsidR="43E20296" w:rsidRPr="00306F4D">
        <w:rPr>
          <w:rFonts w:ascii="Arial" w:eastAsia="Arial" w:hAnsi="Arial" w:cs="Arial"/>
          <w:sz w:val="20"/>
          <w:szCs w:val="20"/>
          <w:lang w:val="en-GB"/>
        </w:rPr>
        <w:t xml:space="preserve"> for </w:t>
      </w:r>
      <w:r w:rsidR="2EFB2A5D" w:rsidRPr="00306F4D">
        <w:rPr>
          <w:rFonts w:ascii="Arial" w:eastAsia="Arial" w:hAnsi="Arial" w:cs="Arial"/>
          <w:sz w:val="20"/>
          <w:szCs w:val="20"/>
          <w:lang w:val="en-GB"/>
        </w:rPr>
        <w:t xml:space="preserve">increasing </w:t>
      </w:r>
      <w:r w:rsidR="6E760E60" w:rsidRPr="00306F4D">
        <w:rPr>
          <w:rFonts w:ascii="Arial" w:eastAsia="Arial" w:hAnsi="Arial" w:cs="Arial"/>
          <w:sz w:val="20"/>
          <w:szCs w:val="20"/>
          <w:lang w:val="en-GB"/>
        </w:rPr>
        <w:t>canopy coverage and cleaner air</w:t>
      </w:r>
      <w:r w:rsidR="3BE6E5B5" w:rsidRPr="00306F4D">
        <w:rPr>
          <w:rFonts w:ascii="Arial" w:eastAsia="Arial" w:hAnsi="Arial" w:cs="Arial"/>
          <w:sz w:val="20"/>
          <w:szCs w:val="20"/>
          <w:lang w:val="en-GB"/>
        </w:rPr>
        <w:t xml:space="preserve">, </w:t>
      </w:r>
      <w:r w:rsidR="6ADF4A50" w:rsidRPr="00306F4D">
        <w:rPr>
          <w:rFonts w:ascii="Arial" w:eastAsia="Arial" w:hAnsi="Arial" w:cs="Arial"/>
          <w:sz w:val="20"/>
          <w:szCs w:val="20"/>
          <w:lang w:val="en-GB"/>
        </w:rPr>
        <w:t xml:space="preserve">utilizing </w:t>
      </w:r>
      <w:r w:rsidR="06B9C12F" w:rsidRPr="00306F4D">
        <w:rPr>
          <w:rFonts w:ascii="Arial" w:eastAsia="Arial" w:hAnsi="Arial" w:cs="Arial"/>
          <w:sz w:val="20"/>
          <w:szCs w:val="20"/>
          <w:lang w:val="en-GB"/>
        </w:rPr>
        <w:t>wall</w:t>
      </w:r>
      <w:r w:rsidR="7005C801" w:rsidRPr="00306F4D">
        <w:rPr>
          <w:rFonts w:ascii="Arial" w:eastAsia="Arial" w:hAnsi="Arial" w:cs="Arial"/>
          <w:sz w:val="20"/>
          <w:szCs w:val="20"/>
          <w:lang w:val="en-GB"/>
        </w:rPr>
        <w:t xml:space="preserve"> and </w:t>
      </w:r>
      <w:r w:rsidR="06B9C12F" w:rsidRPr="00306F4D">
        <w:rPr>
          <w:rFonts w:ascii="Arial" w:eastAsia="Arial" w:hAnsi="Arial" w:cs="Arial"/>
          <w:sz w:val="20"/>
          <w:szCs w:val="20"/>
          <w:lang w:val="en-GB"/>
        </w:rPr>
        <w:t>roof spaces for greenery</w:t>
      </w:r>
      <w:r w:rsidR="7005C801" w:rsidRPr="00306F4D">
        <w:rPr>
          <w:rFonts w:ascii="Arial" w:eastAsia="Arial" w:hAnsi="Arial" w:cs="Arial"/>
          <w:sz w:val="20"/>
          <w:szCs w:val="20"/>
          <w:lang w:val="en-GB"/>
        </w:rPr>
        <w:t>,</w:t>
      </w:r>
      <w:r w:rsidR="06B9C12F" w:rsidRPr="00306F4D">
        <w:rPr>
          <w:rFonts w:ascii="Arial" w:eastAsia="Arial" w:hAnsi="Arial" w:cs="Arial"/>
          <w:sz w:val="20"/>
          <w:szCs w:val="20"/>
          <w:lang w:val="en-GB"/>
        </w:rPr>
        <w:t xml:space="preserve"> </w:t>
      </w:r>
      <w:r w:rsidR="0A7EC17D" w:rsidRPr="00306F4D">
        <w:rPr>
          <w:rFonts w:ascii="Arial" w:eastAsia="Arial" w:hAnsi="Arial" w:cs="Arial"/>
          <w:sz w:val="20"/>
          <w:szCs w:val="20"/>
          <w:lang w:val="en-GB"/>
        </w:rPr>
        <w:t xml:space="preserve">and </w:t>
      </w:r>
      <w:r w:rsidR="3DC176F3" w:rsidRPr="00306F4D">
        <w:rPr>
          <w:rFonts w:ascii="Arial" w:eastAsia="Arial" w:hAnsi="Arial" w:cs="Arial"/>
          <w:sz w:val="20"/>
          <w:szCs w:val="20"/>
          <w:lang w:val="en-GB"/>
        </w:rPr>
        <w:t>developing or applying</w:t>
      </w:r>
      <w:r w:rsidR="305FED12" w:rsidRPr="00306F4D">
        <w:rPr>
          <w:rFonts w:ascii="Arial" w:eastAsia="Arial" w:hAnsi="Arial" w:cs="Arial"/>
          <w:sz w:val="20"/>
          <w:szCs w:val="20"/>
          <w:lang w:val="en-GB"/>
        </w:rPr>
        <w:t xml:space="preserve"> green-blue </w:t>
      </w:r>
      <w:r w:rsidR="3DC176F3" w:rsidRPr="00306F4D">
        <w:rPr>
          <w:rFonts w:ascii="Arial" w:eastAsia="Arial" w:hAnsi="Arial" w:cs="Arial"/>
          <w:sz w:val="20"/>
          <w:szCs w:val="20"/>
          <w:lang w:val="en-GB"/>
        </w:rPr>
        <w:t xml:space="preserve">solutions for better urban water management </w:t>
      </w:r>
      <w:r w:rsidR="10434A35" w:rsidRPr="00306F4D">
        <w:rPr>
          <w:rFonts w:ascii="Arial" w:eastAsia="Arial" w:hAnsi="Arial" w:cs="Arial"/>
          <w:sz w:val="20"/>
          <w:szCs w:val="20"/>
          <w:lang w:val="en-GB"/>
        </w:rPr>
        <w:t>–</w:t>
      </w:r>
      <w:r w:rsidR="3DC176F3" w:rsidRPr="00306F4D">
        <w:rPr>
          <w:rFonts w:ascii="Arial" w:eastAsia="Arial" w:hAnsi="Arial" w:cs="Arial"/>
          <w:sz w:val="20"/>
          <w:szCs w:val="20"/>
          <w:lang w:val="en-GB"/>
        </w:rPr>
        <w:t xml:space="preserve"> </w:t>
      </w:r>
      <w:r w:rsidR="10434A35" w:rsidRPr="00306F4D">
        <w:rPr>
          <w:rFonts w:ascii="Arial" w:eastAsia="Arial" w:hAnsi="Arial" w:cs="Arial"/>
          <w:sz w:val="20"/>
          <w:szCs w:val="20"/>
          <w:lang w:val="en-GB"/>
        </w:rPr>
        <w:t xml:space="preserve">strengthening resilience to urban flooding, </w:t>
      </w:r>
      <w:r w:rsidR="03E6F60F" w:rsidRPr="00306F4D">
        <w:rPr>
          <w:rFonts w:ascii="Arial" w:eastAsia="Arial" w:hAnsi="Arial" w:cs="Arial"/>
          <w:sz w:val="20"/>
          <w:szCs w:val="20"/>
          <w:lang w:val="en-GB"/>
        </w:rPr>
        <w:t xml:space="preserve">promoting cool and healthy urban micro-climates, </w:t>
      </w:r>
      <w:r w:rsidR="180A943C" w:rsidRPr="00306F4D">
        <w:rPr>
          <w:rFonts w:ascii="Arial" w:eastAsia="Arial" w:hAnsi="Arial" w:cs="Arial"/>
          <w:sz w:val="20"/>
          <w:szCs w:val="20"/>
          <w:lang w:val="en-GB"/>
        </w:rPr>
        <w:t>and human well-being.</w:t>
      </w:r>
    </w:p>
    <w:p w14:paraId="32966A06" w14:textId="47F7C993" w:rsidR="007B7564" w:rsidRPr="00306F4D" w:rsidRDefault="007B7564" w:rsidP="007B7564">
      <w:pPr>
        <w:spacing w:before="240" w:after="240" w:line="276" w:lineRule="auto"/>
        <w:rPr>
          <w:rFonts w:ascii="Arial" w:eastAsia="Arial" w:hAnsi="Arial" w:cs="Arial"/>
          <w:b/>
          <w:sz w:val="20"/>
          <w:szCs w:val="20"/>
          <w:lang w:val="en-GB"/>
        </w:rPr>
      </w:pPr>
      <w:r w:rsidRPr="00306F4D">
        <w:rPr>
          <w:rFonts w:ascii="Arial" w:eastAsia="Arial" w:hAnsi="Arial" w:cs="Arial"/>
          <w:b/>
          <w:sz w:val="20"/>
          <w:szCs w:val="20"/>
          <w:lang w:val="en-GB"/>
        </w:rPr>
        <w:t xml:space="preserve">4. Disaster Risk Reduction (DRR) </w:t>
      </w:r>
    </w:p>
    <w:p w14:paraId="4F6E3DAC" w14:textId="70561D10" w:rsidR="007B7564" w:rsidRPr="00306F4D" w:rsidRDefault="7227082F" w:rsidP="00413459">
      <w:pPr>
        <w:spacing w:before="240" w:after="240" w:line="276" w:lineRule="auto"/>
        <w:jc w:val="both"/>
        <w:rPr>
          <w:rFonts w:ascii="Arial" w:eastAsia="Arial" w:hAnsi="Arial" w:cs="Arial"/>
          <w:sz w:val="20"/>
          <w:szCs w:val="20"/>
        </w:rPr>
      </w:pPr>
      <w:r w:rsidRPr="00306F4D">
        <w:rPr>
          <w:rFonts w:ascii="Arial" w:eastAsia="Arial" w:hAnsi="Arial" w:cs="Arial"/>
          <w:sz w:val="20"/>
          <w:szCs w:val="20"/>
          <w:lang w:val="en-GB"/>
        </w:rPr>
        <w:t xml:space="preserve">Climate change intensifies weather related disasters, like floods, wildfires, droughts, storms, among others, leading to increasing human, economic, and environmental losses. </w:t>
      </w:r>
      <w:r w:rsidRPr="00306F4D">
        <w:rPr>
          <w:rFonts w:ascii="Arial" w:eastAsia="Arial" w:hAnsi="Arial" w:cs="Arial"/>
          <w:sz w:val="20"/>
          <w:szCs w:val="20"/>
        </w:rPr>
        <w:t xml:space="preserve">Aside from the direct threat to life, disasters are having increasingly stronger macroeconomic impacts, with direct losses estimated at $202 billion. When cascading and ecosystem costs are considered, escalating disaster costs now surpass $2.3 trillion annually, disproportionately affecting the most vulnerable. Even as hazards become more intense and volatile due to climate change, investments in reducing exposure and vulnerability are the cost-effective future of development. Disaster risk reduction (DRR) measures deliver some of the </w:t>
      </w:r>
      <w:r w:rsidRPr="00306F4D">
        <w:rPr>
          <w:rFonts w:ascii="Arial" w:eastAsia="Arial" w:hAnsi="Arial" w:cs="Arial"/>
          <w:b/>
          <w:bCs/>
          <w:sz w:val="20"/>
          <w:szCs w:val="20"/>
        </w:rPr>
        <w:t>highest benefit-cost ratios</w:t>
      </w:r>
      <w:r w:rsidRPr="00306F4D">
        <w:rPr>
          <w:rFonts w:ascii="Arial" w:eastAsia="Arial" w:hAnsi="Arial" w:cs="Arial"/>
          <w:sz w:val="20"/>
          <w:szCs w:val="20"/>
        </w:rPr>
        <w:t xml:space="preserve"> in development investment, ranging from 2:1 to 10:1 or more. Just as total disaster costs have been underestimated, so have the benefits of DRR in both developed and developing countries alike.</w:t>
      </w:r>
      <w:r w:rsidR="007B7564" w:rsidRPr="00306F4D">
        <w:rPr>
          <w:rStyle w:val="FootnoteReference"/>
          <w:rFonts w:ascii="Arial" w:eastAsiaTheme="minorEastAsia" w:hAnsi="Arial" w:cs="Arial"/>
          <w:sz w:val="20"/>
          <w:szCs w:val="20"/>
        </w:rPr>
        <w:footnoteReference w:id="131"/>
      </w:r>
      <w:r w:rsidRPr="00306F4D">
        <w:rPr>
          <w:rFonts w:ascii="Arial" w:eastAsia="Arial" w:hAnsi="Arial" w:cs="Arial"/>
          <w:sz w:val="20"/>
          <w:szCs w:val="20"/>
        </w:rPr>
        <w:t xml:space="preserve"> </w:t>
      </w:r>
      <w:r w:rsidR="0648CB11" w:rsidRPr="00306F4D">
        <w:rPr>
          <w:rFonts w:ascii="Arial" w:eastAsia="Arial" w:hAnsi="Arial" w:cs="Arial"/>
          <w:sz w:val="20"/>
          <w:szCs w:val="20"/>
        </w:rPr>
        <w:t xml:space="preserve"> </w:t>
      </w:r>
    </w:p>
    <w:p w14:paraId="5340D2FD" w14:textId="14237802" w:rsidR="007B7564" w:rsidRPr="00306F4D" w:rsidRDefault="7227082F" w:rsidP="00413459">
      <w:p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 xml:space="preserve">Floods, drought, extreme heat, landslides, and wildfire hazards become more frequent and more intense, posing substantial and growing risks for people and the economy. There is research suggesting compounding risks through overlapping hazards, for example droughts may increase risk of floods depending on the preconditions during which the sudden increase of precipitation occurs (geography, topography, soil conditions including moisture, etc.). There is however strong </w:t>
      </w:r>
      <w:r w:rsidRPr="00306F4D">
        <w:rPr>
          <w:rFonts w:ascii="Arial" w:eastAsia="Arial" w:hAnsi="Arial" w:cs="Arial"/>
          <w:sz w:val="20"/>
          <w:szCs w:val="20"/>
        </w:rPr>
        <w:t>evidence that drought-to-flood events cause more impacts than if the hazards would occur on their own</w:t>
      </w:r>
      <w:r w:rsidR="007B7564" w:rsidRPr="00306F4D">
        <w:rPr>
          <w:rStyle w:val="FootnoteReference"/>
          <w:rFonts w:ascii="Arial" w:eastAsiaTheme="minorEastAsia" w:hAnsi="Arial" w:cs="Arial"/>
          <w:sz w:val="20"/>
          <w:szCs w:val="20"/>
        </w:rPr>
        <w:footnoteReference w:id="132"/>
      </w:r>
      <w:r w:rsidRPr="00306F4D">
        <w:rPr>
          <w:rFonts w:ascii="Arial" w:eastAsia="Arial" w:hAnsi="Arial" w:cs="Arial"/>
          <w:sz w:val="20"/>
          <w:szCs w:val="20"/>
        </w:rPr>
        <w:t xml:space="preserve"> – situations more likely to arise due to the increased frequency of these extreme weather events</w:t>
      </w:r>
      <w:r w:rsidRPr="00306F4D">
        <w:rPr>
          <w:rFonts w:ascii="Arial" w:eastAsia="Arial" w:hAnsi="Arial" w:cs="Arial"/>
          <w:sz w:val="20"/>
          <w:szCs w:val="20"/>
          <w:lang w:val="en-GB"/>
        </w:rPr>
        <w:t xml:space="preserve">. </w:t>
      </w:r>
    </w:p>
    <w:p w14:paraId="02A32678" w14:textId="53B57C81" w:rsidR="02E2BB75" w:rsidRPr="00306F4D" w:rsidRDefault="7227082F" w:rsidP="00413459">
      <w:p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Nature-based Solutions (</w:t>
      </w:r>
      <w:proofErr w:type="spellStart"/>
      <w:r w:rsidRPr="00306F4D">
        <w:rPr>
          <w:rFonts w:ascii="Arial" w:eastAsia="Arial" w:hAnsi="Arial" w:cs="Arial"/>
          <w:sz w:val="20"/>
          <w:szCs w:val="20"/>
          <w:lang w:val="en-GB"/>
        </w:rPr>
        <w:t>NbS</w:t>
      </w:r>
      <w:proofErr w:type="spellEnd"/>
      <w:r w:rsidRPr="00306F4D">
        <w:rPr>
          <w:rFonts w:ascii="Arial" w:eastAsia="Arial" w:hAnsi="Arial" w:cs="Arial"/>
          <w:sz w:val="20"/>
          <w:szCs w:val="20"/>
          <w:lang w:val="en-GB"/>
        </w:rPr>
        <w:t>) innovations, such as Ecosystem-based DRR (Eco-DRR), that provide natural buffers against climate impacts and work with ecosystems to provide myriad co-benefits across all categories listed in this section would be highly encouraged to increase impact of investments.</w:t>
      </w:r>
    </w:p>
    <w:p w14:paraId="6DBD41EF" w14:textId="33AF0CA9" w:rsidR="007B7564" w:rsidRPr="00306F4D" w:rsidRDefault="007B7564" w:rsidP="00413459">
      <w:p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Adaptation benefits:</w:t>
      </w:r>
    </w:p>
    <w:p w14:paraId="44D5F041" w14:textId="77777777" w:rsidR="009C70A1" w:rsidRPr="00306F4D" w:rsidRDefault="79931266" w:rsidP="00413459">
      <w:pPr>
        <w:pStyle w:val="ListParagraph"/>
        <w:numPr>
          <w:ilvl w:val="0"/>
          <w:numId w:val="49"/>
        </w:num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 xml:space="preserve">Deploying or creating local adaptations of natural asset valuation tools to make a bankable business case for ecosystems, natural resources, promoting biodiversity and natural conservation. </w:t>
      </w:r>
    </w:p>
    <w:p w14:paraId="10976C88" w14:textId="31705667" w:rsidR="007B7564" w:rsidRPr="00306F4D" w:rsidRDefault="007B7564" w:rsidP="00413459">
      <w:pPr>
        <w:pStyle w:val="ListParagraph"/>
        <w:numPr>
          <w:ilvl w:val="0"/>
          <w:numId w:val="49"/>
        </w:num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Addressing gaps for</w:t>
      </w:r>
      <w:r w:rsidR="7005C801" w:rsidRPr="00306F4D">
        <w:rPr>
          <w:rFonts w:ascii="Arial" w:eastAsia="Arial" w:hAnsi="Arial" w:cs="Arial"/>
          <w:sz w:val="20"/>
          <w:szCs w:val="20"/>
          <w:lang w:val="en-GB"/>
        </w:rPr>
        <w:t xml:space="preserve"> </w:t>
      </w:r>
      <w:r w:rsidR="5EF0B98A" w:rsidRPr="00306F4D">
        <w:rPr>
          <w:rFonts w:ascii="Arial" w:eastAsia="Arial" w:hAnsi="Arial" w:cs="Arial"/>
          <w:sz w:val="20"/>
          <w:szCs w:val="20"/>
          <w:lang w:val="en-GB"/>
        </w:rPr>
        <w:t>multi-hazard</w:t>
      </w:r>
      <w:r w:rsidRPr="00306F4D">
        <w:rPr>
          <w:rFonts w:ascii="Arial" w:eastAsia="Arial" w:hAnsi="Arial" w:cs="Arial"/>
          <w:sz w:val="20"/>
          <w:szCs w:val="20"/>
          <w:lang w:val="en-GB"/>
        </w:rPr>
        <w:t xml:space="preserve"> early warning systems in low-access areas to prevent disasters, enhance preparedness, increase response times, and minimize recovery costs – saving lives, protecting infrastructure, and reducing impacts on livelihoods. </w:t>
      </w:r>
    </w:p>
    <w:p w14:paraId="45B0B56D" w14:textId="30317828" w:rsidR="007B7564" w:rsidRPr="00306F4D" w:rsidRDefault="12F0970A" w:rsidP="00413459">
      <w:pPr>
        <w:pStyle w:val="ListParagraph"/>
        <w:numPr>
          <w:ilvl w:val="0"/>
          <w:numId w:val="46"/>
        </w:num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Integrating risk-informe</w:t>
      </w:r>
      <w:r w:rsidR="490A865F" w:rsidRPr="00306F4D">
        <w:rPr>
          <w:rFonts w:ascii="Arial" w:eastAsia="Arial" w:hAnsi="Arial" w:cs="Arial"/>
          <w:sz w:val="20"/>
          <w:szCs w:val="20"/>
          <w:lang w:val="en-GB"/>
        </w:rPr>
        <w:t xml:space="preserve">d, green (green-grey where necessary) </w:t>
      </w:r>
      <w:r w:rsidR="611D2EF3" w:rsidRPr="00306F4D">
        <w:rPr>
          <w:rFonts w:ascii="Arial" w:eastAsia="Arial" w:hAnsi="Arial" w:cs="Arial"/>
          <w:sz w:val="20"/>
          <w:szCs w:val="20"/>
          <w:lang w:val="en-GB"/>
        </w:rPr>
        <w:t xml:space="preserve">engineering solutions in </w:t>
      </w:r>
      <w:r w:rsidR="13DD600D" w:rsidRPr="00306F4D">
        <w:rPr>
          <w:rFonts w:ascii="Arial" w:eastAsia="Arial" w:hAnsi="Arial" w:cs="Arial"/>
          <w:sz w:val="20"/>
          <w:szCs w:val="20"/>
          <w:lang w:val="en-GB"/>
        </w:rPr>
        <w:t>water management and flood planning</w:t>
      </w:r>
      <w:r w:rsidR="7EC355D5" w:rsidRPr="00306F4D">
        <w:rPr>
          <w:rFonts w:ascii="Arial" w:eastAsia="Arial" w:hAnsi="Arial" w:cs="Arial"/>
          <w:sz w:val="20"/>
          <w:szCs w:val="20"/>
          <w:lang w:val="en-GB"/>
        </w:rPr>
        <w:t xml:space="preserve">. </w:t>
      </w:r>
    </w:p>
    <w:p w14:paraId="0455703D" w14:textId="0E4D4DC8" w:rsidR="007B7564" w:rsidRPr="00306F4D" w:rsidRDefault="7005C801" w:rsidP="00413459">
      <w:pPr>
        <w:pStyle w:val="ListParagraph"/>
        <w:numPr>
          <w:ilvl w:val="0"/>
          <w:numId w:val="46"/>
        </w:num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lastRenderedPageBreak/>
        <w:t xml:space="preserve">Restoring </w:t>
      </w:r>
      <w:r w:rsidR="5B8D4B0B" w:rsidRPr="00306F4D">
        <w:rPr>
          <w:rFonts w:ascii="Arial" w:eastAsia="Arial" w:hAnsi="Arial" w:cs="Arial"/>
          <w:sz w:val="20"/>
          <w:szCs w:val="20"/>
          <w:lang w:val="en-GB"/>
        </w:rPr>
        <w:t xml:space="preserve">and protecting </w:t>
      </w:r>
      <w:r w:rsidRPr="00306F4D">
        <w:rPr>
          <w:rFonts w:ascii="Arial" w:eastAsia="Arial" w:hAnsi="Arial" w:cs="Arial"/>
          <w:sz w:val="20"/>
          <w:szCs w:val="20"/>
          <w:lang w:val="en-GB"/>
        </w:rPr>
        <w:t>wetlands and forests reduces flood and erosion risks</w:t>
      </w:r>
      <w:r w:rsidR="7B788147" w:rsidRPr="00306F4D">
        <w:rPr>
          <w:rFonts w:ascii="Arial" w:eastAsia="Arial" w:hAnsi="Arial" w:cs="Arial"/>
          <w:sz w:val="20"/>
          <w:szCs w:val="20"/>
          <w:lang w:val="en-GB"/>
        </w:rPr>
        <w:t>, protect biodiversity</w:t>
      </w:r>
      <w:r w:rsidR="779999EC" w:rsidRPr="00306F4D">
        <w:rPr>
          <w:rFonts w:ascii="Arial" w:eastAsia="Arial" w:hAnsi="Arial" w:cs="Arial"/>
          <w:sz w:val="20"/>
          <w:szCs w:val="20"/>
          <w:lang w:val="en-GB"/>
        </w:rPr>
        <w:t xml:space="preserve">, </w:t>
      </w:r>
      <w:r w:rsidR="7059B9E0" w:rsidRPr="00306F4D">
        <w:rPr>
          <w:rFonts w:ascii="Arial" w:eastAsia="Arial" w:hAnsi="Arial" w:cs="Arial"/>
          <w:sz w:val="20"/>
          <w:szCs w:val="20"/>
          <w:lang w:val="en-GB"/>
        </w:rPr>
        <w:t xml:space="preserve">protecting natural carbon sequestration functions, and </w:t>
      </w:r>
      <w:r w:rsidR="29EF3D4D" w:rsidRPr="00306F4D">
        <w:rPr>
          <w:rFonts w:ascii="Arial" w:eastAsia="Arial" w:hAnsi="Arial" w:cs="Arial"/>
          <w:sz w:val="20"/>
          <w:szCs w:val="20"/>
          <w:lang w:val="en-GB"/>
        </w:rPr>
        <w:t>providing opportunities for sustainable tourism</w:t>
      </w:r>
      <w:r w:rsidRPr="00306F4D">
        <w:rPr>
          <w:rFonts w:ascii="Arial" w:eastAsia="Arial" w:hAnsi="Arial" w:cs="Arial"/>
          <w:sz w:val="20"/>
          <w:szCs w:val="20"/>
          <w:lang w:val="en-GB"/>
        </w:rPr>
        <w:t>.</w:t>
      </w:r>
    </w:p>
    <w:p w14:paraId="5CBF92B9" w14:textId="0A3B3781" w:rsidR="007B7564" w:rsidRPr="00306F4D" w:rsidRDefault="007B7564" w:rsidP="00413459">
      <w:pPr>
        <w:pStyle w:val="ListParagraph"/>
        <w:numPr>
          <w:ilvl w:val="0"/>
          <w:numId w:val="46"/>
        </w:num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Enhances biodiversity and carbon sequestration and is often more cost-effective and sustainable than purely grey engineering solutions.</w:t>
      </w:r>
    </w:p>
    <w:p w14:paraId="3C6CB6BF" w14:textId="38F2388E" w:rsidR="007B7564" w:rsidRPr="00306F4D" w:rsidRDefault="007B7564" w:rsidP="00413459">
      <w:pPr>
        <w:pStyle w:val="ListParagraph"/>
        <w:numPr>
          <w:ilvl w:val="0"/>
          <w:numId w:val="50"/>
        </w:num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Combining bio- and grey infrastructure through hybrid engineering for improving local coastal development in high-risk areas, protecting the environment and livelihoods (e.g., fisheries, tourism).</w:t>
      </w:r>
    </w:p>
    <w:p w14:paraId="2F9B5800" w14:textId="25CE3888" w:rsidR="50A86163" w:rsidRPr="00306F4D" w:rsidRDefault="50A86163" w:rsidP="00413459">
      <w:pPr>
        <w:pStyle w:val="ListParagraph"/>
        <w:numPr>
          <w:ilvl w:val="0"/>
          <w:numId w:val="50"/>
        </w:numPr>
        <w:spacing w:before="240" w:after="240" w:line="276" w:lineRule="auto"/>
        <w:jc w:val="both"/>
        <w:rPr>
          <w:rFonts w:ascii="Arial" w:eastAsia="Arial" w:hAnsi="Arial" w:cs="Arial"/>
          <w:color w:val="000000" w:themeColor="text1"/>
          <w:sz w:val="20"/>
          <w:szCs w:val="20"/>
          <w:lang w:val="en-GB"/>
        </w:rPr>
      </w:pPr>
      <w:r w:rsidRPr="00306F4D">
        <w:rPr>
          <w:rFonts w:ascii="Arial" w:eastAsia="Arial" w:hAnsi="Arial" w:cs="Arial"/>
          <w:sz w:val="20"/>
          <w:szCs w:val="20"/>
          <w:lang w:val="en-GB"/>
        </w:rPr>
        <w:t>Early warning systems save lives by enabling timely evacuations</w:t>
      </w:r>
    </w:p>
    <w:p w14:paraId="2EB5FCA4" w14:textId="60645188" w:rsidR="50A86163" w:rsidRPr="00306F4D" w:rsidRDefault="50A86163" w:rsidP="00413459">
      <w:pPr>
        <w:pStyle w:val="ListParagraph"/>
        <w:numPr>
          <w:ilvl w:val="0"/>
          <w:numId w:val="50"/>
        </w:numPr>
        <w:spacing w:before="240" w:after="240" w:line="276" w:lineRule="auto"/>
        <w:jc w:val="both"/>
        <w:rPr>
          <w:rFonts w:ascii="Arial" w:eastAsia="Arial" w:hAnsi="Arial" w:cs="Arial"/>
          <w:color w:val="000000" w:themeColor="text1"/>
          <w:sz w:val="20"/>
          <w:szCs w:val="20"/>
          <w:lang w:val="en-GB"/>
        </w:rPr>
      </w:pPr>
      <w:r w:rsidRPr="00306F4D">
        <w:rPr>
          <w:rFonts w:ascii="Arial" w:eastAsia="Arial" w:hAnsi="Arial" w:cs="Arial"/>
          <w:sz w:val="20"/>
          <w:szCs w:val="20"/>
          <w:lang w:val="en-GB"/>
        </w:rPr>
        <w:t>Spatial risk mapping informs better land-use planning</w:t>
      </w:r>
    </w:p>
    <w:p w14:paraId="5D0224CB" w14:textId="44D794E8" w:rsidR="50A86163" w:rsidRPr="00306F4D" w:rsidRDefault="50A86163" w:rsidP="00413459">
      <w:pPr>
        <w:pStyle w:val="ListParagraph"/>
        <w:numPr>
          <w:ilvl w:val="0"/>
          <w:numId w:val="50"/>
        </w:numPr>
        <w:spacing w:before="240" w:after="240" w:line="276" w:lineRule="auto"/>
        <w:jc w:val="both"/>
        <w:rPr>
          <w:rFonts w:ascii="Arial" w:eastAsia="Arial" w:hAnsi="Arial" w:cs="Arial"/>
          <w:color w:val="000000" w:themeColor="text1"/>
          <w:sz w:val="20"/>
          <w:szCs w:val="20"/>
          <w:lang w:val="en-GB"/>
        </w:rPr>
      </w:pPr>
      <w:r w:rsidRPr="00306F4D">
        <w:rPr>
          <w:rFonts w:ascii="Arial" w:eastAsia="Arial" w:hAnsi="Arial" w:cs="Arial"/>
          <w:sz w:val="20"/>
          <w:szCs w:val="20"/>
          <w:lang w:val="en-GB"/>
        </w:rPr>
        <w:t>Wildfire prevention reduces damage to ecosystems and communities</w:t>
      </w:r>
    </w:p>
    <w:p w14:paraId="3628ED6E" w14:textId="31F9805C" w:rsidR="79FF3B74" w:rsidRPr="00306F4D" w:rsidDel="007B7564" w:rsidRDefault="50A86163" w:rsidP="00413459">
      <w:pPr>
        <w:spacing w:before="240" w:after="240" w:line="276" w:lineRule="auto"/>
        <w:jc w:val="both"/>
        <w:rPr>
          <w:rFonts w:ascii="Arial" w:eastAsia="Arial" w:hAnsi="Arial" w:cs="Arial"/>
          <w:b/>
          <w:sz w:val="20"/>
          <w:szCs w:val="20"/>
          <w:lang w:val="en-GB"/>
        </w:rPr>
      </w:pPr>
      <w:r w:rsidRPr="00306F4D">
        <w:rPr>
          <w:rFonts w:ascii="Arial" w:eastAsia="Arial" w:hAnsi="Arial" w:cs="Arial"/>
          <w:b/>
          <w:bCs/>
          <w:sz w:val="20"/>
          <w:szCs w:val="20"/>
          <w:lang w:val="en-GB"/>
        </w:rPr>
        <w:t>5</w:t>
      </w:r>
      <w:r w:rsidR="79FF3B74" w:rsidRPr="00306F4D" w:rsidDel="007B7564">
        <w:rPr>
          <w:rFonts w:ascii="Arial" w:eastAsia="Arial" w:hAnsi="Arial" w:cs="Arial"/>
          <w:b/>
          <w:sz w:val="20"/>
          <w:szCs w:val="20"/>
          <w:lang w:val="en-GB"/>
        </w:rPr>
        <w:t>. Nature-Based Solutions</w:t>
      </w:r>
    </w:p>
    <w:p w14:paraId="69783143" w14:textId="74201294" w:rsidR="79FF3B74" w:rsidRPr="00306F4D" w:rsidRDefault="79FF3B74" w:rsidP="00413459">
      <w:pPr>
        <w:spacing w:before="240" w:after="240" w:line="276" w:lineRule="auto"/>
        <w:jc w:val="both"/>
        <w:rPr>
          <w:rFonts w:ascii="Arial" w:eastAsia="Arial" w:hAnsi="Arial" w:cs="Arial"/>
          <w:sz w:val="20"/>
          <w:szCs w:val="20"/>
          <w:lang w:val="en-GB"/>
        </w:rPr>
      </w:pPr>
      <w:r w:rsidRPr="00306F4D" w:rsidDel="007B7564">
        <w:rPr>
          <w:rFonts w:ascii="Arial" w:eastAsia="Arial" w:hAnsi="Arial" w:cs="Arial"/>
          <w:sz w:val="20"/>
          <w:szCs w:val="20"/>
          <w:lang w:val="en-GB"/>
        </w:rPr>
        <w:t xml:space="preserve">Ecosystems provide natural buffers against climate impacts. </w:t>
      </w:r>
    </w:p>
    <w:p w14:paraId="355C40C4" w14:textId="576AD0C5" w:rsidR="79FF3B74" w:rsidRPr="00306F4D" w:rsidDel="007B7564" w:rsidRDefault="79FF3B74" w:rsidP="00413459">
      <w:pPr>
        <w:spacing w:before="240" w:after="240" w:line="276" w:lineRule="auto"/>
        <w:jc w:val="both"/>
        <w:rPr>
          <w:rFonts w:ascii="Arial" w:eastAsia="Arial" w:hAnsi="Arial" w:cs="Arial"/>
          <w:sz w:val="20"/>
          <w:szCs w:val="20"/>
          <w:lang w:val="en-GB"/>
        </w:rPr>
      </w:pPr>
      <w:r w:rsidRPr="00306F4D" w:rsidDel="007B7564">
        <w:rPr>
          <w:rFonts w:ascii="Arial" w:eastAsia="Arial" w:hAnsi="Arial" w:cs="Arial"/>
          <w:sz w:val="20"/>
          <w:szCs w:val="20"/>
          <w:lang w:val="en-GB"/>
        </w:rPr>
        <w:t>Adaptation benefits:</w:t>
      </w:r>
    </w:p>
    <w:p w14:paraId="1EB5C9D9" w14:textId="46D587D4" w:rsidR="79FF3B74" w:rsidRPr="00306F4D" w:rsidDel="007B7564" w:rsidRDefault="79FF3B74" w:rsidP="00413459">
      <w:pPr>
        <w:pStyle w:val="ListParagraph"/>
        <w:numPr>
          <w:ilvl w:val="0"/>
          <w:numId w:val="47"/>
        </w:numPr>
        <w:spacing w:before="240" w:after="240" w:line="276" w:lineRule="auto"/>
        <w:jc w:val="both"/>
        <w:rPr>
          <w:rFonts w:ascii="Arial" w:eastAsia="Arial" w:hAnsi="Arial" w:cs="Arial"/>
          <w:sz w:val="20"/>
          <w:szCs w:val="20"/>
          <w:lang w:val="en-GB"/>
        </w:rPr>
      </w:pPr>
      <w:r w:rsidRPr="00306F4D" w:rsidDel="007B7564">
        <w:rPr>
          <w:rFonts w:ascii="Arial" w:eastAsia="Arial" w:hAnsi="Arial" w:cs="Arial"/>
          <w:sz w:val="20"/>
          <w:szCs w:val="20"/>
          <w:lang w:val="en-GB"/>
        </w:rPr>
        <w:t>Restoring wetlands, mangroves, and forests reduces flood and erosion risks</w:t>
      </w:r>
    </w:p>
    <w:p w14:paraId="2786AF5E" w14:textId="2BAA1420" w:rsidR="79FF3B74" w:rsidRPr="00306F4D" w:rsidDel="007B7564" w:rsidRDefault="79FF3B74" w:rsidP="00413459">
      <w:pPr>
        <w:pStyle w:val="ListParagraph"/>
        <w:numPr>
          <w:ilvl w:val="0"/>
          <w:numId w:val="47"/>
        </w:numPr>
        <w:spacing w:before="240" w:after="240" w:line="276" w:lineRule="auto"/>
        <w:jc w:val="both"/>
        <w:rPr>
          <w:rFonts w:ascii="Arial" w:eastAsia="Arial" w:hAnsi="Arial" w:cs="Arial"/>
          <w:sz w:val="20"/>
          <w:szCs w:val="20"/>
          <w:lang w:val="en-GB"/>
        </w:rPr>
      </w:pPr>
      <w:r w:rsidRPr="00306F4D" w:rsidDel="007B7564">
        <w:rPr>
          <w:rFonts w:ascii="Arial" w:eastAsia="Arial" w:hAnsi="Arial" w:cs="Arial"/>
          <w:sz w:val="20"/>
          <w:szCs w:val="20"/>
          <w:lang w:val="en-GB"/>
        </w:rPr>
        <w:t>Enhances biodiversity and carbon sequestration</w:t>
      </w:r>
    </w:p>
    <w:p w14:paraId="76605C39" w14:textId="78266481" w:rsidR="79FF3B74" w:rsidRPr="00306F4D" w:rsidDel="007B7564" w:rsidRDefault="79FF3B74" w:rsidP="00413459">
      <w:pPr>
        <w:pStyle w:val="ListParagraph"/>
        <w:numPr>
          <w:ilvl w:val="0"/>
          <w:numId w:val="47"/>
        </w:numPr>
        <w:spacing w:before="240" w:after="240" w:line="276" w:lineRule="auto"/>
        <w:jc w:val="both"/>
        <w:rPr>
          <w:rFonts w:ascii="Arial" w:eastAsia="Arial" w:hAnsi="Arial" w:cs="Arial"/>
          <w:sz w:val="20"/>
          <w:szCs w:val="20"/>
          <w:lang w:val="en-GB"/>
        </w:rPr>
      </w:pPr>
      <w:r w:rsidRPr="00306F4D" w:rsidDel="007B7564">
        <w:rPr>
          <w:rFonts w:ascii="Arial" w:eastAsia="Arial" w:hAnsi="Arial" w:cs="Arial"/>
          <w:sz w:val="20"/>
          <w:szCs w:val="20"/>
          <w:lang w:val="en-GB"/>
        </w:rPr>
        <w:t>Often more cost-effective and sustainable than engineered solutions</w:t>
      </w:r>
    </w:p>
    <w:p w14:paraId="79A35A39" w14:textId="29A36AF2" w:rsidR="79FF3B74" w:rsidRPr="00306F4D" w:rsidDel="007B7564" w:rsidRDefault="48E3FDCA" w:rsidP="00413459">
      <w:pPr>
        <w:spacing w:before="240" w:after="240" w:line="276" w:lineRule="auto"/>
        <w:jc w:val="both"/>
        <w:rPr>
          <w:rFonts w:ascii="Arial" w:eastAsia="Arial" w:hAnsi="Arial" w:cs="Arial"/>
          <w:b/>
          <w:sz w:val="20"/>
          <w:szCs w:val="20"/>
          <w:lang w:val="en-GB"/>
        </w:rPr>
      </w:pPr>
      <w:r w:rsidRPr="00306F4D">
        <w:rPr>
          <w:rFonts w:ascii="Arial" w:eastAsia="Arial" w:hAnsi="Arial" w:cs="Arial"/>
          <w:b/>
          <w:bCs/>
          <w:sz w:val="20"/>
          <w:szCs w:val="20"/>
          <w:lang w:val="en-GB"/>
        </w:rPr>
        <w:t>6</w:t>
      </w:r>
      <w:r w:rsidR="5CFAD9A7" w:rsidRPr="00306F4D">
        <w:rPr>
          <w:rFonts w:ascii="Arial" w:eastAsia="Arial" w:hAnsi="Arial" w:cs="Arial"/>
          <w:b/>
          <w:bCs/>
          <w:sz w:val="20"/>
          <w:szCs w:val="20"/>
          <w:lang w:val="en-GB"/>
        </w:rPr>
        <w:t>.</w:t>
      </w:r>
      <w:r w:rsidR="79FF3B74" w:rsidRPr="00306F4D" w:rsidDel="007B7564">
        <w:rPr>
          <w:rFonts w:ascii="Arial" w:eastAsia="Arial" w:hAnsi="Arial" w:cs="Arial"/>
          <w:b/>
          <w:sz w:val="20"/>
          <w:szCs w:val="20"/>
          <w:lang w:val="en-GB"/>
        </w:rPr>
        <w:t xml:space="preserve"> Integrated Coastal Zone Management</w:t>
      </w:r>
    </w:p>
    <w:p w14:paraId="04624A63" w14:textId="6ED22B9F" w:rsidR="79FF3B74" w:rsidRPr="00306F4D" w:rsidRDefault="79FF3B74" w:rsidP="00413459">
      <w:pPr>
        <w:spacing w:before="240" w:after="240" w:line="276" w:lineRule="auto"/>
        <w:jc w:val="both"/>
        <w:rPr>
          <w:rFonts w:ascii="Arial" w:eastAsia="Arial" w:hAnsi="Arial" w:cs="Arial"/>
          <w:sz w:val="20"/>
          <w:szCs w:val="20"/>
          <w:lang w:val="en-GB"/>
        </w:rPr>
      </w:pPr>
      <w:r w:rsidRPr="00306F4D" w:rsidDel="007B7564">
        <w:rPr>
          <w:rFonts w:ascii="Arial" w:eastAsia="Arial" w:hAnsi="Arial" w:cs="Arial"/>
          <w:sz w:val="20"/>
          <w:szCs w:val="20"/>
          <w:lang w:val="en-GB"/>
        </w:rPr>
        <w:t xml:space="preserve">Rising sea levels and storm surges threaten coastal communities and ecosystems. </w:t>
      </w:r>
    </w:p>
    <w:p w14:paraId="7F36CC34" w14:textId="25C422A3" w:rsidR="79FF3B74" w:rsidRPr="00306F4D" w:rsidDel="007B7564" w:rsidRDefault="79FF3B74" w:rsidP="00413459">
      <w:pPr>
        <w:spacing w:before="240" w:after="240" w:line="276" w:lineRule="auto"/>
        <w:jc w:val="both"/>
        <w:rPr>
          <w:rFonts w:ascii="Arial" w:eastAsia="Arial" w:hAnsi="Arial" w:cs="Arial"/>
          <w:sz w:val="20"/>
          <w:szCs w:val="20"/>
          <w:lang w:val="en-GB"/>
        </w:rPr>
      </w:pPr>
      <w:r w:rsidRPr="00306F4D" w:rsidDel="007B7564">
        <w:rPr>
          <w:rFonts w:ascii="Arial" w:eastAsia="Arial" w:hAnsi="Arial" w:cs="Arial"/>
          <w:sz w:val="20"/>
          <w:szCs w:val="20"/>
          <w:lang w:val="en-GB"/>
        </w:rPr>
        <w:t>Adaptation benefits:</w:t>
      </w:r>
    </w:p>
    <w:p w14:paraId="68CA6E48" w14:textId="06310F95" w:rsidR="79FF3B74" w:rsidRPr="00306F4D" w:rsidDel="007B7564" w:rsidRDefault="79FF3B74" w:rsidP="00413459">
      <w:pPr>
        <w:pStyle w:val="ListParagraph"/>
        <w:numPr>
          <w:ilvl w:val="0"/>
          <w:numId w:val="50"/>
        </w:numPr>
        <w:spacing w:before="240" w:after="240" w:line="276" w:lineRule="auto"/>
        <w:jc w:val="both"/>
        <w:rPr>
          <w:rFonts w:ascii="Arial" w:eastAsia="Arial" w:hAnsi="Arial" w:cs="Arial"/>
          <w:sz w:val="20"/>
          <w:szCs w:val="20"/>
          <w:lang w:val="en-GB"/>
        </w:rPr>
      </w:pPr>
      <w:r w:rsidRPr="00306F4D" w:rsidDel="007B7564">
        <w:rPr>
          <w:rFonts w:ascii="Arial" w:eastAsia="Arial" w:hAnsi="Arial" w:cs="Arial"/>
          <w:sz w:val="20"/>
          <w:szCs w:val="20"/>
          <w:lang w:val="en-GB"/>
        </w:rPr>
        <w:t>Combines engineering, policy, and ecosystem-based approaches</w:t>
      </w:r>
    </w:p>
    <w:p w14:paraId="4767C61B" w14:textId="47A94422" w:rsidR="79FF3B74" w:rsidRPr="00306F4D" w:rsidDel="007B7564" w:rsidRDefault="79FF3B74" w:rsidP="00413459">
      <w:pPr>
        <w:pStyle w:val="ListParagraph"/>
        <w:numPr>
          <w:ilvl w:val="0"/>
          <w:numId w:val="50"/>
        </w:numPr>
        <w:spacing w:before="240" w:after="240" w:line="276" w:lineRule="auto"/>
        <w:jc w:val="both"/>
        <w:rPr>
          <w:rFonts w:ascii="Arial" w:eastAsia="Arial" w:hAnsi="Arial" w:cs="Arial"/>
          <w:sz w:val="20"/>
          <w:szCs w:val="20"/>
          <w:lang w:val="en-GB"/>
        </w:rPr>
      </w:pPr>
      <w:r w:rsidRPr="00306F4D" w:rsidDel="007B7564">
        <w:rPr>
          <w:rFonts w:ascii="Arial" w:eastAsia="Arial" w:hAnsi="Arial" w:cs="Arial"/>
          <w:sz w:val="20"/>
          <w:szCs w:val="20"/>
          <w:lang w:val="en-GB"/>
        </w:rPr>
        <w:t>Protects livelihoods (e.g., fisheries, tourism) and infrastructure</w:t>
      </w:r>
    </w:p>
    <w:p w14:paraId="2CD3A65D" w14:textId="2D5745F7" w:rsidR="79FF3B74" w:rsidRPr="00306F4D" w:rsidDel="007B7564" w:rsidRDefault="79FF3B74" w:rsidP="00413459">
      <w:pPr>
        <w:pStyle w:val="ListParagraph"/>
        <w:numPr>
          <w:ilvl w:val="0"/>
          <w:numId w:val="50"/>
        </w:numPr>
        <w:spacing w:before="240" w:after="240" w:line="276" w:lineRule="auto"/>
        <w:jc w:val="both"/>
        <w:rPr>
          <w:rFonts w:ascii="Arial" w:eastAsia="Arial" w:hAnsi="Arial" w:cs="Arial"/>
          <w:sz w:val="20"/>
          <w:szCs w:val="20"/>
          <w:lang w:val="en-GB"/>
        </w:rPr>
      </w:pPr>
      <w:r w:rsidRPr="00306F4D" w:rsidDel="007B7564">
        <w:rPr>
          <w:rFonts w:ascii="Arial" w:eastAsia="Arial" w:hAnsi="Arial" w:cs="Arial"/>
          <w:sz w:val="20"/>
          <w:szCs w:val="20"/>
          <w:lang w:val="en-GB"/>
        </w:rPr>
        <w:t>Encourages sustainable development in vulnerable coastal zones</w:t>
      </w:r>
    </w:p>
    <w:p w14:paraId="0B79D585" w14:textId="0F2E78F9" w:rsidR="79FF3B74" w:rsidRPr="00306F4D" w:rsidRDefault="7BAFBB49" w:rsidP="00413459">
      <w:pPr>
        <w:spacing w:before="240" w:after="240" w:line="276" w:lineRule="auto"/>
        <w:jc w:val="both"/>
        <w:rPr>
          <w:rFonts w:ascii="Arial" w:eastAsia="Arial" w:hAnsi="Arial" w:cs="Arial"/>
          <w:b/>
          <w:sz w:val="20"/>
          <w:szCs w:val="20"/>
          <w:lang w:val="en-GB"/>
        </w:rPr>
      </w:pPr>
      <w:r w:rsidRPr="00306F4D">
        <w:rPr>
          <w:rFonts w:ascii="Arial" w:eastAsia="Arial" w:hAnsi="Arial" w:cs="Arial"/>
          <w:b/>
          <w:bCs/>
          <w:sz w:val="20"/>
          <w:szCs w:val="20"/>
          <w:lang w:val="en-GB"/>
        </w:rPr>
        <w:t>7</w:t>
      </w:r>
      <w:r w:rsidR="79FF3B74" w:rsidRPr="00306F4D">
        <w:rPr>
          <w:rFonts w:ascii="Arial" w:eastAsia="Arial" w:hAnsi="Arial" w:cs="Arial"/>
          <w:b/>
          <w:sz w:val="20"/>
          <w:szCs w:val="20"/>
          <w:lang w:val="en-GB"/>
        </w:rPr>
        <w:t>. Climate-Health Integrated Management</w:t>
      </w:r>
    </w:p>
    <w:p w14:paraId="56D0470F" w14:textId="6FAAC6E2" w:rsidR="79FF3B74" w:rsidRPr="00306F4D" w:rsidRDefault="79FF3B74" w:rsidP="00413459">
      <w:p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 xml:space="preserve">Recognizes the deep interconnection between climate change and public health and ensures that adaptation strategies address both environmental and human well-being in a coordinated way. </w:t>
      </w:r>
    </w:p>
    <w:p w14:paraId="553048CE" w14:textId="483DA948" w:rsidR="79FF3B74" w:rsidRPr="00306F4D" w:rsidRDefault="79FF3B74" w:rsidP="00413459">
      <w:p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Adaptation benefits:</w:t>
      </w:r>
    </w:p>
    <w:p w14:paraId="724CB51D" w14:textId="6F5FF7C7" w:rsidR="79FF3B74" w:rsidRPr="00306F4D" w:rsidRDefault="79FF3B74" w:rsidP="00413459">
      <w:pPr>
        <w:pStyle w:val="ListParagraph"/>
        <w:numPr>
          <w:ilvl w:val="0"/>
          <w:numId w:val="57"/>
        </w:num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Helps prevent and manage diseases linked to climate change, such as heatstroke, respiratory illnesses, and vector-borne diseases</w:t>
      </w:r>
    </w:p>
    <w:p w14:paraId="6E6646D5" w14:textId="341D5B56" w:rsidR="79FF3B74" w:rsidRPr="00306F4D" w:rsidRDefault="79FF3B74" w:rsidP="00413459">
      <w:pPr>
        <w:pStyle w:val="ListParagraph"/>
        <w:numPr>
          <w:ilvl w:val="0"/>
          <w:numId w:val="57"/>
        </w:num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Ensures health facilities and services can withstand and respond to climate shocks like floods, droughts, and extreme heat</w:t>
      </w:r>
    </w:p>
    <w:p w14:paraId="387E0500" w14:textId="244A0F61" w:rsidR="79FF3B74" w:rsidRPr="00306F4D" w:rsidRDefault="79FF3B74" w:rsidP="00413459">
      <w:pPr>
        <w:pStyle w:val="ListParagraph"/>
        <w:numPr>
          <w:ilvl w:val="0"/>
          <w:numId w:val="57"/>
        </w:num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Combines climate forecasting with health surveillance to anticipate and respond to outbreaks and emergencies more effectively</w:t>
      </w:r>
    </w:p>
    <w:p w14:paraId="2CD16267" w14:textId="300FA1A0" w:rsidR="49C6F20D" w:rsidRPr="00306F4D" w:rsidRDefault="02CA4912" w:rsidP="00413459">
      <w:pPr>
        <w:pStyle w:val="ListParagraph"/>
        <w:numPr>
          <w:ilvl w:val="0"/>
          <w:numId w:val="54"/>
        </w:num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Targets vulnerable populations and delivers broader benefits like cleaner air, safer water, and improved nutrition</w:t>
      </w:r>
    </w:p>
    <w:p w14:paraId="09A7E119" w14:textId="1DB275BC" w:rsidR="09DD18D0" w:rsidRPr="00306F4D" w:rsidRDefault="2A8D08F7" w:rsidP="09DD18D0">
      <w:pPr>
        <w:spacing w:after="0"/>
        <w:jc w:val="both"/>
        <w:rPr>
          <w:rFonts w:ascii="Arial" w:eastAsia="Arial" w:hAnsi="Arial" w:cs="Arial"/>
          <w:b/>
          <w:i/>
          <w:color w:val="000000" w:themeColor="text1"/>
          <w:sz w:val="20"/>
          <w:szCs w:val="20"/>
        </w:rPr>
      </w:pPr>
      <w:r w:rsidRPr="00306F4D">
        <w:rPr>
          <w:rFonts w:ascii="Arial" w:eastAsia="Arial" w:hAnsi="Arial" w:cs="Arial"/>
          <w:b/>
          <w:i/>
          <w:color w:val="000000" w:themeColor="text1"/>
          <w:sz w:val="20"/>
          <w:szCs w:val="20"/>
        </w:rPr>
        <w:t>Output 1.2 – Indicative Activities</w:t>
      </w:r>
    </w:p>
    <w:p w14:paraId="07DD1F3A" w14:textId="435E9078" w:rsidR="062B6088" w:rsidRPr="00306F4D" w:rsidRDefault="062B6088" w:rsidP="006325AF">
      <w:pPr>
        <w:pStyle w:val="ListParagraph"/>
        <w:numPr>
          <w:ilvl w:val="0"/>
          <w:numId w:val="18"/>
        </w:numPr>
        <w:spacing w:before="240" w:after="240"/>
        <w:jc w:val="both"/>
        <w:rPr>
          <w:rFonts w:ascii="Arial" w:eastAsia="Arial" w:hAnsi="Arial" w:cs="Arial"/>
          <w:color w:val="000000" w:themeColor="text1"/>
          <w:sz w:val="20"/>
          <w:szCs w:val="20"/>
        </w:rPr>
      </w:pPr>
      <w:r w:rsidRPr="00306F4D">
        <w:rPr>
          <w:rFonts w:ascii="Arial" w:eastAsia="Arial" w:hAnsi="Arial" w:cs="Arial"/>
          <w:b/>
          <w:color w:val="000000" w:themeColor="text1"/>
          <w:sz w:val="20"/>
          <w:szCs w:val="20"/>
        </w:rPr>
        <w:lastRenderedPageBreak/>
        <w:t xml:space="preserve">Targeted </w:t>
      </w:r>
      <w:r w:rsidR="101FD61F" w:rsidRPr="00306F4D">
        <w:rPr>
          <w:rFonts w:ascii="Arial" w:eastAsia="Arial" w:hAnsi="Arial" w:cs="Arial"/>
          <w:b/>
          <w:color w:val="000000" w:themeColor="text1"/>
          <w:sz w:val="20"/>
          <w:szCs w:val="20"/>
        </w:rPr>
        <w:t>o</w:t>
      </w:r>
      <w:r w:rsidRPr="00306F4D">
        <w:rPr>
          <w:rFonts w:ascii="Arial" w:eastAsia="Arial" w:hAnsi="Arial" w:cs="Arial"/>
          <w:b/>
          <w:color w:val="000000" w:themeColor="text1"/>
          <w:sz w:val="20"/>
          <w:szCs w:val="20"/>
        </w:rPr>
        <w:t xml:space="preserve">utreach to </w:t>
      </w:r>
      <w:r w:rsidR="623DBA3C" w:rsidRPr="00306F4D">
        <w:rPr>
          <w:rFonts w:ascii="Arial" w:eastAsia="Arial" w:hAnsi="Arial" w:cs="Arial"/>
          <w:b/>
          <w:color w:val="000000" w:themeColor="text1"/>
          <w:sz w:val="20"/>
          <w:szCs w:val="20"/>
        </w:rPr>
        <w:t>w</w:t>
      </w:r>
      <w:r w:rsidRPr="00306F4D">
        <w:rPr>
          <w:rFonts w:ascii="Arial" w:eastAsia="Arial" w:hAnsi="Arial" w:cs="Arial"/>
          <w:b/>
          <w:color w:val="000000" w:themeColor="text1"/>
          <w:sz w:val="20"/>
          <w:szCs w:val="20"/>
        </w:rPr>
        <w:t xml:space="preserve">omen and </w:t>
      </w:r>
      <w:r w:rsidR="0411EF35" w:rsidRPr="00306F4D">
        <w:rPr>
          <w:rFonts w:ascii="Arial" w:eastAsia="Arial" w:hAnsi="Arial" w:cs="Arial"/>
          <w:b/>
          <w:color w:val="000000" w:themeColor="text1"/>
          <w:sz w:val="20"/>
          <w:szCs w:val="20"/>
        </w:rPr>
        <w:t>m</w:t>
      </w:r>
      <w:r w:rsidRPr="00306F4D">
        <w:rPr>
          <w:rFonts w:ascii="Arial" w:eastAsia="Arial" w:hAnsi="Arial" w:cs="Arial"/>
          <w:b/>
          <w:color w:val="000000" w:themeColor="text1"/>
          <w:sz w:val="20"/>
          <w:szCs w:val="20"/>
        </w:rPr>
        <w:t xml:space="preserve">arginalized </w:t>
      </w:r>
      <w:r w:rsidR="3EF81CB4" w:rsidRPr="00306F4D">
        <w:rPr>
          <w:rFonts w:ascii="Arial" w:eastAsia="Arial" w:hAnsi="Arial" w:cs="Arial"/>
          <w:b/>
          <w:color w:val="000000" w:themeColor="text1"/>
          <w:sz w:val="20"/>
          <w:szCs w:val="20"/>
        </w:rPr>
        <w:t>g</w:t>
      </w:r>
      <w:r w:rsidRPr="00306F4D">
        <w:rPr>
          <w:rFonts w:ascii="Arial" w:eastAsia="Arial" w:hAnsi="Arial" w:cs="Arial"/>
          <w:b/>
          <w:color w:val="000000" w:themeColor="text1"/>
          <w:sz w:val="20"/>
          <w:szCs w:val="20"/>
        </w:rPr>
        <w:t>roups</w:t>
      </w:r>
      <w:r w:rsidR="28A4D44C" w:rsidRPr="00306F4D">
        <w:rPr>
          <w:rFonts w:ascii="Arial" w:eastAsia="Arial" w:hAnsi="Arial" w:cs="Arial"/>
          <w:b/>
          <w:color w:val="000000" w:themeColor="text1"/>
          <w:sz w:val="20"/>
          <w:szCs w:val="20"/>
        </w:rPr>
        <w:t xml:space="preserve">, </w:t>
      </w:r>
      <w:r w:rsidR="4D02C156" w:rsidRPr="00306F4D">
        <w:rPr>
          <w:rFonts w:ascii="Arial" w:eastAsia="Arial" w:hAnsi="Arial" w:cs="Arial"/>
          <w:color w:val="000000" w:themeColor="text1"/>
          <w:sz w:val="20"/>
          <w:szCs w:val="20"/>
        </w:rPr>
        <w:t>p</w:t>
      </w:r>
      <w:r w:rsidRPr="00306F4D">
        <w:rPr>
          <w:rFonts w:ascii="Arial" w:eastAsia="Arial" w:hAnsi="Arial" w:cs="Arial"/>
          <w:color w:val="000000" w:themeColor="text1"/>
          <w:sz w:val="20"/>
          <w:szCs w:val="20"/>
        </w:rPr>
        <w:t>artner with women’s networks, youth groups, and minority associations; translate materials into local languages to ensure social inclusiveness and gender-responsiveness in selection criteria.</w:t>
      </w:r>
    </w:p>
    <w:p w14:paraId="0279B898" w14:textId="6186E39C" w:rsidR="062B6088" w:rsidRPr="00306F4D" w:rsidRDefault="062B6088" w:rsidP="006325AF">
      <w:pPr>
        <w:pStyle w:val="ListParagraph"/>
        <w:numPr>
          <w:ilvl w:val="0"/>
          <w:numId w:val="18"/>
        </w:numPr>
        <w:spacing w:before="240" w:after="240"/>
        <w:jc w:val="both"/>
        <w:rPr>
          <w:rFonts w:ascii="Arial" w:eastAsia="Arial" w:hAnsi="Arial" w:cs="Arial"/>
          <w:color w:val="000000" w:themeColor="text1"/>
          <w:sz w:val="20"/>
          <w:szCs w:val="20"/>
        </w:rPr>
      </w:pPr>
      <w:r w:rsidRPr="00306F4D">
        <w:rPr>
          <w:rFonts w:ascii="Arial" w:eastAsia="Arial" w:hAnsi="Arial" w:cs="Arial"/>
          <w:b/>
          <w:color w:val="000000" w:themeColor="text1"/>
          <w:sz w:val="20"/>
          <w:szCs w:val="20"/>
        </w:rPr>
        <w:t xml:space="preserve">Gender and </w:t>
      </w:r>
      <w:r w:rsidR="4C20818E" w:rsidRPr="00306F4D">
        <w:rPr>
          <w:rFonts w:ascii="Arial" w:eastAsia="Arial" w:hAnsi="Arial" w:cs="Arial"/>
          <w:b/>
          <w:color w:val="000000" w:themeColor="text1"/>
          <w:sz w:val="20"/>
          <w:szCs w:val="20"/>
        </w:rPr>
        <w:t>i</w:t>
      </w:r>
      <w:r w:rsidRPr="00306F4D">
        <w:rPr>
          <w:rFonts w:ascii="Arial" w:eastAsia="Arial" w:hAnsi="Arial" w:cs="Arial"/>
          <w:b/>
          <w:color w:val="000000" w:themeColor="text1"/>
          <w:sz w:val="20"/>
          <w:szCs w:val="20"/>
        </w:rPr>
        <w:t xml:space="preserve">nclusion </w:t>
      </w:r>
      <w:r w:rsidR="0F4E36FE" w:rsidRPr="00306F4D">
        <w:rPr>
          <w:rFonts w:ascii="Arial" w:eastAsia="Arial" w:hAnsi="Arial" w:cs="Arial"/>
          <w:b/>
          <w:color w:val="000000" w:themeColor="text1"/>
          <w:sz w:val="20"/>
          <w:szCs w:val="20"/>
        </w:rPr>
        <w:t>t</w:t>
      </w:r>
      <w:r w:rsidRPr="00306F4D">
        <w:rPr>
          <w:rFonts w:ascii="Arial" w:eastAsia="Arial" w:hAnsi="Arial" w:cs="Arial"/>
          <w:b/>
          <w:color w:val="000000" w:themeColor="text1"/>
          <w:sz w:val="20"/>
          <w:szCs w:val="20"/>
        </w:rPr>
        <w:t xml:space="preserve">raining for </w:t>
      </w:r>
      <w:r w:rsidR="7ABBEDEF" w:rsidRPr="00306F4D">
        <w:rPr>
          <w:rFonts w:ascii="Arial" w:eastAsia="Arial" w:hAnsi="Arial" w:cs="Arial"/>
          <w:b/>
          <w:color w:val="000000" w:themeColor="text1"/>
          <w:sz w:val="20"/>
          <w:szCs w:val="20"/>
        </w:rPr>
        <w:t>a</w:t>
      </w:r>
      <w:r w:rsidRPr="00306F4D">
        <w:rPr>
          <w:rFonts w:ascii="Arial" w:eastAsia="Arial" w:hAnsi="Arial" w:cs="Arial"/>
          <w:b/>
          <w:color w:val="000000" w:themeColor="text1"/>
          <w:sz w:val="20"/>
          <w:szCs w:val="20"/>
        </w:rPr>
        <w:t>pplicants</w:t>
      </w:r>
      <w:r w:rsidR="09674B09" w:rsidRPr="00306F4D">
        <w:rPr>
          <w:rFonts w:ascii="Arial" w:eastAsia="Arial" w:hAnsi="Arial" w:cs="Arial"/>
          <w:b/>
          <w:color w:val="000000" w:themeColor="text1"/>
          <w:sz w:val="20"/>
          <w:szCs w:val="20"/>
        </w:rPr>
        <w:t xml:space="preserve">, </w:t>
      </w:r>
      <w:r w:rsidR="00295642" w:rsidRPr="00306F4D">
        <w:rPr>
          <w:rFonts w:ascii="Arial" w:eastAsia="Arial" w:hAnsi="Arial" w:cs="Arial"/>
          <w:color w:val="auto"/>
          <w:sz w:val="20"/>
          <w:szCs w:val="20"/>
        </w:rPr>
        <w:t>o</w:t>
      </w:r>
      <w:r w:rsidRPr="00306F4D">
        <w:rPr>
          <w:rFonts w:ascii="Arial" w:eastAsia="Arial" w:hAnsi="Arial" w:cs="Arial"/>
          <w:color w:val="000000" w:themeColor="text1"/>
          <w:sz w:val="20"/>
          <w:szCs w:val="20"/>
        </w:rPr>
        <w:t>ffer webinars on how to integrate GESI into project design; provide examples of inclusive adaptation innovations.</w:t>
      </w:r>
    </w:p>
    <w:p w14:paraId="740AA2CF" w14:textId="55EAA14D" w:rsidR="062B6088" w:rsidRPr="00306F4D" w:rsidRDefault="062B6088" w:rsidP="006325AF">
      <w:pPr>
        <w:pStyle w:val="ListParagraph"/>
        <w:numPr>
          <w:ilvl w:val="0"/>
          <w:numId w:val="18"/>
        </w:numPr>
        <w:spacing w:before="240" w:after="240"/>
        <w:jc w:val="both"/>
        <w:rPr>
          <w:rFonts w:ascii="Arial" w:eastAsia="Arial" w:hAnsi="Arial" w:cs="Arial"/>
          <w:color w:val="000000" w:themeColor="text1"/>
          <w:sz w:val="20"/>
          <w:szCs w:val="20"/>
        </w:rPr>
      </w:pPr>
      <w:r w:rsidRPr="00306F4D">
        <w:rPr>
          <w:rFonts w:ascii="Arial" w:eastAsia="Arial" w:hAnsi="Arial" w:cs="Arial"/>
          <w:b/>
          <w:color w:val="000000" w:themeColor="text1"/>
          <w:sz w:val="20"/>
          <w:szCs w:val="20"/>
        </w:rPr>
        <w:t>Gender-</w:t>
      </w:r>
      <w:r w:rsidR="2DB14686" w:rsidRPr="00306F4D">
        <w:rPr>
          <w:rFonts w:ascii="Arial" w:eastAsia="Arial" w:hAnsi="Arial" w:cs="Arial"/>
          <w:b/>
          <w:color w:val="000000" w:themeColor="text1"/>
          <w:sz w:val="20"/>
          <w:szCs w:val="20"/>
        </w:rPr>
        <w:t>r</w:t>
      </w:r>
      <w:r w:rsidRPr="00306F4D">
        <w:rPr>
          <w:rFonts w:ascii="Arial" w:eastAsia="Arial" w:hAnsi="Arial" w:cs="Arial"/>
          <w:b/>
          <w:color w:val="000000" w:themeColor="text1"/>
          <w:sz w:val="20"/>
          <w:szCs w:val="20"/>
        </w:rPr>
        <w:t xml:space="preserve">esponsive </w:t>
      </w:r>
      <w:r w:rsidR="629AC767" w:rsidRPr="00306F4D">
        <w:rPr>
          <w:rFonts w:ascii="Arial" w:eastAsia="Arial" w:hAnsi="Arial" w:cs="Arial"/>
          <w:b/>
          <w:color w:val="000000" w:themeColor="text1"/>
          <w:sz w:val="20"/>
          <w:szCs w:val="20"/>
        </w:rPr>
        <w:t>p</w:t>
      </w:r>
      <w:r w:rsidRPr="00306F4D">
        <w:rPr>
          <w:rFonts w:ascii="Arial" w:eastAsia="Arial" w:hAnsi="Arial" w:cs="Arial"/>
          <w:b/>
          <w:color w:val="000000" w:themeColor="text1"/>
          <w:sz w:val="20"/>
          <w:szCs w:val="20"/>
        </w:rPr>
        <w:t xml:space="preserve">roposal </w:t>
      </w:r>
      <w:r w:rsidR="2B70C252" w:rsidRPr="00306F4D">
        <w:rPr>
          <w:rFonts w:ascii="Arial" w:eastAsia="Arial" w:hAnsi="Arial" w:cs="Arial"/>
          <w:b/>
          <w:color w:val="000000" w:themeColor="text1"/>
          <w:sz w:val="20"/>
          <w:szCs w:val="20"/>
        </w:rPr>
        <w:t>r</w:t>
      </w:r>
      <w:r w:rsidRPr="00306F4D">
        <w:rPr>
          <w:rFonts w:ascii="Arial" w:eastAsia="Arial" w:hAnsi="Arial" w:cs="Arial"/>
          <w:b/>
          <w:color w:val="000000" w:themeColor="text1"/>
          <w:sz w:val="20"/>
          <w:szCs w:val="20"/>
        </w:rPr>
        <w:t>eview</w:t>
      </w:r>
      <w:r w:rsidR="00D9BC08" w:rsidRPr="00306F4D">
        <w:rPr>
          <w:rFonts w:ascii="Arial" w:eastAsia="Arial" w:hAnsi="Arial" w:cs="Arial"/>
          <w:b/>
          <w:color w:val="000000" w:themeColor="text1"/>
          <w:sz w:val="20"/>
          <w:szCs w:val="20"/>
        </w:rPr>
        <w:t xml:space="preserve">, </w:t>
      </w:r>
      <w:r w:rsidR="00D9BC08" w:rsidRPr="00306F4D">
        <w:rPr>
          <w:rFonts w:ascii="Arial" w:eastAsia="Arial" w:hAnsi="Arial" w:cs="Arial"/>
          <w:color w:val="000000" w:themeColor="text1"/>
          <w:sz w:val="20"/>
          <w:szCs w:val="20"/>
        </w:rPr>
        <w:t>r</w:t>
      </w:r>
      <w:r w:rsidRPr="00306F4D">
        <w:rPr>
          <w:rFonts w:ascii="Arial" w:eastAsia="Arial" w:hAnsi="Arial" w:cs="Arial"/>
          <w:color w:val="000000" w:themeColor="text1"/>
          <w:sz w:val="20"/>
          <w:szCs w:val="20"/>
        </w:rPr>
        <w:t>equire gender analysis and action plans in proposals; prioritize women-led and socially inclusive initiatives.</w:t>
      </w:r>
    </w:p>
    <w:p w14:paraId="4E57C543" w14:textId="2BCA0018" w:rsidR="651A32CB" w:rsidRPr="00306F4D" w:rsidRDefault="062B6088" w:rsidP="006325AF">
      <w:pPr>
        <w:pStyle w:val="ListParagraph"/>
        <w:numPr>
          <w:ilvl w:val="0"/>
          <w:numId w:val="18"/>
        </w:numPr>
        <w:spacing w:before="240" w:after="240"/>
        <w:jc w:val="both"/>
        <w:rPr>
          <w:rFonts w:ascii="Arial" w:eastAsia="Arial" w:hAnsi="Arial" w:cs="Arial"/>
          <w:color w:val="000000" w:themeColor="text1"/>
          <w:sz w:val="20"/>
          <w:szCs w:val="20"/>
        </w:rPr>
      </w:pPr>
      <w:r w:rsidRPr="00306F4D">
        <w:rPr>
          <w:rFonts w:ascii="Arial" w:eastAsia="Arial" w:hAnsi="Arial" w:cs="Arial"/>
          <w:b/>
          <w:color w:val="000000" w:themeColor="text1"/>
          <w:sz w:val="20"/>
          <w:szCs w:val="20"/>
        </w:rPr>
        <w:t xml:space="preserve">Monitoring GESI </w:t>
      </w:r>
      <w:r w:rsidR="25B58328" w:rsidRPr="00306F4D">
        <w:rPr>
          <w:rFonts w:ascii="Arial" w:eastAsia="Arial" w:hAnsi="Arial" w:cs="Arial"/>
          <w:b/>
          <w:color w:val="000000" w:themeColor="text1"/>
          <w:sz w:val="20"/>
          <w:szCs w:val="20"/>
        </w:rPr>
        <w:t>o</w:t>
      </w:r>
      <w:r w:rsidRPr="00306F4D">
        <w:rPr>
          <w:rFonts w:ascii="Arial" w:eastAsia="Arial" w:hAnsi="Arial" w:cs="Arial"/>
          <w:b/>
          <w:color w:val="000000" w:themeColor="text1"/>
          <w:sz w:val="20"/>
          <w:szCs w:val="20"/>
        </w:rPr>
        <w:t xml:space="preserve">utcomes &amp; </w:t>
      </w:r>
      <w:r w:rsidR="4EF22284" w:rsidRPr="00306F4D">
        <w:rPr>
          <w:rFonts w:ascii="Arial" w:eastAsia="Arial" w:hAnsi="Arial" w:cs="Arial"/>
          <w:b/>
          <w:color w:val="000000" w:themeColor="text1"/>
          <w:sz w:val="20"/>
          <w:szCs w:val="20"/>
        </w:rPr>
        <w:t>c</w:t>
      </w:r>
      <w:r w:rsidRPr="00306F4D">
        <w:rPr>
          <w:rFonts w:ascii="Arial" w:eastAsia="Arial" w:hAnsi="Arial" w:cs="Arial"/>
          <w:b/>
          <w:color w:val="000000" w:themeColor="text1"/>
          <w:sz w:val="20"/>
          <w:szCs w:val="20"/>
        </w:rPr>
        <w:t xml:space="preserve">apacity </w:t>
      </w:r>
      <w:r w:rsidR="5A0A48C0" w:rsidRPr="00306F4D">
        <w:rPr>
          <w:rFonts w:ascii="Arial" w:eastAsia="Arial" w:hAnsi="Arial" w:cs="Arial"/>
          <w:b/>
          <w:color w:val="000000" w:themeColor="text1"/>
          <w:sz w:val="20"/>
          <w:szCs w:val="20"/>
        </w:rPr>
        <w:t>b</w:t>
      </w:r>
      <w:r w:rsidRPr="00306F4D">
        <w:rPr>
          <w:rFonts w:ascii="Arial" w:eastAsia="Arial" w:hAnsi="Arial" w:cs="Arial"/>
          <w:b/>
          <w:color w:val="000000" w:themeColor="text1"/>
          <w:sz w:val="20"/>
          <w:szCs w:val="20"/>
        </w:rPr>
        <w:t xml:space="preserve">uilding for </w:t>
      </w:r>
      <w:r w:rsidR="4B1A7791" w:rsidRPr="00306F4D">
        <w:rPr>
          <w:rFonts w:ascii="Arial" w:eastAsia="Arial" w:hAnsi="Arial" w:cs="Arial"/>
          <w:b/>
          <w:color w:val="000000" w:themeColor="text1"/>
          <w:sz w:val="20"/>
          <w:szCs w:val="20"/>
        </w:rPr>
        <w:t>g</w:t>
      </w:r>
      <w:r w:rsidRPr="00306F4D">
        <w:rPr>
          <w:rFonts w:ascii="Arial" w:eastAsia="Arial" w:hAnsi="Arial" w:cs="Arial"/>
          <w:b/>
          <w:color w:val="000000" w:themeColor="text1"/>
          <w:sz w:val="20"/>
          <w:szCs w:val="20"/>
        </w:rPr>
        <w:t>rantees</w:t>
      </w:r>
      <w:r w:rsidR="747A2919" w:rsidRPr="00306F4D">
        <w:rPr>
          <w:rFonts w:ascii="Arial" w:eastAsia="Arial" w:hAnsi="Arial" w:cs="Arial"/>
          <w:b/>
          <w:color w:val="000000" w:themeColor="text1"/>
          <w:sz w:val="20"/>
          <w:szCs w:val="20"/>
        </w:rPr>
        <w:t xml:space="preserve">, </w:t>
      </w:r>
      <w:r w:rsidR="7C93F5A1" w:rsidRPr="00306F4D">
        <w:t>t</w:t>
      </w:r>
      <w:r w:rsidRPr="00306F4D">
        <w:rPr>
          <w:rFonts w:ascii="Arial" w:eastAsia="Arial" w:hAnsi="Arial" w:cs="Arial"/>
          <w:color w:val="000000" w:themeColor="text1"/>
          <w:sz w:val="20"/>
          <w:szCs w:val="20"/>
        </w:rPr>
        <w:t>rack participation of women and marginalized groups; evaluate how projects address structural barriers and promote empowerment.</w:t>
      </w:r>
    </w:p>
    <w:p w14:paraId="0A841FFA" w14:textId="0769DB89" w:rsidR="001B4667" w:rsidRPr="00306F4D" w:rsidRDefault="001B4667" w:rsidP="001B4667">
      <w:pPr>
        <w:pStyle w:val="Heading4"/>
        <w:spacing w:line="276" w:lineRule="auto"/>
        <w:jc w:val="both"/>
        <w:rPr>
          <w:rFonts w:ascii="Arial" w:eastAsia="Arial" w:hAnsi="Arial" w:cs="Arial"/>
          <w:b/>
          <w:i w:val="0"/>
          <w:iCs w:val="0"/>
          <w:sz w:val="20"/>
          <w:szCs w:val="20"/>
          <w:lang w:val="en-GB"/>
        </w:rPr>
      </w:pPr>
      <w:r w:rsidRPr="00306F4D">
        <w:rPr>
          <w:rFonts w:ascii="Arial" w:eastAsia="Arial" w:hAnsi="Arial" w:cs="Arial"/>
          <w:b/>
          <w:i w:val="0"/>
          <w:iCs w:val="0"/>
          <w:sz w:val="20"/>
          <w:szCs w:val="20"/>
          <w:lang w:val="en-GB"/>
        </w:rPr>
        <w:t xml:space="preserve">Component 2: Technical </w:t>
      </w:r>
      <w:r w:rsidR="00333750" w:rsidRPr="00306F4D">
        <w:rPr>
          <w:rFonts w:ascii="Arial" w:eastAsia="Arial" w:hAnsi="Arial" w:cs="Arial"/>
          <w:b/>
          <w:i w:val="0"/>
          <w:iCs w:val="0"/>
          <w:sz w:val="20"/>
          <w:szCs w:val="20"/>
          <w:lang w:val="en-GB"/>
        </w:rPr>
        <w:t>a</w:t>
      </w:r>
      <w:r w:rsidRPr="00306F4D">
        <w:rPr>
          <w:rFonts w:ascii="Arial" w:eastAsia="Arial" w:hAnsi="Arial" w:cs="Arial"/>
          <w:b/>
          <w:i w:val="0"/>
          <w:iCs w:val="0"/>
          <w:sz w:val="20"/>
          <w:szCs w:val="20"/>
          <w:lang w:val="en-GB"/>
        </w:rPr>
        <w:t xml:space="preserve">ssistance and </w:t>
      </w:r>
      <w:r w:rsidR="00333750" w:rsidRPr="00306F4D">
        <w:rPr>
          <w:rFonts w:ascii="Arial" w:eastAsia="Arial" w:hAnsi="Arial" w:cs="Arial"/>
          <w:b/>
          <w:i w:val="0"/>
          <w:iCs w:val="0"/>
          <w:sz w:val="20"/>
          <w:szCs w:val="20"/>
          <w:lang w:val="en-GB"/>
        </w:rPr>
        <w:t>c</w:t>
      </w:r>
      <w:r w:rsidRPr="00306F4D">
        <w:rPr>
          <w:rFonts w:ascii="Arial" w:eastAsia="Arial" w:hAnsi="Arial" w:cs="Arial"/>
          <w:b/>
          <w:i w:val="0"/>
          <w:iCs w:val="0"/>
          <w:sz w:val="20"/>
          <w:szCs w:val="20"/>
          <w:lang w:val="en-GB"/>
        </w:rPr>
        <w:t>apability development</w:t>
      </w:r>
      <w:r w:rsidR="00333750" w:rsidRPr="00306F4D">
        <w:rPr>
          <w:rFonts w:ascii="Arial" w:eastAsia="Arial" w:hAnsi="Arial" w:cs="Arial"/>
          <w:b/>
          <w:i w:val="0"/>
          <w:iCs w:val="0"/>
          <w:sz w:val="20"/>
          <w:szCs w:val="20"/>
          <w:lang w:val="en-GB"/>
        </w:rPr>
        <w:t xml:space="preserve"> for scale</w:t>
      </w:r>
    </w:p>
    <w:p w14:paraId="09CB668E" w14:textId="0FE3063E" w:rsidR="001B4667" w:rsidRPr="00306F4D" w:rsidRDefault="001B4667" w:rsidP="001B4667">
      <w:pPr>
        <w:spacing w:before="240" w:after="240" w:line="276" w:lineRule="auto"/>
        <w:jc w:val="both"/>
        <w:rPr>
          <w:rFonts w:ascii="Arial" w:eastAsia="Arial" w:hAnsi="Arial" w:cs="Arial"/>
          <w:b/>
          <w:color w:val="000000" w:themeColor="text1"/>
          <w:sz w:val="20"/>
          <w:szCs w:val="20"/>
          <w:lang w:val="en-GB"/>
        </w:rPr>
      </w:pPr>
      <w:r w:rsidRPr="00306F4D">
        <w:rPr>
          <w:rFonts w:ascii="Arial" w:eastAsia="Arial" w:hAnsi="Arial" w:cs="Arial"/>
          <w:b/>
          <w:color w:val="000000" w:themeColor="text1"/>
          <w:sz w:val="20"/>
          <w:szCs w:val="20"/>
          <w:lang w:val="en-GB"/>
        </w:rPr>
        <w:t xml:space="preserve">Outcome 2: </w:t>
      </w:r>
      <w:r w:rsidR="00FD1470" w:rsidRPr="00306F4D">
        <w:rPr>
          <w:rFonts w:ascii="Arial" w:eastAsia="Arial" w:hAnsi="Arial" w:cs="Arial"/>
          <w:b/>
          <w:color w:val="000000" w:themeColor="text1"/>
          <w:sz w:val="20"/>
          <w:szCs w:val="20"/>
          <w:lang w:val="en-GB"/>
        </w:rPr>
        <w:t>Selected adaptation innovations are strengthened and positioned for scale through tailored business development support, market testing, and identification of funding and financing pathways.</w:t>
      </w:r>
    </w:p>
    <w:p w14:paraId="6574C6C9" w14:textId="0EE56778" w:rsidR="00F1242F" w:rsidRPr="00306F4D" w:rsidRDefault="005C7145" w:rsidP="001B4667">
      <w:pPr>
        <w:spacing w:before="240" w:after="240" w:line="276" w:lineRule="auto"/>
        <w:jc w:val="both"/>
        <w:rPr>
          <w:rFonts w:ascii="Arial" w:eastAsia="Arial" w:hAnsi="Arial" w:cs="Arial"/>
          <w:color w:val="000000" w:themeColor="text1"/>
          <w:sz w:val="20"/>
          <w:szCs w:val="20"/>
          <w:lang w:val="en-GB"/>
        </w:rPr>
      </w:pPr>
      <w:r w:rsidRPr="00306F4D">
        <w:rPr>
          <w:rFonts w:ascii="Arial" w:eastAsia="Arial" w:hAnsi="Arial" w:cs="Arial"/>
          <w:color w:val="000000" w:themeColor="text1"/>
          <w:sz w:val="20"/>
          <w:szCs w:val="20"/>
        </w:rPr>
        <w:t xml:space="preserve">Building on the foundation of </w:t>
      </w:r>
      <w:proofErr w:type="gramStart"/>
      <w:r w:rsidRPr="00306F4D">
        <w:rPr>
          <w:rFonts w:ascii="Arial" w:eastAsia="Arial" w:hAnsi="Arial" w:cs="Arial"/>
          <w:color w:val="000000" w:themeColor="text1"/>
          <w:sz w:val="20"/>
          <w:szCs w:val="20"/>
        </w:rPr>
        <w:t>locally-led</w:t>
      </w:r>
      <w:proofErr w:type="gramEnd"/>
      <w:r w:rsidRPr="00306F4D">
        <w:rPr>
          <w:rFonts w:ascii="Arial" w:eastAsia="Arial" w:hAnsi="Arial" w:cs="Arial"/>
          <w:color w:val="000000" w:themeColor="text1"/>
          <w:sz w:val="20"/>
          <w:szCs w:val="20"/>
        </w:rPr>
        <w:t xml:space="preserve"> adaptation innovations developed under Outcome 1, Component 2 focuses on </w:t>
      </w:r>
      <w:r w:rsidR="005335CE" w:rsidRPr="00306F4D">
        <w:rPr>
          <w:rFonts w:ascii="Arial" w:eastAsia="Arial" w:hAnsi="Arial" w:cs="Arial"/>
          <w:color w:val="000000" w:themeColor="text1"/>
          <w:sz w:val="20"/>
          <w:szCs w:val="20"/>
        </w:rPr>
        <w:t>stewarding</w:t>
      </w:r>
      <w:r w:rsidRPr="00306F4D">
        <w:rPr>
          <w:rFonts w:ascii="Arial" w:eastAsia="Arial" w:hAnsi="Arial" w:cs="Arial"/>
          <w:color w:val="000000" w:themeColor="text1"/>
          <w:sz w:val="20"/>
          <w:szCs w:val="20"/>
        </w:rPr>
        <w:t xml:space="preserve"> promising climate adaptation solutions into viable, scalable </w:t>
      </w:r>
      <w:r w:rsidR="005335CE" w:rsidRPr="00306F4D">
        <w:rPr>
          <w:rFonts w:ascii="Arial" w:eastAsia="Arial" w:hAnsi="Arial" w:cs="Arial"/>
          <w:color w:val="000000" w:themeColor="text1"/>
          <w:sz w:val="20"/>
          <w:szCs w:val="20"/>
        </w:rPr>
        <w:t xml:space="preserve">solutions </w:t>
      </w:r>
      <w:r w:rsidRPr="00306F4D">
        <w:rPr>
          <w:rFonts w:ascii="Arial" w:eastAsia="Arial" w:hAnsi="Arial" w:cs="Arial"/>
          <w:color w:val="000000" w:themeColor="text1"/>
          <w:sz w:val="20"/>
          <w:szCs w:val="20"/>
        </w:rPr>
        <w:t xml:space="preserve">capable of generating </w:t>
      </w:r>
      <w:r w:rsidR="005335CE" w:rsidRPr="00306F4D">
        <w:rPr>
          <w:rFonts w:ascii="Arial" w:eastAsia="Arial" w:hAnsi="Arial" w:cs="Arial"/>
          <w:color w:val="000000" w:themeColor="text1"/>
          <w:sz w:val="20"/>
          <w:szCs w:val="20"/>
        </w:rPr>
        <w:t xml:space="preserve">effects </w:t>
      </w:r>
      <w:r w:rsidRPr="00306F4D">
        <w:rPr>
          <w:rFonts w:ascii="Arial" w:eastAsia="Arial" w:hAnsi="Arial" w:cs="Arial"/>
          <w:color w:val="000000" w:themeColor="text1"/>
          <w:sz w:val="20"/>
          <w:szCs w:val="20"/>
        </w:rPr>
        <w:t xml:space="preserve">across the Western Balkans region. This component recognizes that innovative adaptation technologies and practices require strategic business development support, market validation, and access to appropriate </w:t>
      </w:r>
      <w:r w:rsidR="00DB49F8" w:rsidRPr="00306F4D">
        <w:rPr>
          <w:rFonts w:ascii="Arial" w:eastAsia="Arial" w:hAnsi="Arial" w:cs="Arial"/>
          <w:color w:val="000000" w:themeColor="text1"/>
          <w:sz w:val="20"/>
          <w:szCs w:val="20"/>
        </w:rPr>
        <w:t xml:space="preserve">funding or </w:t>
      </w:r>
      <w:r w:rsidRPr="00306F4D">
        <w:rPr>
          <w:rFonts w:ascii="Arial" w:eastAsia="Arial" w:hAnsi="Arial" w:cs="Arial"/>
          <w:color w:val="000000" w:themeColor="text1"/>
          <w:sz w:val="20"/>
          <w:szCs w:val="20"/>
        </w:rPr>
        <w:t>financing to transition from pilot demonstrations to widespread implementation.</w:t>
      </w:r>
      <w:r w:rsidR="00110171" w:rsidRPr="00306F4D">
        <w:rPr>
          <w:rFonts w:ascii="Arial" w:eastAsia="Arial" w:hAnsi="Arial" w:cs="Arial"/>
          <w:color w:val="000000" w:themeColor="text1"/>
          <w:sz w:val="20"/>
          <w:szCs w:val="20"/>
        </w:rPr>
        <w:t xml:space="preserve"> This component will provide differentiated support tailored to the two distinct categories of innovators identified in Outcome 1</w:t>
      </w:r>
      <w:r w:rsidR="00EB2D27" w:rsidRPr="00306F4D">
        <w:rPr>
          <w:rFonts w:ascii="Arial" w:eastAsia="Arial" w:hAnsi="Arial" w:cs="Arial"/>
          <w:color w:val="000000" w:themeColor="text1"/>
          <w:sz w:val="20"/>
          <w:szCs w:val="20"/>
        </w:rPr>
        <w:t xml:space="preserve"> t</w:t>
      </w:r>
      <w:r w:rsidRPr="00306F4D">
        <w:rPr>
          <w:rFonts w:ascii="Arial" w:eastAsia="Arial" w:hAnsi="Arial" w:cs="Arial"/>
          <w:color w:val="000000" w:themeColor="text1"/>
          <w:sz w:val="20"/>
          <w:szCs w:val="20"/>
        </w:rPr>
        <w:t>hrough a</w:t>
      </w:r>
      <w:r w:rsidR="00DB49F8" w:rsidRPr="00306F4D">
        <w:rPr>
          <w:rFonts w:ascii="Arial" w:eastAsia="Arial" w:hAnsi="Arial" w:cs="Arial"/>
          <w:color w:val="000000" w:themeColor="text1"/>
          <w:sz w:val="20"/>
          <w:szCs w:val="20"/>
        </w:rPr>
        <w:t xml:space="preserve"> methodological </w:t>
      </w:r>
      <w:r w:rsidRPr="00306F4D">
        <w:rPr>
          <w:rFonts w:ascii="Arial" w:eastAsia="Arial" w:hAnsi="Arial" w:cs="Arial"/>
          <w:color w:val="000000" w:themeColor="text1"/>
          <w:sz w:val="20"/>
          <w:szCs w:val="20"/>
        </w:rPr>
        <w:t xml:space="preserve">approach that combines targeted </w:t>
      </w:r>
      <w:r w:rsidR="00DB49F8" w:rsidRPr="00306F4D">
        <w:rPr>
          <w:rFonts w:ascii="Arial" w:eastAsia="Arial" w:hAnsi="Arial" w:cs="Arial"/>
          <w:color w:val="000000" w:themeColor="text1"/>
          <w:sz w:val="20"/>
          <w:szCs w:val="20"/>
        </w:rPr>
        <w:t>capability development</w:t>
      </w:r>
      <w:r w:rsidRPr="00306F4D">
        <w:rPr>
          <w:rFonts w:ascii="Arial" w:eastAsia="Arial" w:hAnsi="Arial" w:cs="Arial"/>
          <w:color w:val="000000" w:themeColor="text1"/>
          <w:sz w:val="20"/>
          <w:szCs w:val="20"/>
        </w:rPr>
        <w:t>, mentorship, and market positioning,</w:t>
      </w:r>
      <w:r w:rsidR="00EB2D27" w:rsidRPr="00306F4D">
        <w:rPr>
          <w:rFonts w:ascii="Arial" w:eastAsia="Arial" w:hAnsi="Arial" w:cs="Arial"/>
          <w:color w:val="000000" w:themeColor="text1"/>
          <w:sz w:val="20"/>
          <w:szCs w:val="20"/>
        </w:rPr>
        <w:t xml:space="preserve"> among other things. </w:t>
      </w:r>
      <w:r w:rsidRPr="00306F4D">
        <w:rPr>
          <w:rFonts w:ascii="Arial" w:eastAsia="Arial" w:hAnsi="Arial" w:cs="Arial"/>
          <w:color w:val="000000" w:themeColor="text1"/>
          <w:sz w:val="20"/>
          <w:szCs w:val="20"/>
        </w:rPr>
        <w:t>By connecting adaptation innovators with funding opportunities and integrating successful solutions into national systems and local service delivery mechanisms, Component 2 ensures that climate adaptation innovations can achieve the scale and sustainability necessary to meaningfully enhance regional climate resilience while generating economic opportunities for local communities and enterprises.</w:t>
      </w:r>
    </w:p>
    <w:p w14:paraId="5E75C396" w14:textId="2F794EC3" w:rsidR="00F1242F" w:rsidRPr="00306F4D" w:rsidRDefault="00F1242F" w:rsidP="00D965B6">
      <w:pPr>
        <w:spacing w:after="0" w:line="276" w:lineRule="auto"/>
        <w:jc w:val="both"/>
        <w:rPr>
          <w:rFonts w:ascii="Arial" w:eastAsia="Arial" w:hAnsi="Arial" w:cs="Arial"/>
          <w:b/>
          <w:i/>
          <w:color w:val="000000" w:themeColor="text1"/>
          <w:sz w:val="20"/>
          <w:szCs w:val="20"/>
          <w:lang w:val="en-GB"/>
        </w:rPr>
      </w:pPr>
      <w:r w:rsidRPr="00306F4D">
        <w:rPr>
          <w:rFonts w:ascii="Arial" w:eastAsia="Arial" w:hAnsi="Arial" w:cs="Arial"/>
          <w:b/>
          <w:i/>
          <w:color w:val="000000" w:themeColor="text1"/>
          <w:sz w:val="20"/>
          <w:szCs w:val="20"/>
          <w:lang w:val="en-GB"/>
        </w:rPr>
        <w:t>Output 2.1: Adaptation innovators receive tailored business development support, including incubation, acceleration, mentoring, and market testing, to strengthen implementation readiness and sustainability.</w:t>
      </w:r>
    </w:p>
    <w:p w14:paraId="0CF66AF5" w14:textId="2BC60F66" w:rsidR="00183E72" w:rsidRPr="00306F4D" w:rsidRDefault="00D965B6" w:rsidP="00D965B6">
      <w:pPr>
        <w:spacing w:before="240" w:after="0" w:line="276" w:lineRule="auto"/>
        <w:jc w:val="both"/>
        <w:rPr>
          <w:rFonts w:ascii="Arial" w:eastAsia="Arial" w:hAnsi="Arial" w:cs="Arial"/>
          <w:sz w:val="20"/>
          <w:szCs w:val="20"/>
        </w:rPr>
      </w:pPr>
      <w:r w:rsidRPr="00306F4D">
        <w:rPr>
          <w:rFonts w:ascii="Arial" w:eastAsia="Arial" w:hAnsi="Arial" w:cs="Arial"/>
          <w:sz w:val="20"/>
          <w:szCs w:val="20"/>
        </w:rPr>
        <w:t xml:space="preserve">Given the nature of this project, the innovation facility will have a range of available support options to meet the diverse needs of climate adaptation innovators across the Western Balkans. </w:t>
      </w:r>
      <w:r w:rsidR="00783DED" w:rsidRPr="00306F4D">
        <w:rPr>
          <w:rFonts w:ascii="Arial" w:eastAsia="Arial" w:hAnsi="Arial" w:cs="Arial"/>
          <w:sz w:val="20"/>
          <w:szCs w:val="20"/>
        </w:rPr>
        <w:t xml:space="preserve">Under this output, selected adaptation innovators will receive multi-layered support designed to strengthen their organizational capacity, enhance solution viability, and accelerate pathway to scale. This support ecosystem will be tailored to address the specific needs and maturity levels of the two innovator categories, ensuring that both established organizations and emerging innovators receive appropriate guidance to achieve their scaling objectives. The support framework includes hands-on practical assistance from country-based and regional project teams throughout implementation, with specialized expertise in gender equality integration and innovation development; strategic mentorship and engagement from MBA students and faculty from globally recognized universities, providing access to cutting-edge business development knowledge and international networks; and participation in BOOST, a tailored regional accelerator </w:t>
      </w:r>
      <w:proofErr w:type="spellStart"/>
      <w:r w:rsidR="00783DED" w:rsidRPr="00306F4D">
        <w:rPr>
          <w:rFonts w:ascii="Arial" w:eastAsia="Arial" w:hAnsi="Arial" w:cs="Arial"/>
          <w:sz w:val="20"/>
          <w:szCs w:val="20"/>
        </w:rPr>
        <w:t>programme</w:t>
      </w:r>
      <w:proofErr w:type="spellEnd"/>
      <w:r w:rsidR="00783DED" w:rsidRPr="00306F4D">
        <w:rPr>
          <w:rFonts w:ascii="Arial" w:eastAsia="Arial" w:hAnsi="Arial" w:cs="Arial"/>
          <w:sz w:val="20"/>
          <w:szCs w:val="20"/>
        </w:rPr>
        <w:t xml:space="preserve"> specifically designed for climate adaptation enterprises in the Western Balkans context. The detailed design and delivery mechanisms for these support interventions will be refined during the project inception phase to ensure maximum relevance and impact. The core areas of business development support are outlined below.</w:t>
      </w:r>
    </w:p>
    <w:p w14:paraId="401ACBEA" w14:textId="3C2EC14E" w:rsidR="00783DED" w:rsidRPr="00306F4D" w:rsidRDefault="00EB40A1" w:rsidP="00D965B6">
      <w:pPr>
        <w:spacing w:before="240" w:after="0" w:line="276" w:lineRule="auto"/>
        <w:jc w:val="both"/>
        <w:rPr>
          <w:rFonts w:ascii="Arial" w:eastAsia="Arial" w:hAnsi="Arial" w:cs="Arial"/>
          <w:b/>
          <w:sz w:val="20"/>
          <w:szCs w:val="20"/>
        </w:rPr>
      </w:pPr>
      <w:r w:rsidRPr="00306F4D">
        <w:rPr>
          <w:rFonts w:ascii="Arial" w:eastAsia="Arial" w:hAnsi="Arial" w:cs="Arial"/>
          <w:b/>
          <w:sz w:val="20"/>
          <w:szCs w:val="20"/>
        </w:rPr>
        <w:t xml:space="preserve">Overall </w:t>
      </w:r>
      <w:r w:rsidR="00261C0A" w:rsidRPr="00306F4D">
        <w:rPr>
          <w:rFonts w:ascii="Arial" w:eastAsia="Arial" w:hAnsi="Arial" w:cs="Arial"/>
          <w:b/>
          <w:sz w:val="20"/>
          <w:szCs w:val="20"/>
        </w:rPr>
        <w:t xml:space="preserve">hands-on and </w:t>
      </w:r>
      <w:r w:rsidR="00340031" w:rsidRPr="00306F4D">
        <w:rPr>
          <w:rFonts w:ascii="Arial" w:eastAsia="Arial" w:hAnsi="Arial" w:cs="Arial"/>
          <w:b/>
          <w:sz w:val="20"/>
          <w:szCs w:val="20"/>
        </w:rPr>
        <w:t xml:space="preserve">in-house </w:t>
      </w:r>
      <w:r w:rsidR="00261C0A" w:rsidRPr="00306F4D">
        <w:rPr>
          <w:rFonts w:ascii="Arial" w:eastAsia="Arial" w:hAnsi="Arial" w:cs="Arial"/>
          <w:b/>
          <w:sz w:val="20"/>
          <w:szCs w:val="20"/>
        </w:rPr>
        <w:t>technical support from UNDP</w:t>
      </w:r>
    </w:p>
    <w:p w14:paraId="111BE262" w14:textId="065FFA53" w:rsidR="00EF59FB" w:rsidRPr="00306F4D" w:rsidRDefault="340A08EC" w:rsidP="49C6F20D">
      <w:pPr>
        <w:spacing w:before="240" w:after="0" w:line="276" w:lineRule="auto"/>
        <w:jc w:val="both"/>
        <w:rPr>
          <w:rFonts w:ascii="Arial" w:eastAsia="Arial" w:hAnsi="Arial" w:cs="Arial"/>
          <w:sz w:val="20"/>
          <w:szCs w:val="20"/>
        </w:rPr>
      </w:pPr>
      <w:r w:rsidRPr="00306F4D">
        <w:rPr>
          <w:rFonts w:ascii="Arial" w:eastAsia="Arial" w:hAnsi="Arial" w:cs="Arial"/>
          <w:sz w:val="20"/>
          <w:szCs w:val="20"/>
        </w:rPr>
        <w:t xml:space="preserve">The project team will provide customized support to grantees, including tailored technical training, business development mentoring, and strategic partnership facilitation. The facility will offer on-demand expertise in gender </w:t>
      </w:r>
      <w:r w:rsidRPr="00306F4D">
        <w:rPr>
          <w:rFonts w:ascii="Arial" w:eastAsia="Arial" w:hAnsi="Arial" w:cs="Arial"/>
          <w:sz w:val="20"/>
          <w:szCs w:val="20"/>
        </w:rPr>
        <w:lastRenderedPageBreak/>
        <w:t xml:space="preserve">equality and innovation, while actively connecting grantees with relevant national institutions and private sector actors to enhance solution development and market penetration. Additional external expertise and support can also be provided depending on the specific needs and circumstances of individual grantees. Beyond direct grantee support, the </w:t>
      </w:r>
      <w:r w:rsidR="7FB066A0" w:rsidRPr="00306F4D">
        <w:rPr>
          <w:rFonts w:ascii="Arial" w:eastAsia="Arial" w:hAnsi="Arial" w:cs="Arial"/>
          <w:sz w:val="20"/>
          <w:szCs w:val="20"/>
        </w:rPr>
        <w:t xml:space="preserve">project team </w:t>
      </w:r>
      <w:r w:rsidR="289EBE7E" w:rsidRPr="00306F4D">
        <w:rPr>
          <w:rFonts w:ascii="Arial" w:eastAsia="Arial" w:hAnsi="Arial" w:cs="Arial"/>
          <w:sz w:val="20"/>
          <w:szCs w:val="20"/>
        </w:rPr>
        <w:t>aims to help</w:t>
      </w:r>
      <w:r w:rsidRPr="00306F4D">
        <w:rPr>
          <w:rFonts w:ascii="Arial" w:eastAsia="Arial" w:hAnsi="Arial" w:cs="Arial"/>
          <w:sz w:val="20"/>
          <w:szCs w:val="20"/>
        </w:rPr>
        <w:t xml:space="preserve"> strengthen the broader enabling environment through policy support, </w:t>
      </w:r>
      <w:r w:rsidR="289EBE7E" w:rsidRPr="00306F4D">
        <w:rPr>
          <w:rFonts w:ascii="Arial" w:eastAsia="Arial" w:hAnsi="Arial" w:cs="Arial"/>
          <w:sz w:val="20"/>
          <w:szCs w:val="20"/>
        </w:rPr>
        <w:t xml:space="preserve">hands-on </w:t>
      </w:r>
      <w:r w:rsidR="7EFEB1C1" w:rsidRPr="00306F4D">
        <w:rPr>
          <w:rFonts w:ascii="Arial" w:eastAsia="Arial" w:hAnsi="Arial" w:cs="Arial"/>
          <w:sz w:val="20"/>
          <w:szCs w:val="20"/>
        </w:rPr>
        <w:t>advice</w:t>
      </w:r>
      <w:r w:rsidR="289EBE7E" w:rsidRPr="00306F4D">
        <w:rPr>
          <w:rFonts w:ascii="Arial" w:eastAsia="Arial" w:hAnsi="Arial" w:cs="Arial"/>
          <w:sz w:val="20"/>
          <w:szCs w:val="20"/>
        </w:rPr>
        <w:t xml:space="preserve"> and </w:t>
      </w:r>
      <w:r w:rsidRPr="00306F4D">
        <w:rPr>
          <w:rFonts w:ascii="Arial" w:eastAsia="Arial" w:hAnsi="Arial" w:cs="Arial"/>
          <w:sz w:val="20"/>
          <w:szCs w:val="20"/>
        </w:rPr>
        <w:t xml:space="preserve">technical assistance, enhanced linkages with marginalized groups, and specialized support for women and youth empowerment. Drawing on proven methodologies from the global </w:t>
      </w:r>
      <w:hyperlink r:id="rId38">
        <w:r w:rsidR="12B37E97" w:rsidRPr="00306F4D">
          <w:rPr>
            <w:rStyle w:val="Hyperlink"/>
            <w:rFonts w:ascii="Arial" w:eastAsia="Arial" w:hAnsi="Arial" w:cs="Arial"/>
            <w:sz w:val="20"/>
            <w:szCs w:val="20"/>
          </w:rPr>
          <w:t xml:space="preserve">UNDP implemented </w:t>
        </w:r>
        <w:r w:rsidRPr="00306F4D">
          <w:rPr>
            <w:rStyle w:val="Hyperlink"/>
            <w:rFonts w:ascii="Arial" w:eastAsia="Arial" w:hAnsi="Arial" w:cs="Arial"/>
            <w:sz w:val="20"/>
            <w:szCs w:val="20"/>
          </w:rPr>
          <w:t>AFCIA project</w:t>
        </w:r>
      </w:hyperlink>
      <w:r w:rsidR="163E8073" w:rsidRPr="00306F4D">
        <w:rPr>
          <w:rFonts w:ascii="Arial" w:eastAsia="Arial" w:hAnsi="Arial" w:cs="Arial"/>
          <w:sz w:val="20"/>
          <w:szCs w:val="20"/>
        </w:rPr>
        <w:t xml:space="preserve"> and the Innovation Team in the Istanbul Regional Hub</w:t>
      </w:r>
      <w:r w:rsidRPr="00306F4D">
        <w:rPr>
          <w:rFonts w:ascii="Arial" w:eastAsia="Arial" w:hAnsi="Arial" w:cs="Arial"/>
          <w:sz w:val="20"/>
          <w:szCs w:val="20"/>
        </w:rPr>
        <w:t>, the team will embed and localize training modules and assessment tools—including Value Chain Driven Viability Analysis and climate risk and scaling assessments—tailored to address specific needs identified during implementation. This integrated approach ensures that grantees receive both immediate operational support and access to systemic improvements that facilitate long-term sustainability and scale</w:t>
      </w:r>
      <w:r w:rsidR="1FB18FD5" w:rsidRPr="00306F4D">
        <w:rPr>
          <w:rFonts w:ascii="Arial" w:eastAsia="Arial" w:hAnsi="Arial" w:cs="Arial"/>
          <w:sz w:val="20"/>
          <w:szCs w:val="20"/>
        </w:rPr>
        <w:t xml:space="preserve">. </w:t>
      </w:r>
    </w:p>
    <w:p w14:paraId="53FBB191" w14:textId="4D015ADB" w:rsidR="4186447D" w:rsidRPr="00306F4D" w:rsidRDefault="1B60EEA5" w:rsidP="4186447D">
      <w:pPr>
        <w:spacing w:before="240" w:after="0" w:line="276" w:lineRule="auto"/>
        <w:jc w:val="both"/>
        <w:rPr>
          <w:rFonts w:ascii="Arial" w:eastAsia="Arial" w:hAnsi="Arial" w:cs="Arial"/>
          <w:sz w:val="20"/>
          <w:szCs w:val="20"/>
        </w:rPr>
      </w:pPr>
      <w:r w:rsidRPr="00306F4D">
        <w:rPr>
          <w:rFonts w:ascii="Arial" w:eastAsia="Arial" w:hAnsi="Arial" w:cs="Arial"/>
          <w:sz w:val="20"/>
          <w:szCs w:val="20"/>
        </w:rPr>
        <w:t xml:space="preserve">Please visit the two-page factsheets for all 44 grantees are now available on the UNDP AFCIA webpage, under the </w:t>
      </w:r>
      <w:hyperlink r:id="rId39">
        <w:r w:rsidRPr="00306F4D">
          <w:rPr>
            <w:rStyle w:val="Hyperlink"/>
            <w:rFonts w:ascii="Arial" w:eastAsia="Arial" w:hAnsi="Arial" w:cs="Arial"/>
            <w:sz w:val="20"/>
            <w:szCs w:val="20"/>
          </w:rPr>
          <w:t>Solutions Catalogue</w:t>
        </w:r>
      </w:hyperlink>
      <w:r w:rsidR="430EF473" w:rsidRPr="00306F4D">
        <w:rPr>
          <w:rStyle w:val="FootnoteReference"/>
          <w:rFonts w:ascii="Arial" w:eastAsia="Arial" w:hAnsi="Arial" w:cs="Arial"/>
          <w:color w:val="000000" w:themeColor="text1"/>
          <w:sz w:val="20"/>
          <w:szCs w:val="20"/>
        </w:rPr>
        <w:footnoteReference w:id="133"/>
      </w:r>
      <w:r w:rsidRPr="00306F4D">
        <w:rPr>
          <w:rStyle w:val="FootnoteReference"/>
          <w:rFonts w:ascii="Arial" w:eastAsia="Arial" w:hAnsi="Arial" w:cs="Arial"/>
          <w:color w:val="000000" w:themeColor="text1"/>
          <w:sz w:val="20"/>
          <w:szCs w:val="20"/>
        </w:rPr>
        <w:t>.</w:t>
      </w:r>
      <w:r w:rsidRPr="00306F4D">
        <w:rPr>
          <w:rFonts w:ascii="Arial" w:eastAsia="Arial" w:hAnsi="Arial" w:cs="Arial"/>
          <w:sz w:val="20"/>
          <w:szCs w:val="20"/>
        </w:rPr>
        <w:t xml:space="preserve"> Each factsheet highlights the grantee’s key achievements, social impact, adaptation benefits, </w:t>
      </w:r>
      <w:r w:rsidR="0164B952" w:rsidRPr="00306F4D">
        <w:rPr>
          <w:rFonts w:ascii="Arial" w:eastAsia="Arial" w:hAnsi="Arial" w:cs="Arial"/>
          <w:sz w:val="20"/>
          <w:szCs w:val="20"/>
        </w:rPr>
        <w:t xml:space="preserve">innovation characteristics, </w:t>
      </w:r>
      <w:r w:rsidRPr="00306F4D">
        <w:rPr>
          <w:rFonts w:ascii="Arial" w:eastAsia="Arial" w:hAnsi="Arial" w:cs="Arial"/>
          <w:sz w:val="20"/>
          <w:szCs w:val="20"/>
        </w:rPr>
        <w:t xml:space="preserve">replication potential, funding snapshot, and </w:t>
      </w:r>
      <w:proofErr w:type="spellStart"/>
      <w:r w:rsidRPr="00306F4D">
        <w:rPr>
          <w:rFonts w:ascii="Arial" w:eastAsia="Arial" w:hAnsi="Arial" w:cs="Arial"/>
          <w:sz w:val="20"/>
          <w:szCs w:val="20"/>
        </w:rPr>
        <w:t>investability</w:t>
      </w:r>
      <w:proofErr w:type="spellEnd"/>
      <w:r w:rsidRPr="00306F4D">
        <w:rPr>
          <w:rFonts w:ascii="Arial" w:eastAsia="Arial" w:hAnsi="Arial" w:cs="Arial"/>
          <w:sz w:val="20"/>
          <w:szCs w:val="20"/>
        </w:rPr>
        <w:t xml:space="preserve">.  </w:t>
      </w:r>
    </w:p>
    <w:p w14:paraId="0AD1530A" w14:textId="25955605" w:rsidR="00EF59FB" w:rsidRPr="00306F4D" w:rsidRDefault="3AE9EECF" w:rsidP="49C6F20D">
      <w:pPr>
        <w:spacing w:before="240" w:after="0" w:line="276" w:lineRule="auto"/>
        <w:jc w:val="both"/>
        <w:rPr>
          <w:rFonts w:ascii="Arial" w:eastAsia="Arial" w:hAnsi="Arial" w:cs="Arial"/>
          <w:b/>
          <w:sz w:val="20"/>
          <w:szCs w:val="20"/>
        </w:rPr>
      </w:pPr>
      <w:r w:rsidRPr="00306F4D">
        <w:rPr>
          <w:rFonts w:ascii="Arial" w:eastAsia="Arial" w:hAnsi="Arial" w:cs="Arial"/>
          <w:b/>
          <w:sz w:val="20"/>
          <w:szCs w:val="20"/>
        </w:rPr>
        <w:t>BOOST Acceleration Programme</w:t>
      </w:r>
    </w:p>
    <w:p w14:paraId="3BE94D2B" w14:textId="1339480A" w:rsidR="00F1242F" w:rsidRPr="00306F4D" w:rsidRDefault="00F16B3C" w:rsidP="00CA6695">
      <w:pPr>
        <w:spacing w:before="240" w:after="0" w:line="276" w:lineRule="auto"/>
        <w:jc w:val="both"/>
        <w:rPr>
          <w:rFonts w:ascii="Arial" w:eastAsia="Arial" w:hAnsi="Arial" w:cs="Arial"/>
          <w:sz w:val="20"/>
          <w:szCs w:val="20"/>
        </w:rPr>
      </w:pPr>
      <w:r w:rsidRPr="00306F4D">
        <w:rPr>
          <w:rFonts w:ascii="Arial" w:eastAsia="Arial" w:hAnsi="Arial" w:cs="Arial"/>
          <w:sz w:val="20"/>
          <w:szCs w:val="20"/>
        </w:rPr>
        <w:t>T</w:t>
      </w:r>
      <w:r w:rsidR="430EF473" w:rsidRPr="00306F4D">
        <w:rPr>
          <w:rFonts w:ascii="Arial" w:eastAsia="Arial" w:hAnsi="Arial" w:cs="Arial"/>
          <w:sz w:val="20"/>
          <w:szCs w:val="20"/>
        </w:rPr>
        <w:t xml:space="preserve">o support the transition from robust proposal development to effective delivery, selected grantees will receive targeted support through a structured </w:t>
      </w:r>
      <w:hyperlink r:id="rId40">
        <w:r w:rsidR="430EF473" w:rsidRPr="00306F4D">
          <w:rPr>
            <w:rStyle w:val="Hyperlink"/>
            <w:rFonts w:ascii="Arial" w:eastAsia="Arial" w:hAnsi="Arial" w:cs="Arial"/>
            <w:b/>
            <w:sz w:val="20"/>
            <w:szCs w:val="20"/>
          </w:rPr>
          <w:t>BOOST Acceleration Programme</w:t>
        </w:r>
      </w:hyperlink>
      <w:r w:rsidR="430EF473" w:rsidRPr="00306F4D">
        <w:rPr>
          <w:rFonts w:ascii="Arial" w:eastAsia="Arial" w:hAnsi="Arial" w:cs="Arial"/>
          <w:sz w:val="20"/>
          <w:szCs w:val="20"/>
        </w:rPr>
        <w:t xml:space="preserve">, implemented </w:t>
      </w:r>
      <w:r w:rsidR="004B265E" w:rsidRPr="00306F4D">
        <w:rPr>
          <w:rFonts w:ascii="Arial" w:eastAsia="Arial" w:hAnsi="Arial" w:cs="Arial"/>
          <w:sz w:val="20"/>
          <w:szCs w:val="20"/>
        </w:rPr>
        <w:t>in-house by UNDP with external expertise as needed</w:t>
      </w:r>
      <w:r w:rsidR="008931D0" w:rsidRPr="00306F4D">
        <w:rPr>
          <w:rFonts w:ascii="Arial" w:eastAsia="Arial" w:hAnsi="Arial" w:cs="Arial"/>
          <w:sz w:val="20"/>
          <w:szCs w:val="20"/>
        </w:rPr>
        <w:t xml:space="preserve">. </w:t>
      </w:r>
      <w:r w:rsidR="430EF473" w:rsidRPr="00306F4D">
        <w:rPr>
          <w:rFonts w:ascii="Arial" w:eastAsia="Arial" w:hAnsi="Arial" w:cs="Arial"/>
          <w:sz w:val="20"/>
          <w:szCs w:val="20"/>
        </w:rPr>
        <w:t>This will help strengthen their organizational structures, enhance financial sustainability, and build operational readiness for scaling their climate adaptation solutions.</w:t>
      </w:r>
    </w:p>
    <w:p w14:paraId="0A4EE272" w14:textId="7CC17B7A" w:rsidR="00F1242F" w:rsidRPr="00306F4D" w:rsidRDefault="340DD0BC" w:rsidP="49C6F20D">
      <w:pPr>
        <w:spacing w:before="240" w:after="0" w:line="276" w:lineRule="auto"/>
        <w:jc w:val="both"/>
        <w:rPr>
          <w:rFonts w:ascii="Arial" w:eastAsia="Arial" w:hAnsi="Arial" w:cs="Arial"/>
          <w:sz w:val="20"/>
          <w:szCs w:val="20"/>
        </w:rPr>
      </w:pPr>
      <w:r w:rsidRPr="00306F4D">
        <w:rPr>
          <w:rFonts w:ascii="Arial" w:eastAsia="Arial" w:hAnsi="Arial" w:cs="Arial"/>
          <w:sz w:val="20"/>
          <w:szCs w:val="20"/>
        </w:rPr>
        <w:t>BOOST is UNDP’s tested acceleration model designed to help local innovators, social enterprises, MSMEs</w:t>
      </w:r>
      <w:r w:rsidR="77723851" w:rsidRPr="00306F4D">
        <w:rPr>
          <w:rFonts w:ascii="Arial" w:eastAsia="Arial" w:hAnsi="Arial" w:cs="Arial"/>
          <w:sz w:val="20"/>
          <w:szCs w:val="20"/>
        </w:rPr>
        <w:t>,</w:t>
      </w:r>
      <w:r w:rsidRPr="00306F4D">
        <w:rPr>
          <w:rFonts w:ascii="Arial" w:eastAsia="Arial" w:hAnsi="Arial" w:cs="Arial"/>
          <w:sz w:val="20"/>
          <w:szCs w:val="20"/>
        </w:rPr>
        <w:t xml:space="preserve"> </w:t>
      </w:r>
      <w:r w:rsidR="48D403EC" w:rsidRPr="00306F4D">
        <w:rPr>
          <w:rFonts w:ascii="Arial" w:eastAsia="Arial" w:hAnsi="Arial" w:cs="Arial"/>
          <w:sz w:val="20"/>
          <w:szCs w:val="20"/>
        </w:rPr>
        <w:t xml:space="preserve">CSOs, </w:t>
      </w:r>
      <w:r w:rsidRPr="00306F4D">
        <w:rPr>
          <w:rFonts w:ascii="Arial" w:eastAsia="Arial" w:hAnsi="Arial" w:cs="Arial"/>
          <w:sz w:val="20"/>
          <w:szCs w:val="20"/>
        </w:rPr>
        <w:t xml:space="preserve">NGOs strengthen their business models, internal capacity, and readiness for implementation. The </w:t>
      </w:r>
      <w:proofErr w:type="spellStart"/>
      <w:r w:rsidRPr="00306F4D">
        <w:rPr>
          <w:rFonts w:ascii="Arial" w:eastAsia="Arial" w:hAnsi="Arial" w:cs="Arial"/>
          <w:sz w:val="20"/>
          <w:szCs w:val="20"/>
        </w:rPr>
        <w:t>programme</w:t>
      </w:r>
      <w:proofErr w:type="spellEnd"/>
      <w:r w:rsidRPr="00306F4D">
        <w:rPr>
          <w:rFonts w:ascii="Arial" w:eastAsia="Arial" w:hAnsi="Arial" w:cs="Arial"/>
          <w:sz w:val="20"/>
          <w:szCs w:val="20"/>
        </w:rPr>
        <w:t xml:space="preserve"> has been successfully applied across Europe and Central Asia to support over 100 solutions advancing climate resilience, green recovery, and social innovation.</w:t>
      </w:r>
    </w:p>
    <w:p w14:paraId="73EFECF0" w14:textId="61E879EC" w:rsidR="00F1242F" w:rsidRPr="00306F4D" w:rsidRDefault="796A2E1C" w:rsidP="00CA6695">
      <w:pPr>
        <w:spacing w:before="240" w:after="240" w:line="276" w:lineRule="auto"/>
        <w:jc w:val="both"/>
        <w:rPr>
          <w:rFonts w:ascii="Arial" w:eastAsia="Arial" w:hAnsi="Arial" w:cs="Arial"/>
          <w:color w:val="000000" w:themeColor="text1"/>
          <w:sz w:val="20"/>
          <w:szCs w:val="20"/>
        </w:rPr>
      </w:pPr>
      <w:r w:rsidRPr="00306F4D">
        <w:rPr>
          <w:rFonts w:ascii="Arial" w:eastAsia="Arial" w:hAnsi="Arial" w:cs="Arial"/>
          <w:color w:val="000000" w:themeColor="text1"/>
          <w:sz w:val="20"/>
          <w:szCs w:val="20"/>
        </w:rPr>
        <w:t xml:space="preserve">UNDP has so far delivered 10 BOOST acceleration programs in the region, including a dedicated </w:t>
      </w:r>
      <w:hyperlink r:id="rId41">
        <w:r w:rsidR="05020200" w:rsidRPr="00306F4D">
          <w:rPr>
            <w:rStyle w:val="Hyperlink"/>
            <w:rFonts w:ascii="Arial" w:eastAsia="Arial" w:hAnsi="Arial" w:cs="Arial"/>
            <w:sz w:val="20"/>
            <w:szCs w:val="20"/>
          </w:rPr>
          <w:t>Urban Future Finance edition for Western Balkan cities</w:t>
        </w:r>
      </w:hyperlink>
      <w:r w:rsidR="05020200" w:rsidRPr="00306F4D">
        <w:rPr>
          <w:rFonts w:ascii="Arial" w:eastAsia="Arial" w:hAnsi="Arial" w:cs="Arial"/>
          <w:color w:val="000000" w:themeColor="text1"/>
          <w:sz w:val="20"/>
          <w:szCs w:val="20"/>
        </w:rPr>
        <w:t>.</w:t>
      </w:r>
      <w:r w:rsidRPr="00306F4D">
        <w:rPr>
          <w:rFonts w:ascii="Arial" w:eastAsia="Arial" w:hAnsi="Arial" w:cs="Arial"/>
          <w:color w:val="000000" w:themeColor="text1"/>
          <w:sz w:val="20"/>
          <w:szCs w:val="20"/>
        </w:rPr>
        <w:t xml:space="preserve"> These programs gave firsthand insights into what innovators in the region are missing—capital, mentors, and business development support—and how to close those gaps.</w:t>
      </w:r>
      <w:r w:rsidR="00CA6695" w:rsidRPr="00306F4D">
        <w:rPr>
          <w:rFonts w:ascii="Arial" w:eastAsia="Arial" w:hAnsi="Arial" w:cs="Arial"/>
          <w:color w:val="000000" w:themeColor="text1"/>
          <w:sz w:val="20"/>
          <w:szCs w:val="20"/>
        </w:rPr>
        <w:t xml:space="preserve"> </w:t>
      </w:r>
      <w:r w:rsidRPr="00306F4D">
        <w:rPr>
          <w:rFonts w:ascii="Arial" w:eastAsia="Arial" w:hAnsi="Arial" w:cs="Arial"/>
          <w:color w:val="000000" w:themeColor="text1"/>
          <w:sz w:val="20"/>
          <w:szCs w:val="20"/>
        </w:rPr>
        <w:t>Through these programs and offices, UNDP has built strong partnerships with regional governments, municipalities, private sector (including advanced technology companies and the startup ecosystem), and relevant development partner</w:t>
      </w:r>
    </w:p>
    <w:p w14:paraId="0349B1DE" w14:textId="023E1FBF" w:rsidR="00F1242F" w:rsidRPr="00306F4D" w:rsidRDefault="796A2E1C" w:rsidP="00CA6695">
      <w:pPr>
        <w:spacing w:before="240" w:after="0" w:line="276" w:lineRule="auto"/>
        <w:jc w:val="both"/>
        <w:rPr>
          <w:rFonts w:ascii="Arial" w:eastAsia="Arial" w:hAnsi="Arial" w:cs="Arial"/>
          <w:sz w:val="20"/>
          <w:szCs w:val="20"/>
        </w:rPr>
      </w:pPr>
      <w:r w:rsidRPr="00306F4D">
        <w:rPr>
          <w:rFonts w:ascii="Arial" w:eastAsia="Arial" w:hAnsi="Arial" w:cs="Arial"/>
          <w:sz w:val="20"/>
          <w:szCs w:val="20"/>
        </w:rPr>
        <w:t xml:space="preserve">In this project, BOOST will be tailored to support adaptation-focused initiatives in the Western Balkans with guidance from the Technical Team to ensure that the knowledge and learnings from UNDP AFCIA's capacity-building efforts are fully integrated into the design. It will complement the innovation sprint by providing structured, practical assistance during the early stages of implementation, helping grantees strengthen their organizations, improve operational readiness, and position their projects for long-term success. The </w:t>
      </w:r>
      <w:proofErr w:type="spellStart"/>
      <w:r w:rsidRPr="00306F4D">
        <w:rPr>
          <w:rFonts w:ascii="Arial" w:eastAsia="Arial" w:hAnsi="Arial" w:cs="Arial"/>
          <w:sz w:val="20"/>
          <w:szCs w:val="20"/>
        </w:rPr>
        <w:t>programme</w:t>
      </w:r>
      <w:proofErr w:type="spellEnd"/>
      <w:r w:rsidRPr="00306F4D">
        <w:rPr>
          <w:rFonts w:ascii="Arial" w:eastAsia="Arial" w:hAnsi="Arial" w:cs="Arial"/>
          <w:sz w:val="20"/>
          <w:szCs w:val="20"/>
        </w:rPr>
        <w:t xml:space="preserve"> will specifically focus on strengthening projects that address the Adaptation Fund’s priorities, including enhancing climate resilience, reducing vulnerability, promoting inclusion, and building sustainable, locally relevant solutions.</w:t>
      </w:r>
    </w:p>
    <w:p w14:paraId="5D40A79B" w14:textId="76BD8CBD" w:rsidR="00E60D8F" w:rsidRPr="00306F4D" w:rsidRDefault="4B308BF5" w:rsidP="02E2BB75">
      <w:pPr>
        <w:spacing w:before="240" w:after="0" w:line="276" w:lineRule="auto"/>
        <w:jc w:val="both"/>
        <w:rPr>
          <w:rFonts w:ascii="Arial" w:eastAsia="Arial" w:hAnsi="Arial" w:cs="Arial"/>
          <w:sz w:val="20"/>
          <w:szCs w:val="20"/>
        </w:rPr>
      </w:pPr>
      <w:r w:rsidRPr="00306F4D">
        <w:rPr>
          <w:rFonts w:ascii="Arial" w:eastAsia="Arial" w:hAnsi="Arial" w:cs="Arial"/>
          <w:sz w:val="20"/>
          <w:szCs w:val="20"/>
        </w:rPr>
        <w:t xml:space="preserve">The BOOST support package will run over approximately </w:t>
      </w:r>
      <w:r w:rsidRPr="00306F4D">
        <w:rPr>
          <w:rFonts w:ascii="Arial" w:eastAsia="Arial" w:hAnsi="Arial" w:cs="Arial"/>
          <w:b/>
          <w:bCs/>
          <w:sz w:val="20"/>
          <w:szCs w:val="20"/>
        </w:rPr>
        <w:t>8</w:t>
      </w:r>
      <w:r w:rsidR="1F199C70" w:rsidRPr="00306F4D">
        <w:rPr>
          <w:rFonts w:ascii="Arial" w:eastAsia="Arial" w:hAnsi="Arial" w:cs="Arial"/>
          <w:b/>
          <w:bCs/>
          <w:sz w:val="20"/>
          <w:szCs w:val="20"/>
        </w:rPr>
        <w:t>-10</w:t>
      </w:r>
      <w:r w:rsidRPr="00306F4D">
        <w:rPr>
          <w:rFonts w:ascii="Arial" w:eastAsia="Arial" w:hAnsi="Arial" w:cs="Arial"/>
          <w:b/>
          <w:bCs/>
          <w:sz w:val="20"/>
          <w:szCs w:val="20"/>
        </w:rPr>
        <w:t xml:space="preserve"> weeks</w:t>
      </w:r>
      <w:r w:rsidRPr="00306F4D">
        <w:rPr>
          <w:rFonts w:ascii="Arial" w:eastAsia="Arial" w:hAnsi="Arial" w:cs="Arial"/>
          <w:sz w:val="20"/>
          <w:szCs w:val="20"/>
        </w:rPr>
        <w:t>,</w:t>
      </w:r>
      <w:r w:rsidR="58A8766D" w:rsidRPr="00306F4D">
        <w:rPr>
          <w:rFonts w:ascii="Arial" w:eastAsia="Arial" w:hAnsi="Arial" w:cs="Arial"/>
          <w:sz w:val="20"/>
          <w:szCs w:val="20"/>
        </w:rPr>
        <w:t xml:space="preserve"> </w:t>
      </w:r>
      <w:proofErr w:type="gramStart"/>
      <w:r w:rsidR="5A3C4684" w:rsidRPr="00306F4D">
        <w:rPr>
          <w:rFonts w:ascii="Arial" w:eastAsia="Arial" w:hAnsi="Arial" w:cs="Arial"/>
          <w:sz w:val="20"/>
          <w:szCs w:val="20"/>
        </w:rPr>
        <w:t>however</w:t>
      </w:r>
      <w:proofErr w:type="gramEnd"/>
      <w:r w:rsidR="53DD5C80" w:rsidRPr="00306F4D">
        <w:rPr>
          <w:rFonts w:ascii="Arial" w:eastAsia="Arial" w:hAnsi="Arial" w:cs="Arial"/>
          <w:sz w:val="20"/>
          <w:szCs w:val="20"/>
        </w:rPr>
        <w:t xml:space="preserve"> </w:t>
      </w:r>
      <w:r w:rsidR="350D89AC" w:rsidRPr="00306F4D">
        <w:rPr>
          <w:rFonts w:ascii="Arial" w:eastAsia="Arial" w:hAnsi="Arial" w:cs="Arial"/>
          <w:sz w:val="20"/>
          <w:szCs w:val="20"/>
        </w:rPr>
        <w:t xml:space="preserve">can be divided </w:t>
      </w:r>
      <w:r w:rsidR="795D82AE" w:rsidRPr="00306F4D">
        <w:rPr>
          <w:rFonts w:ascii="Arial" w:eastAsia="Arial" w:hAnsi="Arial" w:cs="Arial"/>
          <w:sz w:val="20"/>
          <w:szCs w:val="20"/>
        </w:rPr>
        <w:t xml:space="preserve">up or phased </w:t>
      </w:r>
      <w:r w:rsidR="5A3C4684" w:rsidRPr="00306F4D">
        <w:rPr>
          <w:rFonts w:ascii="Arial" w:eastAsia="Arial" w:hAnsi="Arial" w:cs="Arial"/>
          <w:sz w:val="20"/>
          <w:szCs w:val="20"/>
        </w:rPr>
        <w:t>out depending</w:t>
      </w:r>
      <w:r w:rsidR="795D82AE" w:rsidRPr="00306F4D">
        <w:rPr>
          <w:rFonts w:ascii="Arial" w:eastAsia="Arial" w:hAnsi="Arial" w:cs="Arial"/>
          <w:sz w:val="20"/>
          <w:szCs w:val="20"/>
        </w:rPr>
        <w:t xml:space="preserve"> on the needs of the cohort</w:t>
      </w:r>
      <w:r w:rsidR="234E496F" w:rsidRPr="00306F4D">
        <w:rPr>
          <w:rFonts w:ascii="Arial" w:eastAsia="Arial" w:hAnsi="Arial" w:cs="Arial"/>
          <w:sz w:val="20"/>
          <w:szCs w:val="20"/>
        </w:rPr>
        <w:t>(</w:t>
      </w:r>
      <w:r w:rsidR="795D82AE" w:rsidRPr="00306F4D">
        <w:rPr>
          <w:rFonts w:ascii="Arial" w:eastAsia="Arial" w:hAnsi="Arial" w:cs="Arial"/>
          <w:sz w:val="20"/>
          <w:szCs w:val="20"/>
        </w:rPr>
        <w:t>s</w:t>
      </w:r>
      <w:r w:rsidR="234E496F" w:rsidRPr="00306F4D">
        <w:rPr>
          <w:rFonts w:ascii="Arial" w:eastAsia="Arial" w:hAnsi="Arial" w:cs="Arial"/>
          <w:sz w:val="20"/>
          <w:szCs w:val="20"/>
        </w:rPr>
        <w:t>)</w:t>
      </w:r>
      <w:r w:rsidR="795D82AE" w:rsidRPr="00306F4D">
        <w:rPr>
          <w:rFonts w:ascii="Arial" w:eastAsia="Arial" w:hAnsi="Arial" w:cs="Arial"/>
          <w:sz w:val="20"/>
          <w:szCs w:val="20"/>
        </w:rPr>
        <w:t xml:space="preserve"> of grantees. Examples of </w:t>
      </w:r>
      <w:r w:rsidR="1AA242D6" w:rsidRPr="00306F4D">
        <w:rPr>
          <w:rFonts w:ascii="Arial" w:eastAsia="Arial" w:hAnsi="Arial" w:cs="Arial"/>
          <w:sz w:val="20"/>
          <w:szCs w:val="20"/>
        </w:rPr>
        <w:t xml:space="preserve">well-tested and documented main modules and </w:t>
      </w:r>
      <w:r w:rsidR="1AA242D6" w:rsidRPr="00306F4D">
        <w:rPr>
          <w:rFonts w:ascii="Arial" w:eastAsia="Arial" w:hAnsi="Arial" w:cs="Arial"/>
          <w:sz w:val="20"/>
          <w:szCs w:val="20"/>
        </w:rPr>
        <w:lastRenderedPageBreak/>
        <w:t xml:space="preserve">boosters are shared below, </w:t>
      </w:r>
      <w:r w:rsidR="7B465688" w:rsidRPr="00306F4D">
        <w:rPr>
          <w:rFonts w:ascii="Arial" w:eastAsia="Arial" w:hAnsi="Arial" w:cs="Arial"/>
          <w:sz w:val="20"/>
          <w:szCs w:val="20"/>
        </w:rPr>
        <w:t>which</w:t>
      </w:r>
      <w:r w:rsidR="1AA242D6" w:rsidRPr="00306F4D">
        <w:rPr>
          <w:rFonts w:ascii="Arial" w:eastAsia="Arial" w:hAnsi="Arial" w:cs="Arial"/>
          <w:sz w:val="20"/>
          <w:szCs w:val="20"/>
        </w:rPr>
        <w:t xml:space="preserve"> can be further complemented by </w:t>
      </w:r>
      <w:r w:rsidR="2C3451FE" w:rsidRPr="00306F4D">
        <w:rPr>
          <w:rFonts w:ascii="Arial" w:eastAsia="Arial" w:hAnsi="Arial" w:cs="Arial"/>
          <w:sz w:val="20"/>
          <w:szCs w:val="20"/>
        </w:rPr>
        <w:t xml:space="preserve">sub-sessions or </w:t>
      </w:r>
      <w:proofErr w:type="spellStart"/>
      <w:r w:rsidR="2C3451FE" w:rsidRPr="00306F4D">
        <w:rPr>
          <w:rFonts w:ascii="Arial" w:eastAsia="Arial" w:hAnsi="Arial" w:cs="Arial"/>
          <w:sz w:val="20"/>
          <w:szCs w:val="20"/>
        </w:rPr>
        <w:t>thematics</w:t>
      </w:r>
      <w:proofErr w:type="spellEnd"/>
      <w:r w:rsidR="2C3451FE" w:rsidRPr="00306F4D">
        <w:rPr>
          <w:rFonts w:ascii="Arial" w:eastAsia="Arial" w:hAnsi="Arial" w:cs="Arial"/>
          <w:sz w:val="20"/>
          <w:szCs w:val="20"/>
        </w:rPr>
        <w:t xml:space="preserve"> as relevant during implementation.</w:t>
      </w:r>
    </w:p>
    <w:p w14:paraId="78E7C451" w14:textId="48075B26" w:rsidR="005E079E" w:rsidRPr="00306F4D" w:rsidRDefault="00670986" w:rsidP="00670986">
      <w:pPr>
        <w:spacing w:before="240" w:after="0" w:line="276" w:lineRule="auto"/>
        <w:jc w:val="both"/>
        <w:rPr>
          <w:rFonts w:ascii="Arial" w:eastAsia="Arial" w:hAnsi="Arial" w:cs="Arial"/>
          <w:b/>
          <w:sz w:val="20"/>
          <w:szCs w:val="20"/>
        </w:rPr>
      </w:pPr>
      <w:r w:rsidRPr="00306F4D">
        <w:rPr>
          <w:rFonts w:ascii="Arial" w:eastAsia="Arial" w:hAnsi="Arial" w:cs="Arial"/>
          <w:b/>
          <w:sz w:val="20"/>
          <w:szCs w:val="20"/>
        </w:rPr>
        <w:t>Example</w:t>
      </w:r>
      <w:r w:rsidRPr="00306F4D">
        <w:rPr>
          <w:rFonts w:ascii="Arial" w:eastAsia="Arial" w:hAnsi="Arial" w:cs="Arial"/>
          <w:sz w:val="20"/>
          <w:szCs w:val="20"/>
        </w:rPr>
        <w:t xml:space="preserve"> </w:t>
      </w:r>
      <w:r w:rsidR="430EF473" w:rsidRPr="00306F4D">
        <w:rPr>
          <w:rFonts w:ascii="Arial" w:eastAsia="Arial" w:hAnsi="Arial" w:cs="Arial"/>
          <w:b/>
          <w:sz w:val="20"/>
          <w:szCs w:val="20"/>
        </w:rPr>
        <w:t xml:space="preserve">Modules </w:t>
      </w:r>
      <w:r w:rsidRPr="00306F4D">
        <w:rPr>
          <w:rFonts w:ascii="Arial" w:eastAsia="Arial" w:hAnsi="Arial" w:cs="Arial"/>
          <w:b/>
          <w:sz w:val="20"/>
          <w:szCs w:val="20"/>
        </w:rPr>
        <w:t>of a BOOST Acceleration Programme</w:t>
      </w:r>
    </w:p>
    <w:p w14:paraId="3F06AAFC" w14:textId="2391F2D7" w:rsidR="00F1242F" w:rsidRPr="00306F4D" w:rsidRDefault="430EF473" w:rsidP="00670986">
      <w:pPr>
        <w:spacing w:before="240" w:after="0" w:line="276" w:lineRule="auto"/>
        <w:jc w:val="both"/>
        <w:rPr>
          <w:rFonts w:ascii="Arial" w:eastAsia="Arial" w:hAnsi="Arial" w:cs="Arial"/>
          <w:b/>
          <w:sz w:val="20"/>
          <w:szCs w:val="20"/>
        </w:rPr>
      </w:pPr>
      <w:r w:rsidRPr="00306F4D">
        <w:rPr>
          <w:rFonts w:ascii="Arial" w:eastAsia="Arial" w:hAnsi="Arial" w:cs="Arial"/>
          <w:b/>
          <w:sz w:val="20"/>
          <w:szCs w:val="20"/>
        </w:rPr>
        <w:t xml:space="preserve">1. </w:t>
      </w:r>
      <w:r w:rsidRPr="00306F4D">
        <w:rPr>
          <w:rFonts w:ascii="Arial" w:eastAsia="Arial" w:hAnsi="Arial" w:cs="Arial"/>
          <w:b/>
          <w:color w:val="333333"/>
          <w:sz w:val="20"/>
          <w:szCs w:val="20"/>
        </w:rPr>
        <w:t>Sustainability-Focused Business Model Innovation:</w:t>
      </w:r>
      <w:r w:rsidR="00670986" w:rsidRPr="00306F4D">
        <w:rPr>
          <w:rFonts w:ascii="Arial" w:eastAsia="Arial" w:hAnsi="Arial" w:cs="Arial"/>
          <w:sz w:val="20"/>
          <w:szCs w:val="20"/>
        </w:rPr>
        <w:t xml:space="preserve"> </w:t>
      </w:r>
      <w:r w:rsidRPr="00306F4D">
        <w:rPr>
          <w:rFonts w:ascii="Arial" w:eastAsia="Arial" w:hAnsi="Arial" w:cs="Arial"/>
          <w:color w:val="333333"/>
          <w:sz w:val="20"/>
          <w:szCs w:val="20"/>
        </w:rPr>
        <w:t>This module focuses on strengthening business models to enhance organizational resilience and sustainability. It emphasizes the integration of social, environmental, and economic dimensions into long-term business strategies aligned with green recovery. It will provide practical tools for building sustainable businesses</w:t>
      </w:r>
      <w:r w:rsidR="34193312" w:rsidRPr="00306F4D">
        <w:rPr>
          <w:rFonts w:ascii="Arial" w:eastAsia="Arial" w:hAnsi="Arial" w:cs="Arial"/>
          <w:color w:val="333333"/>
          <w:sz w:val="20"/>
          <w:szCs w:val="20"/>
        </w:rPr>
        <w:t>.</w:t>
      </w:r>
    </w:p>
    <w:p w14:paraId="573BB0BF" w14:textId="2031BFB6" w:rsidR="00F1242F" w:rsidRPr="00306F4D" w:rsidRDefault="796A2E1C" w:rsidP="00670986">
      <w:pPr>
        <w:spacing w:before="240" w:after="0" w:line="276" w:lineRule="auto"/>
        <w:jc w:val="both"/>
        <w:rPr>
          <w:rFonts w:ascii="Arial" w:eastAsia="Arial" w:hAnsi="Arial" w:cs="Arial"/>
          <w:sz w:val="20"/>
          <w:szCs w:val="20"/>
        </w:rPr>
      </w:pPr>
      <w:r w:rsidRPr="00306F4D">
        <w:rPr>
          <w:rFonts w:ascii="Arial" w:eastAsia="Arial" w:hAnsi="Arial" w:cs="Arial"/>
          <w:b/>
          <w:sz w:val="20"/>
          <w:szCs w:val="20"/>
        </w:rPr>
        <w:t>2. Impact Measurement / Management Guidance</w:t>
      </w:r>
      <w:r w:rsidR="00670986" w:rsidRPr="00306F4D">
        <w:rPr>
          <w:rFonts w:ascii="Arial" w:eastAsia="Arial" w:hAnsi="Arial" w:cs="Arial"/>
          <w:sz w:val="20"/>
          <w:szCs w:val="20"/>
        </w:rPr>
        <w:t xml:space="preserve">: </w:t>
      </w:r>
      <w:r w:rsidR="430EF473" w:rsidRPr="00306F4D">
        <w:rPr>
          <w:rFonts w:ascii="Arial" w:eastAsia="Arial" w:hAnsi="Arial" w:cs="Arial"/>
          <w:sz w:val="20"/>
          <w:szCs w:val="20"/>
        </w:rPr>
        <w:t>Grantees will be supported to integrate practical, results-oriented impact measurement into their project design</w:t>
      </w:r>
      <w:r w:rsidR="411A71F2" w:rsidRPr="00306F4D">
        <w:rPr>
          <w:rFonts w:ascii="Arial" w:eastAsia="Arial" w:hAnsi="Arial" w:cs="Arial"/>
          <w:sz w:val="20"/>
          <w:szCs w:val="20"/>
        </w:rPr>
        <w:t xml:space="preserve">. </w:t>
      </w:r>
      <w:r w:rsidR="430EF473" w:rsidRPr="00306F4D">
        <w:rPr>
          <w:rFonts w:ascii="Arial" w:eastAsia="Arial" w:hAnsi="Arial" w:cs="Arial"/>
          <w:sz w:val="20"/>
          <w:szCs w:val="20"/>
        </w:rPr>
        <w:t xml:space="preserve">This includes developing </w:t>
      </w:r>
      <w:r w:rsidR="47969A86" w:rsidRPr="00306F4D">
        <w:rPr>
          <w:rFonts w:ascii="Arial" w:eastAsia="Arial" w:hAnsi="Arial" w:cs="Arial"/>
          <w:sz w:val="20"/>
          <w:szCs w:val="20"/>
        </w:rPr>
        <w:t xml:space="preserve">a measurable impact strategy aligned with the Sustainable Development Goals (SDGs), </w:t>
      </w:r>
      <w:r w:rsidR="47969A86" w:rsidRPr="00306F4D">
        <w:rPr>
          <w:rFonts w:ascii="Arial" w:eastAsia="Arial" w:hAnsi="Arial" w:cs="Arial"/>
          <w:color w:val="000000" w:themeColor="text1"/>
          <w:sz w:val="20"/>
          <w:szCs w:val="20"/>
        </w:rPr>
        <w:t>essential for scaling innovative solutions and attracting strategic partners.</w:t>
      </w:r>
      <w:r w:rsidR="430EF473" w:rsidRPr="00306F4D">
        <w:rPr>
          <w:rFonts w:ascii="Arial" w:eastAsia="Arial" w:hAnsi="Arial" w:cs="Arial"/>
          <w:sz w:val="20"/>
          <w:szCs w:val="20"/>
        </w:rPr>
        <w:t xml:space="preserve"> By strengthening impact management, grantees will be better positioned to demonstrate how their work contributes to reducing vulnerability, enhancing climate resilience, and creating lasting benefits for communities.</w:t>
      </w:r>
    </w:p>
    <w:p w14:paraId="29EDA29B" w14:textId="382B9EA4" w:rsidR="00670986" w:rsidRPr="00306F4D" w:rsidRDefault="3AE9EECF" w:rsidP="00670986">
      <w:pPr>
        <w:spacing w:before="240" w:after="0" w:line="276" w:lineRule="auto"/>
        <w:jc w:val="both"/>
        <w:rPr>
          <w:rFonts w:ascii="Arial" w:eastAsia="Arial" w:hAnsi="Arial" w:cs="Arial"/>
          <w:sz w:val="20"/>
          <w:szCs w:val="20"/>
        </w:rPr>
      </w:pPr>
      <w:r w:rsidRPr="00306F4D">
        <w:rPr>
          <w:rFonts w:ascii="Arial" w:eastAsia="Arial" w:hAnsi="Arial" w:cs="Arial"/>
          <w:b/>
          <w:sz w:val="20"/>
          <w:szCs w:val="20"/>
        </w:rPr>
        <w:t>3. Communications and Visibility Support</w:t>
      </w:r>
      <w:r w:rsidR="639A6786" w:rsidRPr="00306F4D">
        <w:rPr>
          <w:rFonts w:ascii="Arial" w:eastAsia="Arial" w:hAnsi="Arial" w:cs="Arial"/>
          <w:sz w:val="20"/>
          <w:szCs w:val="20"/>
        </w:rPr>
        <w:t xml:space="preserve">: </w:t>
      </w:r>
      <w:r w:rsidRPr="00306F4D">
        <w:rPr>
          <w:rFonts w:ascii="Arial" w:eastAsia="Arial" w:hAnsi="Arial" w:cs="Arial"/>
          <w:sz w:val="20"/>
          <w:szCs w:val="20"/>
        </w:rPr>
        <w:t>Grantees will receive targeted support to strengthen their communications capacity, increase visibility, and access platforms to showcase their work. This includes tailored advice on storytelling, brand positioning, and engaging partners, funders, and stakeholders. Effective communication is essential to building partnerships, securing resources, and raising the profile of adaptation solutions within local, national, and regional contexts.</w:t>
      </w:r>
    </w:p>
    <w:p w14:paraId="3D3DBB4F" w14:textId="1B541D4C" w:rsidR="796A2E1C" w:rsidRPr="00306F4D" w:rsidRDefault="00D44616" w:rsidP="00670986">
      <w:pPr>
        <w:spacing w:before="240" w:after="0" w:line="276" w:lineRule="auto"/>
        <w:jc w:val="both"/>
        <w:rPr>
          <w:rFonts w:ascii="Arial" w:eastAsia="Arial" w:hAnsi="Arial" w:cs="Arial"/>
          <w:sz w:val="20"/>
          <w:szCs w:val="20"/>
        </w:rPr>
      </w:pPr>
      <w:r w:rsidRPr="00306F4D">
        <w:rPr>
          <w:rFonts w:ascii="Arial" w:eastAsia="Arial" w:hAnsi="Arial" w:cs="Arial"/>
          <w:b/>
          <w:sz w:val="20"/>
          <w:szCs w:val="20"/>
        </w:rPr>
        <w:t>Examples of</w:t>
      </w:r>
      <w:r w:rsidRPr="00306F4D">
        <w:rPr>
          <w:rFonts w:ascii="Arial" w:eastAsia="Arial" w:hAnsi="Arial" w:cs="Arial"/>
          <w:sz w:val="20"/>
          <w:szCs w:val="20"/>
        </w:rPr>
        <w:t xml:space="preserve"> </w:t>
      </w:r>
      <w:r w:rsidR="430EF473" w:rsidRPr="00306F4D">
        <w:rPr>
          <w:rFonts w:ascii="Arial" w:eastAsia="Arial" w:hAnsi="Arial" w:cs="Arial"/>
          <w:b/>
          <w:sz w:val="20"/>
          <w:szCs w:val="20"/>
        </w:rPr>
        <w:t>Booster</w:t>
      </w:r>
      <w:r w:rsidRPr="00306F4D">
        <w:rPr>
          <w:rFonts w:ascii="Arial" w:eastAsia="Arial" w:hAnsi="Arial" w:cs="Arial"/>
          <w:b/>
          <w:sz w:val="20"/>
          <w:szCs w:val="20"/>
        </w:rPr>
        <w:t xml:space="preserve"> workshops</w:t>
      </w:r>
    </w:p>
    <w:p w14:paraId="4D982704" w14:textId="37E8A3A1" w:rsidR="695697BF" w:rsidRPr="00306F4D" w:rsidRDefault="695697BF" w:rsidP="00670986">
      <w:pPr>
        <w:spacing w:after="0" w:line="276" w:lineRule="auto"/>
        <w:jc w:val="both"/>
        <w:rPr>
          <w:rFonts w:ascii="Arial" w:eastAsia="Arial" w:hAnsi="Arial" w:cs="Arial"/>
          <w:b/>
          <w:sz w:val="20"/>
          <w:szCs w:val="20"/>
        </w:rPr>
      </w:pPr>
    </w:p>
    <w:p w14:paraId="63731030" w14:textId="5D789BE5" w:rsidR="796A2E1C" w:rsidRPr="00306F4D" w:rsidRDefault="796A2E1C" w:rsidP="00670986">
      <w:pPr>
        <w:spacing w:after="0" w:line="276" w:lineRule="auto"/>
        <w:jc w:val="both"/>
        <w:rPr>
          <w:rFonts w:ascii="Arial" w:eastAsia="Arial" w:hAnsi="Arial" w:cs="Arial"/>
          <w:sz w:val="20"/>
          <w:szCs w:val="20"/>
        </w:rPr>
      </w:pPr>
      <w:r w:rsidRPr="00306F4D">
        <w:rPr>
          <w:rFonts w:ascii="Arial" w:eastAsia="Arial" w:hAnsi="Arial" w:cs="Arial"/>
          <w:b/>
          <w:sz w:val="20"/>
          <w:szCs w:val="20"/>
        </w:rPr>
        <w:t>1. Mentorship and Expert Guidance</w:t>
      </w:r>
      <w:r w:rsidR="00670986" w:rsidRPr="00306F4D">
        <w:rPr>
          <w:rFonts w:ascii="Arial" w:eastAsia="Arial" w:hAnsi="Arial" w:cs="Arial"/>
          <w:sz w:val="20"/>
          <w:szCs w:val="20"/>
        </w:rPr>
        <w:t xml:space="preserve">: </w:t>
      </w:r>
      <w:r w:rsidRPr="00306F4D">
        <w:rPr>
          <w:rFonts w:ascii="Arial" w:eastAsia="Arial" w:hAnsi="Arial" w:cs="Arial"/>
          <w:sz w:val="20"/>
          <w:szCs w:val="20"/>
        </w:rPr>
        <w:t>Through this component, grantees will have access to dedicated mentorship that addresses both organizational development and sector-specific challenges. This includes core support in areas such as business development, operational planning, and team management. Where relevant, participants will also be connected to sector experts who can provide targeted technical advice, market insights, and connections to relevant networks, supporting both technical and strategic growth.</w:t>
      </w:r>
      <w:r w:rsidRPr="00306F4D">
        <w:rPr>
          <w:rFonts w:ascii="Arial" w:hAnsi="Arial" w:cs="Arial"/>
          <w:sz w:val="20"/>
          <w:szCs w:val="20"/>
        </w:rPr>
        <w:br/>
      </w:r>
      <w:r w:rsidRPr="00306F4D">
        <w:rPr>
          <w:rFonts w:ascii="Arial" w:eastAsia="Arial" w:hAnsi="Arial" w:cs="Arial"/>
          <w:sz w:val="20"/>
          <w:szCs w:val="20"/>
        </w:rPr>
        <w:t xml:space="preserve">   </w:t>
      </w:r>
    </w:p>
    <w:p w14:paraId="5D656754" w14:textId="77777777" w:rsidR="00670986" w:rsidRPr="00306F4D" w:rsidRDefault="796A2E1C" w:rsidP="00670986">
      <w:pPr>
        <w:spacing w:after="0" w:line="276" w:lineRule="auto"/>
        <w:jc w:val="both"/>
        <w:rPr>
          <w:rFonts w:ascii="Arial" w:eastAsia="Arial" w:hAnsi="Arial" w:cs="Arial"/>
          <w:sz w:val="20"/>
          <w:szCs w:val="20"/>
        </w:rPr>
      </w:pPr>
      <w:r w:rsidRPr="00306F4D">
        <w:rPr>
          <w:rFonts w:ascii="Arial" w:eastAsia="Arial" w:hAnsi="Arial" w:cs="Arial"/>
          <w:b/>
          <w:sz w:val="20"/>
          <w:szCs w:val="20"/>
        </w:rPr>
        <w:t>2. Peer Learning and Ecosystem Connections</w:t>
      </w:r>
      <w:r w:rsidR="00670986" w:rsidRPr="00306F4D">
        <w:rPr>
          <w:rFonts w:ascii="Arial" w:eastAsia="Arial" w:hAnsi="Arial" w:cs="Arial"/>
          <w:sz w:val="20"/>
          <w:szCs w:val="20"/>
        </w:rPr>
        <w:t xml:space="preserve">: </w:t>
      </w:r>
      <w:r w:rsidR="430EF473" w:rsidRPr="00306F4D">
        <w:rPr>
          <w:rFonts w:ascii="Arial" w:eastAsia="Arial" w:hAnsi="Arial" w:cs="Arial"/>
          <w:sz w:val="20"/>
          <w:szCs w:val="20"/>
        </w:rPr>
        <w:t>This component will foster peer learning, shared knowledge exchange, and connections to relevant networks within the adaptation and innovation space. Grantees will have opportunities to engage with the BOOST alumni network, participate in curated events, and build relationships with other actors working to advance climate resilience. This helps situate their work within a broader ecosystem, enhancing collaboration, visibility, and potential for scaling.</w:t>
      </w:r>
    </w:p>
    <w:p w14:paraId="5B703691" w14:textId="229EFF48" w:rsidR="00F04FEE" w:rsidRPr="00306F4D" w:rsidRDefault="3AE9EECF" w:rsidP="49C6F20D">
      <w:pPr>
        <w:spacing w:before="240" w:after="0" w:line="276" w:lineRule="auto"/>
        <w:jc w:val="both"/>
        <w:rPr>
          <w:rFonts w:ascii="Arial" w:eastAsia="Arial" w:hAnsi="Arial" w:cs="Arial"/>
          <w:sz w:val="20"/>
          <w:szCs w:val="20"/>
          <w:lang w:val="en-GB"/>
        </w:rPr>
      </w:pPr>
      <w:r w:rsidRPr="00306F4D">
        <w:rPr>
          <w:rFonts w:ascii="Arial" w:eastAsia="Arial" w:hAnsi="Arial" w:cs="Arial"/>
          <w:sz w:val="20"/>
          <w:szCs w:val="20"/>
        </w:rPr>
        <w:t xml:space="preserve">BOOST’s flexible design allows the support provided to be tailored to the specific needs of the selected grantees, based on their organizational type, experience level, and the nature of their proposed solution. Whether participants are NGOs, MSMEs, cooperatives, or local innovators, the </w:t>
      </w:r>
      <w:proofErr w:type="spellStart"/>
      <w:r w:rsidRPr="00306F4D">
        <w:rPr>
          <w:rFonts w:ascii="Arial" w:eastAsia="Arial" w:hAnsi="Arial" w:cs="Arial"/>
          <w:sz w:val="20"/>
          <w:szCs w:val="20"/>
        </w:rPr>
        <w:t>programme</w:t>
      </w:r>
      <w:proofErr w:type="spellEnd"/>
      <w:r w:rsidRPr="00306F4D">
        <w:rPr>
          <w:rFonts w:ascii="Arial" w:eastAsia="Arial" w:hAnsi="Arial" w:cs="Arial"/>
          <w:sz w:val="20"/>
          <w:szCs w:val="20"/>
        </w:rPr>
        <w:t xml:space="preserve"> will be adapted to ensure th</w:t>
      </w:r>
      <w:r w:rsidR="2C60F4BC" w:rsidRPr="00306F4D">
        <w:rPr>
          <w:rFonts w:ascii="Arial" w:eastAsia="Arial" w:hAnsi="Arial" w:cs="Arial"/>
          <w:sz w:val="20"/>
          <w:szCs w:val="20"/>
        </w:rPr>
        <w:t>at th</w:t>
      </w:r>
      <w:r w:rsidRPr="00306F4D">
        <w:rPr>
          <w:rFonts w:ascii="Arial" w:eastAsia="Arial" w:hAnsi="Arial" w:cs="Arial"/>
          <w:sz w:val="20"/>
          <w:szCs w:val="20"/>
        </w:rPr>
        <w:t>e tools, mentorship, and learning opportunities are relevant and practical.</w:t>
      </w:r>
    </w:p>
    <w:p w14:paraId="1BB7EDEE" w14:textId="077D02EF" w:rsidR="43886579" w:rsidRPr="00306F4D" w:rsidRDefault="43886579" w:rsidP="43886579">
      <w:pPr>
        <w:spacing w:before="240" w:after="0" w:line="276" w:lineRule="auto"/>
        <w:jc w:val="both"/>
        <w:rPr>
          <w:rFonts w:ascii="Arial" w:eastAsia="Arial" w:hAnsi="Arial" w:cs="Arial"/>
          <w:sz w:val="20"/>
          <w:szCs w:val="20"/>
        </w:rPr>
      </w:pPr>
    </w:p>
    <w:p w14:paraId="7E70CB21" w14:textId="21441DB0" w:rsidR="7FB112DC" w:rsidRPr="00306F4D" w:rsidRDefault="7FB112DC" w:rsidP="43886579">
      <w:pPr>
        <w:spacing w:after="0"/>
        <w:jc w:val="both"/>
        <w:rPr>
          <w:rFonts w:ascii="Arial" w:eastAsia="Arial" w:hAnsi="Arial" w:cs="Arial"/>
          <w:b/>
          <w:i/>
          <w:color w:val="000000" w:themeColor="text1"/>
          <w:sz w:val="20"/>
          <w:szCs w:val="20"/>
        </w:rPr>
      </w:pPr>
      <w:r w:rsidRPr="00306F4D">
        <w:rPr>
          <w:rFonts w:ascii="Arial" w:eastAsia="Arial" w:hAnsi="Arial" w:cs="Arial"/>
          <w:b/>
          <w:i/>
          <w:color w:val="000000" w:themeColor="text1"/>
          <w:sz w:val="20"/>
          <w:szCs w:val="20"/>
        </w:rPr>
        <w:t>Output 2.1 – Indicative Activities</w:t>
      </w:r>
    </w:p>
    <w:p w14:paraId="520FDEEC" w14:textId="2DE6F191" w:rsidR="7FB112DC" w:rsidRPr="00306F4D" w:rsidRDefault="7FB112DC" w:rsidP="43886579">
      <w:pPr>
        <w:pStyle w:val="ListParagraph"/>
        <w:numPr>
          <w:ilvl w:val="0"/>
          <w:numId w:val="18"/>
        </w:numPr>
        <w:spacing w:before="240" w:after="240"/>
        <w:jc w:val="both"/>
        <w:rPr>
          <w:rFonts w:ascii="Arial" w:eastAsia="Arial" w:hAnsi="Arial" w:cs="Arial"/>
          <w:color w:val="000000" w:themeColor="text1"/>
          <w:sz w:val="20"/>
          <w:szCs w:val="20"/>
          <w:lang w:val="en-GB"/>
        </w:rPr>
      </w:pPr>
      <w:r w:rsidRPr="00306F4D">
        <w:rPr>
          <w:rFonts w:ascii="Arial" w:eastAsia="Arial" w:hAnsi="Arial" w:cs="Arial"/>
          <w:b/>
          <w:color w:val="000000" w:themeColor="text1"/>
          <w:sz w:val="20"/>
          <w:szCs w:val="20"/>
          <w:lang w:val="en-GB"/>
        </w:rPr>
        <w:t xml:space="preserve">Establish or </w:t>
      </w:r>
      <w:r w:rsidR="4493E840" w:rsidRPr="00306F4D">
        <w:rPr>
          <w:rFonts w:ascii="Arial" w:eastAsia="Arial" w:hAnsi="Arial" w:cs="Arial"/>
          <w:b/>
          <w:color w:val="000000" w:themeColor="text1"/>
          <w:sz w:val="20"/>
          <w:szCs w:val="20"/>
          <w:lang w:val="en-GB"/>
        </w:rPr>
        <w:t>p</w:t>
      </w:r>
      <w:r w:rsidRPr="00306F4D">
        <w:rPr>
          <w:rFonts w:ascii="Arial" w:eastAsia="Arial" w:hAnsi="Arial" w:cs="Arial"/>
          <w:b/>
          <w:color w:val="000000" w:themeColor="text1"/>
          <w:sz w:val="20"/>
          <w:szCs w:val="20"/>
          <w:lang w:val="en-GB"/>
        </w:rPr>
        <w:t xml:space="preserve">artner with </w:t>
      </w:r>
      <w:r w:rsidR="24B55A25" w:rsidRPr="00306F4D">
        <w:rPr>
          <w:rFonts w:ascii="Arial" w:eastAsia="Arial" w:hAnsi="Arial" w:cs="Arial"/>
          <w:b/>
          <w:color w:val="000000" w:themeColor="text1"/>
          <w:sz w:val="20"/>
          <w:szCs w:val="20"/>
          <w:lang w:val="en-GB"/>
        </w:rPr>
        <w:t>i</w:t>
      </w:r>
      <w:r w:rsidRPr="00306F4D">
        <w:rPr>
          <w:rFonts w:ascii="Arial" w:eastAsia="Arial" w:hAnsi="Arial" w:cs="Arial"/>
          <w:b/>
          <w:color w:val="000000" w:themeColor="text1"/>
          <w:sz w:val="20"/>
          <w:szCs w:val="20"/>
          <w:lang w:val="en-GB"/>
        </w:rPr>
        <w:t>ncubators/</w:t>
      </w:r>
      <w:r w:rsidR="50BB7541" w:rsidRPr="00306F4D">
        <w:rPr>
          <w:rFonts w:ascii="Arial" w:eastAsia="Arial" w:hAnsi="Arial" w:cs="Arial"/>
          <w:b/>
          <w:color w:val="000000" w:themeColor="text1"/>
          <w:sz w:val="20"/>
          <w:szCs w:val="20"/>
          <w:lang w:val="en-GB"/>
        </w:rPr>
        <w:t>a</w:t>
      </w:r>
      <w:r w:rsidRPr="00306F4D">
        <w:rPr>
          <w:rFonts w:ascii="Arial" w:eastAsia="Arial" w:hAnsi="Arial" w:cs="Arial"/>
          <w:b/>
          <w:color w:val="000000" w:themeColor="text1"/>
          <w:sz w:val="20"/>
          <w:szCs w:val="20"/>
          <w:lang w:val="en-GB"/>
        </w:rPr>
        <w:t xml:space="preserve">ccelerators to </w:t>
      </w:r>
      <w:r w:rsidR="6B358F54" w:rsidRPr="00306F4D">
        <w:rPr>
          <w:rFonts w:ascii="Arial" w:eastAsia="Arial" w:hAnsi="Arial" w:cs="Arial"/>
          <w:b/>
          <w:color w:val="000000" w:themeColor="text1"/>
          <w:sz w:val="20"/>
          <w:szCs w:val="20"/>
          <w:lang w:val="en-GB"/>
        </w:rPr>
        <w:t>d</w:t>
      </w:r>
      <w:r w:rsidRPr="00306F4D">
        <w:rPr>
          <w:rFonts w:ascii="Arial" w:eastAsia="Arial" w:hAnsi="Arial" w:cs="Arial"/>
          <w:b/>
          <w:color w:val="000000" w:themeColor="text1"/>
          <w:sz w:val="20"/>
          <w:szCs w:val="20"/>
          <w:lang w:val="en-GB"/>
        </w:rPr>
        <w:t xml:space="preserve">eliver </w:t>
      </w:r>
      <w:r w:rsidR="428F8EE4" w:rsidRPr="00306F4D">
        <w:rPr>
          <w:rFonts w:ascii="Arial" w:eastAsia="Arial" w:hAnsi="Arial" w:cs="Arial"/>
          <w:b/>
          <w:color w:val="000000" w:themeColor="text1"/>
          <w:sz w:val="20"/>
          <w:szCs w:val="20"/>
          <w:lang w:val="en-GB"/>
        </w:rPr>
        <w:t>t</w:t>
      </w:r>
      <w:r w:rsidRPr="00306F4D">
        <w:rPr>
          <w:rFonts w:ascii="Arial" w:eastAsia="Arial" w:hAnsi="Arial" w:cs="Arial"/>
          <w:b/>
          <w:color w:val="000000" w:themeColor="text1"/>
          <w:sz w:val="20"/>
          <w:szCs w:val="20"/>
          <w:lang w:val="en-GB"/>
        </w:rPr>
        <w:t xml:space="preserve">ailored </w:t>
      </w:r>
      <w:r w:rsidR="0789C7E6" w:rsidRPr="00306F4D">
        <w:rPr>
          <w:rFonts w:ascii="Arial" w:eastAsia="Arial" w:hAnsi="Arial" w:cs="Arial"/>
          <w:b/>
          <w:color w:val="000000" w:themeColor="text1"/>
          <w:sz w:val="20"/>
          <w:szCs w:val="20"/>
          <w:lang w:val="en-GB"/>
        </w:rPr>
        <w:t>s</w:t>
      </w:r>
      <w:r w:rsidRPr="00306F4D">
        <w:rPr>
          <w:rFonts w:ascii="Arial" w:eastAsia="Arial" w:hAnsi="Arial" w:cs="Arial"/>
          <w:b/>
          <w:color w:val="000000" w:themeColor="text1"/>
          <w:sz w:val="20"/>
          <w:szCs w:val="20"/>
          <w:lang w:val="en-GB"/>
        </w:rPr>
        <w:t>upport</w:t>
      </w:r>
      <w:r w:rsidR="373CB940" w:rsidRPr="00306F4D">
        <w:rPr>
          <w:rFonts w:ascii="Arial" w:eastAsia="Arial" w:hAnsi="Arial" w:cs="Arial"/>
          <w:b/>
          <w:color w:val="000000" w:themeColor="text1"/>
          <w:sz w:val="20"/>
          <w:szCs w:val="20"/>
          <w:lang w:val="en-GB"/>
        </w:rPr>
        <w:t xml:space="preserve">, </w:t>
      </w:r>
      <w:r w:rsidR="373CB940" w:rsidRPr="00306F4D">
        <w:rPr>
          <w:rFonts w:ascii="Arial" w:eastAsia="Arial" w:hAnsi="Arial" w:cs="Arial"/>
          <w:color w:val="000000" w:themeColor="text1"/>
          <w:sz w:val="20"/>
          <w:szCs w:val="20"/>
          <w:lang w:val="en-GB"/>
        </w:rPr>
        <w:t>l</w:t>
      </w:r>
      <w:r w:rsidRPr="00306F4D">
        <w:rPr>
          <w:rFonts w:ascii="Arial" w:eastAsia="Arial" w:hAnsi="Arial" w:cs="Arial"/>
          <w:color w:val="000000" w:themeColor="text1"/>
          <w:sz w:val="20"/>
          <w:szCs w:val="20"/>
          <w:lang w:val="en-GB"/>
        </w:rPr>
        <w:t>everage existing innovation hubs or university-based incubators.</w:t>
      </w:r>
    </w:p>
    <w:p w14:paraId="538719DF" w14:textId="5219DE80" w:rsidR="7FB112DC" w:rsidRPr="00306F4D" w:rsidRDefault="7FB112DC" w:rsidP="43886579">
      <w:pPr>
        <w:pStyle w:val="ListParagraph"/>
        <w:numPr>
          <w:ilvl w:val="0"/>
          <w:numId w:val="18"/>
        </w:numPr>
        <w:spacing w:before="240" w:after="240"/>
        <w:jc w:val="both"/>
        <w:rPr>
          <w:rFonts w:ascii="Arial" w:eastAsia="Arial" w:hAnsi="Arial" w:cs="Arial"/>
          <w:color w:val="000000" w:themeColor="text1"/>
          <w:sz w:val="20"/>
          <w:szCs w:val="20"/>
          <w:lang w:val="en-GB"/>
        </w:rPr>
      </w:pPr>
      <w:r w:rsidRPr="00306F4D">
        <w:rPr>
          <w:rFonts w:ascii="Arial" w:eastAsia="Arial" w:hAnsi="Arial" w:cs="Arial"/>
          <w:b/>
          <w:color w:val="000000" w:themeColor="text1"/>
          <w:sz w:val="20"/>
          <w:szCs w:val="20"/>
          <w:lang w:val="en-GB"/>
        </w:rPr>
        <w:t xml:space="preserve">Organize </w:t>
      </w:r>
      <w:r w:rsidR="2C385A33" w:rsidRPr="00306F4D">
        <w:rPr>
          <w:rFonts w:ascii="Arial" w:eastAsia="Arial" w:hAnsi="Arial" w:cs="Arial"/>
          <w:b/>
          <w:color w:val="000000" w:themeColor="text1"/>
          <w:sz w:val="20"/>
          <w:szCs w:val="20"/>
          <w:lang w:val="en-GB"/>
        </w:rPr>
        <w:t>s</w:t>
      </w:r>
      <w:r w:rsidRPr="00306F4D">
        <w:rPr>
          <w:rFonts w:ascii="Arial" w:eastAsia="Arial" w:hAnsi="Arial" w:cs="Arial"/>
          <w:b/>
          <w:color w:val="000000" w:themeColor="text1"/>
          <w:sz w:val="20"/>
          <w:szCs w:val="20"/>
          <w:lang w:val="en-GB"/>
        </w:rPr>
        <w:t xml:space="preserve">tructured </w:t>
      </w:r>
      <w:r w:rsidR="40949D64" w:rsidRPr="00306F4D">
        <w:rPr>
          <w:rFonts w:ascii="Arial" w:eastAsia="Arial" w:hAnsi="Arial" w:cs="Arial"/>
          <w:b/>
          <w:color w:val="000000" w:themeColor="text1"/>
          <w:sz w:val="20"/>
          <w:szCs w:val="20"/>
          <w:lang w:val="en-GB"/>
        </w:rPr>
        <w:t>t</w:t>
      </w:r>
      <w:r w:rsidRPr="00306F4D">
        <w:rPr>
          <w:rFonts w:ascii="Arial" w:eastAsia="Arial" w:hAnsi="Arial" w:cs="Arial"/>
          <w:b/>
          <w:color w:val="000000" w:themeColor="text1"/>
          <w:sz w:val="20"/>
          <w:szCs w:val="20"/>
          <w:lang w:val="en-GB"/>
        </w:rPr>
        <w:t xml:space="preserve">raining </w:t>
      </w:r>
      <w:r w:rsidR="37630347" w:rsidRPr="00306F4D">
        <w:rPr>
          <w:rFonts w:ascii="Arial" w:eastAsia="Arial" w:hAnsi="Arial" w:cs="Arial"/>
          <w:b/>
          <w:color w:val="000000" w:themeColor="text1"/>
          <w:sz w:val="20"/>
          <w:szCs w:val="20"/>
          <w:lang w:val="en-GB"/>
        </w:rPr>
        <w:t>p</w:t>
      </w:r>
      <w:r w:rsidRPr="00306F4D">
        <w:rPr>
          <w:rFonts w:ascii="Arial" w:eastAsia="Arial" w:hAnsi="Arial" w:cs="Arial"/>
          <w:b/>
          <w:color w:val="000000" w:themeColor="text1"/>
          <w:sz w:val="20"/>
          <w:szCs w:val="20"/>
          <w:lang w:val="en-GB"/>
        </w:rPr>
        <w:t xml:space="preserve">rograms on </w:t>
      </w:r>
      <w:r w:rsidR="3B2A2401" w:rsidRPr="00306F4D">
        <w:rPr>
          <w:rFonts w:ascii="Arial" w:eastAsia="Arial" w:hAnsi="Arial" w:cs="Arial"/>
          <w:b/>
          <w:color w:val="000000" w:themeColor="text1"/>
          <w:sz w:val="20"/>
          <w:szCs w:val="20"/>
          <w:lang w:val="en-GB"/>
        </w:rPr>
        <w:t>b</w:t>
      </w:r>
      <w:r w:rsidRPr="00306F4D">
        <w:rPr>
          <w:rFonts w:ascii="Arial" w:eastAsia="Arial" w:hAnsi="Arial" w:cs="Arial"/>
          <w:b/>
          <w:color w:val="000000" w:themeColor="text1"/>
          <w:sz w:val="20"/>
          <w:szCs w:val="20"/>
          <w:lang w:val="en-GB"/>
        </w:rPr>
        <w:t xml:space="preserve">usiness </w:t>
      </w:r>
      <w:r w:rsidR="48C5C241" w:rsidRPr="00306F4D">
        <w:rPr>
          <w:rFonts w:ascii="Arial" w:eastAsia="Arial" w:hAnsi="Arial" w:cs="Arial"/>
          <w:b/>
          <w:color w:val="000000" w:themeColor="text1"/>
          <w:sz w:val="20"/>
          <w:szCs w:val="20"/>
          <w:lang w:val="en-GB"/>
        </w:rPr>
        <w:t>m</w:t>
      </w:r>
      <w:r w:rsidRPr="00306F4D">
        <w:rPr>
          <w:rFonts w:ascii="Arial" w:eastAsia="Arial" w:hAnsi="Arial" w:cs="Arial"/>
          <w:b/>
          <w:color w:val="000000" w:themeColor="text1"/>
          <w:sz w:val="20"/>
          <w:szCs w:val="20"/>
          <w:lang w:val="en-GB"/>
        </w:rPr>
        <w:t xml:space="preserve">odel </w:t>
      </w:r>
      <w:r w:rsidR="5851D894" w:rsidRPr="00306F4D">
        <w:rPr>
          <w:rFonts w:ascii="Arial" w:eastAsia="Arial" w:hAnsi="Arial" w:cs="Arial"/>
          <w:b/>
          <w:color w:val="000000" w:themeColor="text1"/>
          <w:sz w:val="20"/>
          <w:szCs w:val="20"/>
          <w:lang w:val="en-GB"/>
        </w:rPr>
        <w:t>d</w:t>
      </w:r>
      <w:r w:rsidRPr="00306F4D">
        <w:rPr>
          <w:rFonts w:ascii="Arial" w:eastAsia="Arial" w:hAnsi="Arial" w:cs="Arial"/>
          <w:b/>
          <w:color w:val="000000" w:themeColor="text1"/>
          <w:sz w:val="20"/>
          <w:szCs w:val="20"/>
          <w:lang w:val="en-GB"/>
        </w:rPr>
        <w:t xml:space="preserve">evelopment, </w:t>
      </w:r>
      <w:r w:rsidR="7D74C505" w:rsidRPr="00306F4D">
        <w:rPr>
          <w:rFonts w:ascii="Arial" w:eastAsia="Arial" w:hAnsi="Arial" w:cs="Arial"/>
          <w:b/>
          <w:color w:val="000000" w:themeColor="text1"/>
          <w:sz w:val="20"/>
          <w:szCs w:val="20"/>
          <w:lang w:val="en-GB"/>
        </w:rPr>
        <w:t>f</w:t>
      </w:r>
      <w:r w:rsidRPr="00306F4D">
        <w:rPr>
          <w:rFonts w:ascii="Arial" w:eastAsia="Arial" w:hAnsi="Arial" w:cs="Arial"/>
          <w:b/>
          <w:color w:val="000000" w:themeColor="text1"/>
          <w:sz w:val="20"/>
          <w:szCs w:val="20"/>
          <w:lang w:val="en-GB"/>
        </w:rPr>
        <w:t xml:space="preserve">inancial </w:t>
      </w:r>
      <w:r w:rsidR="303E152E" w:rsidRPr="00306F4D">
        <w:rPr>
          <w:rFonts w:ascii="Arial" w:eastAsia="Arial" w:hAnsi="Arial" w:cs="Arial"/>
          <w:b/>
          <w:color w:val="000000" w:themeColor="text1"/>
          <w:sz w:val="20"/>
          <w:szCs w:val="20"/>
          <w:lang w:val="en-GB"/>
        </w:rPr>
        <w:t>p</w:t>
      </w:r>
      <w:r w:rsidRPr="00306F4D">
        <w:rPr>
          <w:rFonts w:ascii="Arial" w:eastAsia="Arial" w:hAnsi="Arial" w:cs="Arial"/>
          <w:b/>
          <w:color w:val="000000" w:themeColor="text1"/>
          <w:sz w:val="20"/>
          <w:szCs w:val="20"/>
          <w:lang w:val="en-GB"/>
        </w:rPr>
        <w:t xml:space="preserve">lanning, and </w:t>
      </w:r>
      <w:r w:rsidR="60B53883" w:rsidRPr="00306F4D">
        <w:rPr>
          <w:rFonts w:ascii="Arial" w:eastAsia="Arial" w:hAnsi="Arial" w:cs="Arial"/>
          <w:b/>
          <w:color w:val="000000" w:themeColor="text1"/>
          <w:sz w:val="20"/>
          <w:szCs w:val="20"/>
          <w:lang w:val="en-GB"/>
        </w:rPr>
        <w:t>i</w:t>
      </w:r>
      <w:r w:rsidRPr="00306F4D">
        <w:rPr>
          <w:rFonts w:ascii="Arial" w:eastAsia="Arial" w:hAnsi="Arial" w:cs="Arial"/>
          <w:b/>
          <w:color w:val="000000" w:themeColor="text1"/>
          <w:sz w:val="20"/>
          <w:szCs w:val="20"/>
          <w:lang w:val="en-GB"/>
        </w:rPr>
        <w:t xml:space="preserve">nvestment </w:t>
      </w:r>
      <w:r w:rsidR="26DA4F47" w:rsidRPr="00306F4D">
        <w:rPr>
          <w:rFonts w:ascii="Arial" w:eastAsia="Arial" w:hAnsi="Arial" w:cs="Arial"/>
          <w:b/>
          <w:color w:val="000000" w:themeColor="text1"/>
          <w:sz w:val="20"/>
          <w:szCs w:val="20"/>
          <w:lang w:val="en-GB"/>
        </w:rPr>
        <w:t>r</w:t>
      </w:r>
      <w:r w:rsidRPr="00306F4D">
        <w:rPr>
          <w:rFonts w:ascii="Arial" w:eastAsia="Arial" w:hAnsi="Arial" w:cs="Arial"/>
          <w:b/>
          <w:color w:val="000000" w:themeColor="text1"/>
          <w:sz w:val="20"/>
          <w:szCs w:val="20"/>
          <w:lang w:val="en-GB"/>
        </w:rPr>
        <w:t>eadiness</w:t>
      </w:r>
      <w:r w:rsidR="0FFBF441" w:rsidRPr="00306F4D">
        <w:rPr>
          <w:rFonts w:ascii="Arial" w:eastAsia="Arial" w:hAnsi="Arial" w:cs="Arial"/>
          <w:b/>
          <w:color w:val="000000" w:themeColor="text1"/>
          <w:sz w:val="20"/>
          <w:szCs w:val="20"/>
          <w:lang w:val="en-GB"/>
        </w:rPr>
        <w:t>, i</w:t>
      </w:r>
      <w:r w:rsidRPr="00306F4D">
        <w:rPr>
          <w:rFonts w:ascii="Arial" w:eastAsia="Arial" w:hAnsi="Arial" w:cs="Arial"/>
          <w:color w:val="000000" w:themeColor="text1"/>
          <w:sz w:val="20"/>
          <w:szCs w:val="20"/>
          <w:lang w:val="en-GB"/>
        </w:rPr>
        <w:t>nclude both in-person and virtual delivery formats.</w:t>
      </w:r>
    </w:p>
    <w:p w14:paraId="462FA576" w14:textId="0772AD9F" w:rsidR="7FB112DC" w:rsidRPr="00306F4D" w:rsidRDefault="7FB112DC" w:rsidP="43886579">
      <w:pPr>
        <w:pStyle w:val="ListParagraph"/>
        <w:numPr>
          <w:ilvl w:val="0"/>
          <w:numId w:val="18"/>
        </w:numPr>
        <w:spacing w:before="240" w:after="240"/>
        <w:jc w:val="both"/>
        <w:rPr>
          <w:rFonts w:ascii="Arial" w:eastAsia="Arial" w:hAnsi="Arial" w:cs="Arial"/>
          <w:color w:val="000000" w:themeColor="text1"/>
          <w:sz w:val="20"/>
          <w:szCs w:val="20"/>
          <w:lang w:val="en-GB"/>
        </w:rPr>
      </w:pPr>
      <w:r w:rsidRPr="00306F4D">
        <w:rPr>
          <w:rFonts w:ascii="Arial" w:eastAsia="Arial" w:hAnsi="Arial" w:cs="Arial"/>
          <w:b/>
          <w:color w:val="000000" w:themeColor="text1"/>
          <w:sz w:val="20"/>
          <w:szCs w:val="20"/>
          <w:lang w:val="en-GB"/>
        </w:rPr>
        <w:lastRenderedPageBreak/>
        <w:t xml:space="preserve">Facilitate </w:t>
      </w:r>
      <w:r w:rsidR="1E3D0AA2" w:rsidRPr="00306F4D">
        <w:rPr>
          <w:rFonts w:ascii="Arial" w:eastAsia="Arial" w:hAnsi="Arial" w:cs="Arial"/>
          <w:b/>
          <w:color w:val="000000" w:themeColor="text1"/>
          <w:sz w:val="20"/>
          <w:szCs w:val="20"/>
          <w:lang w:val="en-GB"/>
        </w:rPr>
        <w:t>p</w:t>
      </w:r>
      <w:r w:rsidRPr="00306F4D">
        <w:rPr>
          <w:rFonts w:ascii="Arial" w:eastAsia="Arial" w:hAnsi="Arial" w:cs="Arial"/>
          <w:b/>
          <w:color w:val="000000" w:themeColor="text1"/>
          <w:sz w:val="20"/>
          <w:szCs w:val="20"/>
          <w:lang w:val="en-GB"/>
        </w:rPr>
        <w:t xml:space="preserve">rototype </w:t>
      </w:r>
      <w:r w:rsidR="7EEFEA5E" w:rsidRPr="00306F4D">
        <w:rPr>
          <w:rFonts w:ascii="Arial" w:eastAsia="Arial" w:hAnsi="Arial" w:cs="Arial"/>
          <w:b/>
          <w:color w:val="000000" w:themeColor="text1"/>
          <w:sz w:val="20"/>
          <w:szCs w:val="20"/>
          <w:lang w:val="en-GB"/>
        </w:rPr>
        <w:t>d</w:t>
      </w:r>
      <w:r w:rsidRPr="00306F4D">
        <w:rPr>
          <w:rFonts w:ascii="Arial" w:eastAsia="Arial" w:hAnsi="Arial" w:cs="Arial"/>
          <w:b/>
          <w:color w:val="000000" w:themeColor="text1"/>
          <w:sz w:val="20"/>
          <w:szCs w:val="20"/>
          <w:lang w:val="en-GB"/>
        </w:rPr>
        <w:t xml:space="preserve">evelopment and </w:t>
      </w:r>
      <w:r w:rsidR="01C6226E" w:rsidRPr="00306F4D">
        <w:rPr>
          <w:rFonts w:ascii="Arial" w:eastAsia="Arial" w:hAnsi="Arial" w:cs="Arial"/>
          <w:b/>
          <w:color w:val="000000" w:themeColor="text1"/>
          <w:sz w:val="20"/>
          <w:szCs w:val="20"/>
          <w:lang w:val="en-GB"/>
        </w:rPr>
        <w:t>t</w:t>
      </w:r>
      <w:r w:rsidRPr="00306F4D">
        <w:rPr>
          <w:rFonts w:ascii="Arial" w:eastAsia="Arial" w:hAnsi="Arial" w:cs="Arial"/>
          <w:b/>
          <w:color w:val="000000" w:themeColor="text1"/>
          <w:sz w:val="20"/>
          <w:szCs w:val="20"/>
          <w:lang w:val="en-GB"/>
        </w:rPr>
        <w:t xml:space="preserve">esting </w:t>
      </w:r>
      <w:r w:rsidR="5B5231AC" w:rsidRPr="00306F4D">
        <w:rPr>
          <w:rFonts w:ascii="Arial" w:eastAsia="Arial" w:hAnsi="Arial" w:cs="Arial"/>
          <w:b/>
          <w:color w:val="000000" w:themeColor="text1"/>
          <w:sz w:val="20"/>
          <w:szCs w:val="20"/>
          <w:lang w:val="en-GB"/>
        </w:rPr>
        <w:t>t</w:t>
      </w:r>
      <w:r w:rsidRPr="00306F4D">
        <w:rPr>
          <w:rFonts w:ascii="Arial" w:eastAsia="Arial" w:hAnsi="Arial" w:cs="Arial"/>
          <w:b/>
          <w:color w:val="000000" w:themeColor="text1"/>
          <w:sz w:val="20"/>
          <w:szCs w:val="20"/>
          <w:lang w:val="en-GB"/>
        </w:rPr>
        <w:t xml:space="preserve">hrough </w:t>
      </w:r>
      <w:r w:rsidR="02F5FEED" w:rsidRPr="00306F4D">
        <w:rPr>
          <w:rFonts w:ascii="Arial" w:eastAsia="Arial" w:hAnsi="Arial" w:cs="Arial"/>
          <w:b/>
          <w:color w:val="000000" w:themeColor="text1"/>
          <w:sz w:val="20"/>
          <w:szCs w:val="20"/>
          <w:lang w:val="en-GB"/>
        </w:rPr>
        <w:t>a</w:t>
      </w:r>
      <w:r w:rsidRPr="00306F4D">
        <w:rPr>
          <w:rFonts w:ascii="Arial" w:eastAsia="Arial" w:hAnsi="Arial" w:cs="Arial"/>
          <w:b/>
          <w:color w:val="000000" w:themeColor="text1"/>
          <w:sz w:val="20"/>
          <w:szCs w:val="20"/>
          <w:lang w:val="en-GB"/>
        </w:rPr>
        <w:t xml:space="preserve">ccess to </w:t>
      </w:r>
      <w:r w:rsidR="35A753D8" w:rsidRPr="00306F4D">
        <w:rPr>
          <w:rFonts w:ascii="Arial" w:eastAsia="Arial" w:hAnsi="Arial" w:cs="Arial"/>
          <w:b/>
          <w:color w:val="000000" w:themeColor="text1"/>
          <w:sz w:val="20"/>
          <w:szCs w:val="20"/>
          <w:lang w:val="en-GB"/>
        </w:rPr>
        <w:t>t</w:t>
      </w:r>
      <w:r w:rsidRPr="00306F4D">
        <w:rPr>
          <w:rFonts w:ascii="Arial" w:eastAsia="Arial" w:hAnsi="Arial" w:cs="Arial"/>
          <w:b/>
          <w:color w:val="000000" w:themeColor="text1"/>
          <w:sz w:val="20"/>
          <w:szCs w:val="20"/>
          <w:lang w:val="en-GB"/>
        </w:rPr>
        <w:t xml:space="preserve">echnical </w:t>
      </w:r>
      <w:r w:rsidR="6ED258AD" w:rsidRPr="00306F4D">
        <w:rPr>
          <w:rFonts w:ascii="Arial" w:eastAsia="Arial" w:hAnsi="Arial" w:cs="Arial"/>
          <w:b/>
          <w:color w:val="000000" w:themeColor="text1"/>
          <w:sz w:val="20"/>
          <w:szCs w:val="20"/>
          <w:lang w:val="en-GB"/>
        </w:rPr>
        <w:t>l</w:t>
      </w:r>
      <w:r w:rsidRPr="00306F4D">
        <w:rPr>
          <w:rFonts w:ascii="Arial" w:eastAsia="Arial" w:hAnsi="Arial" w:cs="Arial"/>
          <w:b/>
          <w:color w:val="000000" w:themeColor="text1"/>
          <w:sz w:val="20"/>
          <w:szCs w:val="20"/>
          <w:lang w:val="en-GB"/>
        </w:rPr>
        <w:t xml:space="preserve">abs or </w:t>
      </w:r>
      <w:r w:rsidR="47EEF4B1" w:rsidRPr="00306F4D">
        <w:rPr>
          <w:rFonts w:ascii="Arial" w:eastAsia="Arial" w:hAnsi="Arial" w:cs="Arial"/>
          <w:b/>
          <w:color w:val="000000" w:themeColor="text1"/>
          <w:sz w:val="20"/>
          <w:szCs w:val="20"/>
          <w:lang w:val="en-GB"/>
        </w:rPr>
        <w:t>p</w:t>
      </w:r>
      <w:r w:rsidRPr="00306F4D">
        <w:rPr>
          <w:rFonts w:ascii="Arial" w:eastAsia="Arial" w:hAnsi="Arial" w:cs="Arial"/>
          <w:b/>
          <w:color w:val="000000" w:themeColor="text1"/>
          <w:sz w:val="20"/>
          <w:szCs w:val="20"/>
          <w:lang w:val="en-GB"/>
        </w:rPr>
        <w:t xml:space="preserve">ilot </w:t>
      </w:r>
      <w:r w:rsidR="28F1409A" w:rsidRPr="00306F4D">
        <w:rPr>
          <w:rFonts w:ascii="Arial" w:eastAsia="Arial" w:hAnsi="Arial" w:cs="Arial"/>
          <w:b/>
          <w:color w:val="000000" w:themeColor="text1"/>
          <w:sz w:val="20"/>
          <w:szCs w:val="20"/>
          <w:lang w:val="en-GB"/>
        </w:rPr>
        <w:t>c</w:t>
      </w:r>
      <w:r w:rsidRPr="00306F4D">
        <w:rPr>
          <w:rFonts w:ascii="Arial" w:eastAsia="Arial" w:hAnsi="Arial" w:cs="Arial"/>
          <w:b/>
          <w:color w:val="000000" w:themeColor="text1"/>
          <w:sz w:val="20"/>
          <w:szCs w:val="20"/>
          <w:lang w:val="en-GB"/>
        </w:rPr>
        <w:t>ommunities</w:t>
      </w:r>
      <w:r w:rsidR="49D3F088" w:rsidRPr="00306F4D">
        <w:rPr>
          <w:rFonts w:ascii="Arial" w:eastAsia="Arial" w:hAnsi="Arial" w:cs="Arial"/>
          <w:b/>
          <w:color w:val="000000" w:themeColor="text1"/>
          <w:sz w:val="20"/>
          <w:szCs w:val="20"/>
          <w:lang w:val="en-GB"/>
        </w:rPr>
        <w:t>, p</w:t>
      </w:r>
      <w:r w:rsidRPr="00306F4D">
        <w:rPr>
          <w:rFonts w:ascii="Arial" w:eastAsia="Arial" w:hAnsi="Arial" w:cs="Arial"/>
          <w:color w:val="000000" w:themeColor="text1"/>
          <w:sz w:val="20"/>
          <w:szCs w:val="20"/>
          <w:lang w:val="en-GB"/>
        </w:rPr>
        <w:t>rioritize climate-resilient and locally appropriate technologies.</w:t>
      </w:r>
    </w:p>
    <w:p w14:paraId="239B2B3E" w14:textId="316FC80D" w:rsidR="7FB112DC" w:rsidRPr="00306F4D" w:rsidRDefault="7FB112DC" w:rsidP="43886579">
      <w:pPr>
        <w:pStyle w:val="ListParagraph"/>
        <w:numPr>
          <w:ilvl w:val="0"/>
          <w:numId w:val="18"/>
        </w:numPr>
        <w:spacing w:before="240" w:after="240"/>
        <w:jc w:val="both"/>
        <w:rPr>
          <w:rFonts w:ascii="Arial" w:eastAsia="Arial" w:hAnsi="Arial" w:cs="Arial"/>
          <w:color w:val="000000" w:themeColor="text1"/>
          <w:sz w:val="20"/>
          <w:szCs w:val="20"/>
          <w:lang w:val="en-GB"/>
        </w:rPr>
      </w:pPr>
      <w:r w:rsidRPr="00306F4D">
        <w:rPr>
          <w:rFonts w:ascii="Arial" w:eastAsia="Arial" w:hAnsi="Arial" w:cs="Arial"/>
          <w:b/>
          <w:color w:val="000000" w:themeColor="text1"/>
          <w:sz w:val="20"/>
          <w:szCs w:val="20"/>
          <w:lang w:val="en-GB"/>
        </w:rPr>
        <w:t xml:space="preserve">Support </w:t>
      </w:r>
      <w:r w:rsidR="04FAAFAD" w:rsidRPr="00306F4D">
        <w:rPr>
          <w:rFonts w:ascii="Arial" w:eastAsia="Arial" w:hAnsi="Arial" w:cs="Arial"/>
          <w:b/>
          <w:color w:val="000000" w:themeColor="text1"/>
          <w:sz w:val="20"/>
          <w:szCs w:val="20"/>
          <w:lang w:val="en-GB"/>
        </w:rPr>
        <w:t>d</w:t>
      </w:r>
      <w:r w:rsidRPr="00306F4D">
        <w:rPr>
          <w:rFonts w:ascii="Arial" w:eastAsia="Arial" w:hAnsi="Arial" w:cs="Arial"/>
          <w:b/>
          <w:color w:val="000000" w:themeColor="text1"/>
          <w:sz w:val="20"/>
          <w:szCs w:val="20"/>
          <w:lang w:val="en-GB"/>
        </w:rPr>
        <w:t xml:space="preserve">evelopment of </w:t>
      </w:r>
      <w:r w:rsidR="45C0AE8C" w:rsidRPr="00306F4D">
        <w:rPr>
          <w:rFonts w:ascii="Arial" w:eastAsia="Arial" w:hAnsi="Arial" w:cs="Arial"/>
          <w:b/>
          <w:color w:val="000000" w:themeColor="text1"/>
          <w:sz w:val="20"/>
          <w:szCs w:val="20"/>
          <w:lang w:val="en-GB"/>
        </w:rPr>
        <w:t>b</w:t>
      </w:r>
      <w:r w:rsidRPr="00306F4D">
        <w:rPr>
          <w:rFonts w:ascii="Arial" w:eastAsia="Arial" w:hAnsi="Arial" w:cs="Arial"/>
          <w:b/>
          <w:color w:val="000000" w:themeColor="text1"/>
          <w:sz w:val="20"/>
          <w:szCs w:val="20"/>
          <w:lang w:val="en-GB"/>
        </w:rPr>
        <w:t xml:space="preserve">usiness </w:t>
      </w:r>
      <w:r w:rsidR="5AC0BFB9" w:rsidRPr="00306F4D">
        <w:rPr>
          <w:rFonts w:ascii="Arial" w:eastAsia="Arial" w:hAnsi="Arial" w:cs="Arial"/>
          <w:b/>
          <w:color w:val="000000" w:themeColor="text1"/>
          <w:sz w:val="20"/>
          <w:szCs w:val="20"/>
          <w:lang w:val="en-GB"/>
        </w:rPr>
        <w:t>p</w:t>
      </w:r>
      <w:r w:rsidRPr="00306F4D">
        <w:rPr>
          <w:rFonts w:ascii="Arial" w:eastAsia="Arial" w:hAnsi="Arial" w:cs="Arial"/>
          <w:b/>
          <w:color w:val="000000" w:themeColor="text1"/>
          <w:sz w:val="20"/>
          <w:szCs w:val="20"/>
          <w:lang w:val="en-GB"/>
        </w:rPr>
        <w:t xml:space="preserve">lans and </w:t>
      </w:r>
      <w:r w:rsidR="1C941394" w:rsidRPr="00306F4D">
        <w:rPr>
          <w:rFonts w:ascii="Arial" w:eastAsia="Arial" w:hAnsi="Arial" w:cs="Arial"/>
          <w:b/>
          <w:color w:val="000000" w:themeColor="text1"/>
          <w:sz w:val="20"/>
          <w:szCs w:val="20"/>
          <w:lang w:val="en-GB"/>
        </w:rPr>
        <w:t>i</w:t>
      </w:r>
      <w:r w:rsidRPr="00306F4D">
        <w:rPr>
          <w:rFonts w:ascii="Arial" w:eastAsia="Arial" w:hAnsi="Arial" w:cs="Arial"/>
          <w:b/>
          <w:color w:val="000000" w:themeColor="text1"/>
          <w:sz w:val="20"/>
          <w:szCs w:val="20"/>
          <w:lang w:val="en-GB"/>
        </w:rPr>
        <w:t xml:space="preserve">nvestment </w:t>
      </w:r>
      <w:r w:rsidR="6C0DC0C4" w:rsidRPr="00306F4D">
        <w:rPr>
          <w:rFonts w:ascii="Arial" w:eastAsia="Arial" w:hAnsi="Arial" w:cs="Arial"/>
          <w:b/>
          <w:color w:val="000000" w:themeColor="text1"/>
          <w:sz w:val="20"/>
          <w:szCs w:val="20"/>
          <w:lang w:val="en-GB"/>
        </w:rPr>
        <w:t>p</w:t>
      </w:r>
      <w:r w:rsidRPr="00306F4D">
        <w:rPr>
          <w:rFonts w:ascii="Arial" w:eastAsia="Arial" w:hAnsi="Arial" w:cs="Arial"/>
          <w:b/>
          <w:color w:val="000000" w:themeColor="text1"/>
          <w:sz w:val="20"/>
          <w:szCs w:val="20"/>
          <w:lang w:val="en-GB"/>
        </w:rPr>
        <w:t xml:space="preserve">itches </w:t>
      </w:r>
      <w:r w:rsidR="0F114295" w:rsidRPr="00306F4D">
        <w:rPr>
          <w:rFonts w:ascii="Arial" w:eastAsia="Arial" w:hAnsi="Arial" w:cs="Arial"/>
          <w:b/>
          <w:color w:val="000000" w:themeColor="text1"/>
          <w:sz w:val="20"/>
          <w:szCs w:val="20"/>
          <w:lang w:val="en-GB"/>
        </w:rPr>
        <w:t>t</w:t>
      </w:r>
      <w:r w:rsidRPr="00306F4D">
        <w:rPr>
          <w:rFonts w:ascii="Arial" w:eastAsia="Arial" w:hAnsi="Arial" w:cs="Arial"/>
          <w:b/>
          <w:color w:val="000000" w:themeColor="text1"/>
          <w:sz w:val="20"/>
          <w:szCs w:val="20"/>
          <w:lang w:val="en-GB"/>
        </w:rPr>
        <w:t xml:space="preserve">hrough </w:t>
      </w:r>
      <w:r w:rsidR="32A344FE" w:rsidRPr="00306F4D">
        <w:rPr>
          <w:rFonts w:ascii="Arial" w:eastAsia="Arial" w:hAnsi="Arial" w:cs="Arial"/>
          <w:b/>
          <w:color w:val="000000" w:themeColor="text1"/>
          <w:sz w:val="20"/>
          <w:szCs w:val="20"/>
          <w:lang w:val="en-GB"/>
        </w:rPr>
        <w:t>c</w:t>
      </w:r>
      <w:r w:rsidRPr="00306F4D">
        <w:rPr>
          <w:rFonts w:ascii="Arial" w:eastAsia="Arial" w:hAnsi="Arial" w:cs="Arial"/>
          <w:b/>
          <w:color w:val="000000" w:themeColor="text1"/>
          <w:sz w:val="20"/>
          <w:szCs w:val="20"/>
          <w:lang w:val="en-GB"/>
        </w:rPr>
        <w:t xml:space="preserve">oaching, MBA </w:t>
      </w:r>
      <w:r w:rsidR="36132EB4" w:rsidRPr="00306F4D">
        <w:rPr>
          <w:rFonts w:ascii="Arial" w:eastAsia="Arial" w:hAnsi="Arial" w:cs="Arial"/>
          <w:b/>
          <w:color w:val="000000" w:themeColor="text1"/>
          <w:sz w:val="20"/>
          <w:szCs w:val="20"/>
          <w:lang w:val="en-GB"/>
        </w:rPr>
        <w:t>f</w:t>
      </w:r>
      <w:r w:rsidRPr="00306F4D">
        <w:rPr>
          <w:rFonts w:ascii="Arial" w:eastAsia="Arial" w:hAnsi="Arial" w:cs="Arial"/>
          <w:b/>
          <w:color w:val="000000" w:themeColor="text1"/>
          <w:sz w:val="20"/>
          <w:szCs w:val="20"/>
          <w:lang w:val="en-GB"/>
        </w:rPr>
        <w:t>ellowship</w:t>
      </w:r>
      <w:r w:rsidR="44F270CE" w:rsidRPr="00306F4D">
        <w:rPr>
          <w:rFonts w:ascii="Arial" w:eastAsia="Arial" w:hAnsi="Arial" w:cs="Arial"/>
          <w:b/>
          <w:color w:val="000000" w:themeColor="text1"/>
          <w:sz w:val="20"/>
          <w:szCs w:val="20"/>
          <w:lang w:val="en-GB"/>
        </w:rPr>
        <w:t xml:space="preserve"> p</w:t>
      </w:r>
      <w:r w:rsidRPr="00306F4D">
        <w:rPr>
          <w:rFonts w:ascii="Arial" w:eastAsia="Arial" w:hAnsi="Arial" w:cs="Arial"/>
          <w:b/>
          <w:color w:val="000000" w:themeColor="text1"/>
          <w:sz w:val="20"/>
          <w:szCs w:val="20"/>
          <w:lang w:val="en-GB"/>
        </w:rPr>
        <w:t xml:space="preserve">rogramme </w:t>
      </w:r>
      <w:r w:rsidR="5003B497" w:rsidRPr="00306F4D">
        <w:rPr>
          <w:rFonts w:ascii="Arial" w:eastAsia="Arial" w:hAnsi="Arial" w:cs="Arial"/>
          <w:b/>
          <w:color w:val="000000" w:themeColor="text1"/>
          <w:sz w:val="20"/>
          <w:szCs w:val="20"/>
          <w:lang w:val="en-GB"/>
        </w:rPr>
        <w:t>s</w:t>
      </w:r>
      <w:r w:rsidRPr="00306F4D">
        <w:rPr>
          <w:rFonts w:ascii="Arial" w:eastAsia="Arial" w:hAnsi="Arial" w:cs="Arial"/>
          <w:b/>
          <w:color w:val="000000" w:themeColor="text1"/>
          <w:sz w:val="20"/>
          <w:szCs w:val="20"/>
          <w:lang w:val="en-GB"/>
        </w:rPr>
        <w:t xml:space="preserve">upport, and </w:t>
      </w:r>
      <w:r w:rsidR="23695110" w:rsidRPr="00306F4D">
        <w:rPr>
          <w:rFonts w:ascii="Arial" w:eastAsia="Arial" w:hAnsi="Arial" w:cs="Arial"/>
          <w:b/>
          <w:color w:val="000000" w:themeColor="text1"/>
          <w:sz w:val="20"/>
          <w:szCs w:val="20"/>
          <w:lang w:val="en-GB"/>
        </w:rPr>
        <w:t>p</w:t>
      </w:r>
      <w:r w:rsidRPr="00306F4D">
        <w:rPr>
          <w:rFonts w:ascii="Arial" w:eastAsia="Arial" w:hAnsi="Arial" w:cs="Arial"/>
          <w:b/>
          <w:color w:val="000000" w:themeColor="text1"/>
          <w:sz w:val="20"/>
          <w:szCs w:val="20"/>
          <w:lang w:val="en-GB"/>
        </w:rPr>
        <w:t xml:space="preserve">eer </w:t>
      </w:r>
      <w:r w:rsidR="74403D79" w:rsidRPr="00306F4D">
        <w:rPr>
          <w:rFonts w:ascii="Arial" w:eastAsia="Arial" w:hAnsi="Arial" w:cs="Arial"/>
          <w:b/>
          <w:color w:val="000000" w:themeColor="text1"/>
          <w:sz w:val="20"/>
          <w:szCs w:val="20"/>
          <w:lang w:val="en-GB"/>
        </w:rPr>
        <w:t>r</w:t>
      </w:r>
      <w:r w:rsidRPr="00306F4D">
        <w:rPr>
          <w:rFonts w:ascii="Arial" w:eastAsia="Arial" w:hAnsi="Arial" w:cs="Arial"/>
          <w:b/>
          <w:color w:val="000000" w:themeColor="text1"/>
          <w:sz w:val="20"/>
          <w:szCs w:val="20"/>
          <w:lang w:val="en-GB"/>
        </w:rPr>
        <w:t>eview</w:t>
      </w:r>
      <w:r w:rsidR="6CC66E66" w:rsidRPr="00306F4D">
        <w:rPr>
          <w:rFonts w:ascii="Arial" w:eastAsia="Arial" w:hAnsi="Arial" w:cs="Arial"/>
          <w:b/>
          <w:color w:val="000000" w:themeColor="text1"/>
          <w:sz w:val="20"/>
          <w:szCs w:val="20"/>
          <w:lang w:val="en-GB"/>
        </w:rPr>
        <w:t>, u</w:t>
      </w:r>
      <w:r w:rsidRPr="00306F4D">
        <w:rPr>
          <w:rFonts w:ascii="Arial" w:eastAsia="Arial" w:hAnsi="Arial" w:cs="Arial"/>
          <w:color w:val="000000" w:themeColor="text1"/>
          <w:sz w:val="20"/>
          <w:szCs w:val="20"/>
          <w:lang w:val="en-GB"/>
        </w:rPr>
        <w:t>se standardized templates and expert mentors.</w:t>
      </w:r>
    </w:p>
    <w:p w14:paraId="23D1C169" w14:textId="708B3F56" w:rsidR="7FB112DC" w:rsidRPr="00306F4D" w:rsidRDefault="7FB112DC" w:rsidP="43886579">
      <w:pPr>
        <w:pStyle w:val="ListParagraph"/>
        <w:numPr>
          <w:ilvl w:val="0"/>
          <w:numId w:val="18"/>
        </w:numPr>
        <w:spacing w:before="240" w:after="240"/>
        <w:jc w:val="both"/>
        <w:rPr>
          <w:rFonts w:ascii="Arial" w:eastAsia="Arial" w:hAnsi="Arial" w:cs="Arial"/>
          <w:color w:val="000000" w:themeColor="text1"/>
          <w:sz w:val="20"/>
          <w:szCs w:val="20"/>
          <w:lang w:val="en-GB"/>
        </w:rPr>
      </w:pPr>
      <w:r w:rsidRPr="00306F4D">
        <w:rPr>
          <w:rFonts w:ascii="Arial" w:eastAsia="Arial" w:hAnsi="Arial" w:cs="Arial"/>
          <w:b/>
          <w:color w:val="000000" w:themeColor="text1"/>
          <w:sz w:val="20"/>
          <w:szCs w:val="20"/>
          <w:lang w:val="en-GB"/>
        </w:rPr>
        <w:t xml:space="preserve">Host </w:t>
      </w:r>
      <w:r w:rsidR="3F3CA589" w:rsidRPr="00306F4D">
        <w:rPr>
          <w:rFonts w:ascii="Arial" w:eastAsia="Arial" w:hAnsi="Arial" w:cs="Arial"/>
          <w:b/>
          <w:color w:val="000000" w:themeColor="text1"/>
          <w:sz w:val="20"/>
          <w:szCs w:val="20"/>
          <w:lang w:val="en-GB"/>
        </w:rPr>
        <w:t>d</w:t>
      </w:r>
      <w:r w:rsidRPr="00306F4D">
        <w:rPr>
          <w:rFonts w:ascii="Arial" w:eastAsia="Arial" w:hAnsi="Arial" w:cs="Arial"/>
          <w:b/>
          <w:color w:val="000000" w:themeColor="text1"/>
          <w:sz w:val="20"/>
          <w:szCs w:val="20"/>
          <w:lang w:val="en-GB"/>
        </w:rPr>
        <w:t xml:space="preserve">iscussions for </w:t>
      </w:r>
      <w:r w:rsidR="7E33279B" w:rsidRPr="00306F4D">
        <w:rPr>
          <w:rFonts w:ascii="Arial" w:eastAsia="Arial" w:hAnsi="Arial" w:cs="Arial"/>
          <w:b/>
          <w:color w:val="000000" w:themeColor="text1"/>
          <w:sz w:val="20"/>
          <w:szCs w:val="20"/>
          <w:lang w:val="en-GB"/>
        </w:rPr>
        <w:t>s</w:t>
      </w:r>
      <w:r w:rsidRPr="00306F4D">
        <w:rPr>
          <w:rFonts w:ascii="Arial" w:eastAsia="Arial" w:hAnsi="Arial" w:cs="Arial"/>
          <w:b/>
          <w:color w:val="000000" w:themeColor="text1"/>
          <w:sz w:val="20"/>
          <w:szCs w:val="20"/>
          <w:lang w:val="en-GB"/>
        </w:rPr>
        <w:t xml:space="preserve">caling or </w:t>
      </w:r>
      <w:r w:rsidR="7E156F35" w:rsidRPr="00306F4D">
        <w:rPr>
          <w:rFonts w:ascii="Arial" w:eastAsia="Arial" w:hAnsi="Arial" w:cs="Arial"/>
          <w:b/>
          <w:color w:val="000000" w:themeColor="text1"/>
          <w:sz w:val="20"/>
          <w:szCs w:val="20"/>
          <w:lang w:val="en-GB"/>
        </w:rPr>
        <w:t>i</w:t>
      </w:r>
      <w:r w:rsidRPr="00306F4D">
        <w:rPr>
          <w:rFonts w:ascii="Arial" w:eastAsia="Arial" w:hAnsi="Arial" w:cs="Arial"/>
          <w:b/>
          <w:color w:val="000000" w:themeColor="text1"/>
          <w:sz w:val="20"/>
          <w:szCs w:val="20"/>
          <w:lang w:val="en-GB"/>
        </w:rPr>
        <w:t xml:space="preserve">nvestor </w:t>
      </w:r>
      <w:r w:rsidR="3FF4CBA1" w:rsidRPr="00306F4D">
        <w:rPr>
          <w:rFonts w:ascii="Arial" w:eastAsia="Arial" w:hAnsi="Arial" w:cs="Arial"/>
          <w:b/>
          <w:color w:val="000000" w:themeColor="text1"/>
          <w:sz w:val="20"/>
          <w:szCs w:val="20"/>
          <w:lang w:val="en-GB"/>
        </w:rPr>
        <w:t>p</w:t>
      </w:r>
      <w:r w:rsidRPr="00306F4D">
        <w:rPr>
          <w:rFonts w:ascii="Arial" w:eastAsia="Arial" w:hAnsi="Arial" w:cs="Arial"/>
          <w:b/>
          <w:color w:val="000000" w:themeColor="text1"/>
          <w:sz w:val="20"/>
          <w:szCs w:val="20"/>
          <w:lang w:val="en-GB"/>
        </w:rPr>
        <w:t xml:space="preserve">itch </w:t>
      </w:r>
      <w:r w:rsidR="66A1BC18" w:rsidRPr="00306F4D">
        <w:rPr>
          <w:rFonts w:ascii="Arial" w:eastAsia="Arial" w:hAnsi="Arial" w:cs="Arial"/>
          <w:b/>
          <w:color w:val="000000" w:themeColor="text1"/>
          <w:sz w:val="20"/>
          <w:szCs w:val="20"/>
          <w:lang w:val="en-GB"/>
        </w:rPr>
        <w:t>e</w:t>
      </w:r>
      <w:r w:rsidRPr="00306F4D">
        <w:rPr>
          <w:rFonts w:ascii="Arial" w:eastAsia="Arial" w:hAnsi="Arial" w:cs="Arial"/>
          <w:b/>
          <w:color w:val="000000" w:themeColor="text1"/>
          <w:sz w:val="20"/>
          <w:szCs w:val="20"/>
          <w:lang w:val="en-GB"/>
        </w:rPr>
        <w:t xml:space="preserve">vents at the </w:t>
      </w:r>
      <w:r w:rsidR="2D589138" w:rsidRPr="00306F4D">
        <w:rPr>
          <w:rFonts w:ascii="Arial" w:eastAsia="Arial" w:hAnsi="Arial" w:cs="Arial"/>
          <w:b/>
          <w:color w:val="000000" w:themeColor="text1"/>
          <w:sz w:val="20"/>
          <w:szCs w:val="20"/>
          <w:lang w:val="en-GB"/>
        </w:rPr>
        <w:t>c</w:t>
      </w:r>
      <w:r w:rsidRPr="00306F4D">
        <w:rPr>
          <w:rFonts w:ascii="Arial" w:eastAsia="Arial" w:hAnsi="Arial" w:cs="Arial"/>
          <w:b/>
          <w:color w:val="000000" w:themeColor="text1"/>
          <w:sz w:val="20"/>
          <w:szCs w:val="20"/>
          <w:lang w:val="en-GB"/>
        </w:rPr>
        <w:t xml:space="preserve">ountry and </w:t>
      </w:r>
      <w:r w:rsidR="05FF5804" w:rsidRPr="00306F4D">
        <w:rPr>
          <w:rFonts w:ascii="Arial" w:eastAsia="Arial" w:hAnsi="Arial" w:cs="Arial"/>
          <w:b/>
          <w:color w:val="000000" w:themeColor="text1"/>
          <w:sz w:val="20"/>
          <w:szCs w:val="20"/>
          <w:lang w:val="en-GB"/>
        </w:rPr>
        <w:t>r</w:t>
      </w:r>
      <w:r w:rsidRPr="00306F4D">
        <w:rPr>
          <w:rFonts w:ascii="Arial" w:eastAsia="Arial" w:hAnsi="Arial" w:cs="Arial"/>
          <w:b/>
          <w:color w:val="000000" w:themeColor="text1"/>
          <w:sz w:val="20"/>
          <w:szCs w:val="20"/>
          <w:lang w:val="en-GB"/>
        </w:rPr>
        <w:t xml:space="preserve">egional </w:t>
      </w:r>
      <w:r w:rsidR="7CD35B2A" w:rsidRPr="00306F4D">
        <w:rPr>
          <w:rFonts w:ascii="Arial" w:eastAsia="Arial" w:hAnsi="Arial" w:cs="Arial"/>
          <w:b/>
          <w:color w:val="000000" w:themeColor="text1"/>
          <w:sz w:val="20"/>
          <w:szCs w:val="20"/>
          <w:lang w:val="en-GB"/>
        </w:rPr>
        <w:t>l</w:t>
      </w:r>
      <w:r w:rsidRPr="00306F4D">
        <w:rPr>
          <w:rFonts w:ascii="Arial" w:eastAsia="Arial" w:hAnsi="Arial" w:cs="Arial"/>
          <w:b/>
          <w:color w:val="000000" w:themeColor="text1"/>
          <w:sz w:val="20"/>
          <w:szCs w:val="20"/>
          <w:lang w:val="en-GB"/>
        </w:rPr>
        <w:t>evels</w:t>
      </w:r>
      <w:r w:rsidR="3EC23AB4" w:rsidRPr="00306F4D">
        <w:rPr>
          <w:rFonts w:ascii="Arial" w:eastAsia="Arial" w:hAnsi="Arial" w:cs="Arial"/>
          <w:b/>
          <w:color w:val="000000" w:themeColor="text1"/>
          <w:sz w:val="20"/>
          <w:szCs w:val="20"/>
          <w:lang w:val="en-GB"/>
        </w:rPr>
        <w:t xml:space="preserve">, </w:t>
      </w:r>
      <w:r w:rsidR="3EC23AB4" w:rsidRPr="00306F4D">
        <w:rPr>
          <w:rFonts w:ascii="Arial" w:eastAsia="Arial" w:hAnsi="Arial" w:cs="Arial"/>
          <w:color w:val="000000" w:themeColor="text1"/>
          <w:sz w:val="20"/>
          <w:szCs w:val="20"/>
          <w:lang w:val="en-GB"/>
        </w:rPr>
        <w:t>i</w:t>
      </w:r>
      <w:r w:rsidRPr="00306F4D">
        <w:rPr>
          <w:rFonts w:ascii="Arial" w:eastAsia="Arial" w:hAnsi="Arial" w:cs="Arial"/>
          <w:color w:val="000000" w:themeColor="text1"/>
          <w:sz w:val="20"/>
          <w:szCs w:val="20"/>
          <w:lang w:val="en-GB"/>
        </w:rPr>
        <w:t>nvite local investors, donors, and government representatives.</w:t>
      </w:r>
    </w:p>
    <w:p w14:paraId="03E00FD6" w14:textId="6C8A7BF7" w:rsidR="3F20B107" w:rsidRPr="00306F4D" w:rsidRDefault="7FB112DC" w:rsidP="43886579">
      <w:pPr>
        <w:pStyle w:val="ListParagraph"/>
        <w:numPr>
          <w:ilvl w:val="0"/>
          <w:numId w:val="18"/>
        </w:numPr>
        <w:spacing w:before="240" w:after="240"/>
        <w:jc w:val="both"/>
        <w:rPr>
          <w:rFonts w:ascii="Arial" w:eastAsia="Arial" w:hAnsi="Arial" w:cs="Arial"/>
          <w:color w:val="000000" w:themeColor="text1"/>
          <w:sz w:val="20"/>
          <w:szCs w:val="20"/>
          <w:lang w:val="en-GB"/>
        </w:rPr>
      </w:pPr>
      <w:r w:rsidRPr="00306F4D">
        <w:rPr>
          <w:rFonts w:ascii="Arial" w:eastAsia="Arial" w:hAnsi="Arial" w:cs="Arial"/>
          <w:b/>
          <w:color w:val="000000" w:themeColor="text1"/>
          <w:sz w:val="20"/>
          <w:szCs w:val="20"/>
          <w:lang w:val="en-GB"/>
        </w:rPr>
        <w:t xml:space="preserve">Support </w:t>
      </w:r>
      <w:r w:rsidR="46CADB7D" w:rsidRPr="00306F4D">
        <w:rPr>
          <w:rFonts w:ascii="Arial" w:eastAsia="Arial" w:hAnsi="Arial" w:cs="Arial"/>
          <w:b/>
          <w:color w:val="000000" w:themeColor="text1"/>
          <w:sz w:val="20"/>
          <w:szCs w:val="20"/>
          <w:lang w:val="en-GB"/>
        </w:rPr>
        <w:t>g</w:t>
      </w:r>
      <w:r w:rsidRPr="00306F4D">
        <w:rPr>
          <w:rFonts w:ascii="Arial" w:eastAsia="Arial" w:hAnsi="Arial" w:cs="Arial"/>
          <w:b/>
          <w:color w:val="000000" w:themeColor="text1"/>
          <w:sz w:val="20"/>
          <w:szCs w:val="20"/>
          <w:lang w:val="en-GB"/>
        </w:rPr>
        <w:t xml:space="preserve">rantees </w:t>
      </w:r>
      <w:r w:rsidR="44EF8AF8" w:rsidRPr="00306F4D">
        <w:rPr>
          <w:rFonts w:ascii="Arial" w:eastAsia="Arial" w:hAnsi="Arial" w:cs="Arial"/>
          <w:b/>
          <w:color w:val="000000" w:themeColor="text1"/>
          <w:sz w:val="20"/>
          <w:szCs w:val="20"/>
          <w:lang w:val="en-GB"/>
        </w:rPr>
        <w:t>t</w:t>
      </w:r>
      <w:r w:rsidRPr="00306F4D">
        <w:rPr>
          <w:rFonts w:ascii="Arial" w:eastAsia="Arial" w:hAnsi="Arial" w:cs="Arial"/>
          <w:b/>
          <w:color w:val="000000" w:themeColor="text1"/>
          <w:sz w:val="20"/>
          <w:szCs w:val="20"/>
          <w:lang w:val="en-GB"/>
        </w:rPr>
        <w:t xml:space="preserve">hrough </w:t>
      </w:r>
      <w:r w:rsidR="1F75AE4F" w:rsidRPr="00306F4D">
        <w:rPr>
          <w:rFonts w:ascii="Arial" w:eastAsia="Arial" w:hAnsi="Arial" w:cs="Arial"/>
          <w:b/>
          <w:color w:val="000000" w:themeColor="text1"/>
          <w:sz w:val="20"/>
          <w:szCs w:val="20"/>
          <w:lang w:val="en-GB"/>
        </w:rPr>
        <w:t>u</w:t>
      </w:r>
      <w:r w:rsidRPr="00306F4D">
        <w:rPr>
          <w:rFonts w:ascii="Arial" w:eastAsia="Arial" w:hAnsi="Arial" w:cs="Arial"/>
          <w:b/>
          <w:color w:val="000000" w:themeColor="text1"/>
          <w:sz w:val="20"/>
          <w:szCs w:val="20"/>
          <w:lang w:val="en-GB"/>
        </w:rPr>
        <w:t xml:space="preserve">niversity </w:t>
      </w:r>
      <w:r w:rsidR="06082720" w:rsidRPr="00306F4D">
        <w:rPr>
          <w:rFonts w:ascii="Arial" w:eastAsia="Arial" w:hAnsi="Arial" w:cs="Arial"/>
          <w:b/>
          <w:color w:val="000000" w:themeColor="text1"/>
          <w:sz w:val="20"/>
          <w:szCs w:val="20"/>
          <w:lang w:val="en-GB"/>
        </w:rPr>
        <w:t>s</w:t>
      </w:r>
      <w:r w:rsidRPr="00306F4D">
        <w:rPr>
          <w:rFonts w:ascii="Arial" w:eastAsia="Arial" w:hAnsi="Arial" w:cs="Arial"/>
          <w:b/>
          <w:color w:val="000000" w:themeColor="text1"/>
          <w:sz w:val="20"/>
          <w:szCs w:val="20"/>
          <w:lang w:val="en-GB"/>
        </w:rPr>
        <w:t>tudents and MBA Fellowship Programme</w:t>
      </w:r>
      <w:r w:rsidR="1BD6113A" w:rsidRPr="00306F4D">
        <w:rPr>
          <w:rFonts w:ascii="Arial" w:eastAsia="Arial" w:hAnsi="Arial" w:cs="Arial"/>
          <w:b/>
          <w:color w:val="000000" w:themeColor="text1"/>
          <w:sz w:val="20"/>
          <w:szCs w:val="20"/>
          <w:lang w:val="en-GB"/>
        </w:rPr>
        <w:t xml:space="preserve">, </w:t>
      </w:r>
      <w:r w:rsidR="1BD6113A" w:rsidRPr="00306F4D">
        <w:rPr>
          <w:rFonts w:ascii="Arial" w:eastAsia="Arial" w:hAnsi="Arial" w:cs="Arial"/>
          <w:color w:val="000000" w:themeColor="text1"/>
          <w:sz w:val="20"/>
          <w:szCs w:val="20"/>
          <w:lang w:val="en-GB"/>
        </w:rPr>
        <w:t>e</w:t>
      </w:r>
      <w:r w:rsidRPr="00306F4D">
        <w:rPr>
          <w:rFonts w:ascii="Arial" w:eastAsia="Arial" w:hAnsi="Arial" w:cs="Arial"/>
          <w:color w:val="000000" w:themeColor="text1"/>
          <w:sz w:val="20"/>
          <w:szCs w:val="20"/>
          <w:lang w:val="en-GB"/>
        </w:rPr>
        <w:t>ngage university students to leverage their skills and knowledge.</w:t>
      </w:r>
    </w:p>
    <w:p w14:paraId="2E754AE0" w14:textId="5A676103" w:rsidR="00F04FEE" w:rsidRPr="00306F4D" w:rsidRDefault="2C4E89EF" w:rsidP="695697BF">
      <w:pPr>
        <w:spacing w:before="240" w:after="0" w:line="276" w:lineRule="auto"/>
        <w:rPr>
          <w:rFonts w:ascii="Arial" w:eastAsia="Arial" w:hAnsi="Arial" w:cs="Arial"/>
          <w:sz w:val="20"/>
          <w:szCs w:val="20"/>
          <w:lang w:val="en-GB"/>
        </w:rPr>
      </w:pPr>
      <w:r w:rsidRPr="00306F4D">
        <w:rPr>
          <w:rFonts w:ascii="Arial" w:eastAsia="Arial" w:hAnsi="Arial" w:cs="Arial"/>
          <w:b/>
          <w:i/>
          <w:color w:val="000000" w:themeColor="text1"/>
          <w:sz w:val="20"/>
          <w:szCs w:val="20"/>
          <w:lang w:val="en-GB"/>
        </w:rPr>
        <w:t>Output 2.2: Scalable adaptation innovations are connected to funding and financing opportunities and supported for integration into national systems, local service delivery, or relevant markets.</w:t>
      </w:r>
    </w:p>
    <w:p w14:paraId="5F6A5882" w14:textId="21AD4793" w:rsidR="00E60D8F" w:rsidRPr="00306F4D" w:rsidRDefault="00352965" w:rsidP="02E2BB75">
      <w:pPr>
        <w:spacing w:before="240" w:after="0" w:line="276" w:lineRule="auto"/>
        <w:jc w:val="both"/>
        <w:rPr>
          <w:rFonts w:ascii="Arial" w:eastAsia="Arial" w:hAnsi="Arial" w:cs="Arial"/>
          <w:sz w:val="20"/>
          <w:szCs w:val="20"/>
        </w:rPr>
      </w:pPr>
      <w:r w:rsidRPr="00306F4D">
        <w:rPr>
          <w:rFonts w:ascii="Arial" w:eastAsia="Arial" w:hAnsi="Arial" w:cs="Arial"/>
          <w:sz w:val="20"/>
          <w:szCs w:val="20"/>
        </w:rPr>
        <w:t xml:space="preserve">This output aims to support proven adaptation innovations in their transition from grant-supported pilots to sustainable, scaled </w:t>
      </w:r>
      <w:r w:rsidR="5474B132" w:rsidRPr="00306F4D">
        <w:rPr>
          <w:rFonts w:ascii="Arial" w:eastAsia="Arial" w:hAnsi="Arial" w:cs="Arial"/>
          <w:sz w:val="20"/>
          <w:szCs w:val="20"/>
        </w:rPr>
        <w:t>efforts</w:t>
      </w:r>
      <w:r w:rsidRPr="00306F4D">
        <w:rPr>
          <w:rFonts w:ascii="Arial" w:eastAsia="Arial" w:hAnsi="Arial" w:cs="Arial"/>
          <w:sz w:val="20"/>
          <w:szCs w:val="20"/>
        </w:rPr>
        <w:t xml:space="preserve"> through strategic financing connections and market integration support. The project will provide comprehensive investment readiness and financing facilitation through multiple complementary activities.</w:t>
      </w:r>
    </w:p>
    <w:p w14:paraId="103A4C32" w14:textId="146AC73E" w:rsidR="36CAE33F" w:rsidRPr="00306F4D" w:rsidRDefault="3F513BB3" w:rsidP="49C6F20D">
      <w:pPr>
        <w:spacing w:before="240" w:after="0" w:line="276" w:lineRule="auto"/>
        <w:jc w:val="both"/>
        <w:rPr>
          <w:rFonts w:ascii="Arial" w:eastAsia="Arial" w:hAnsi="Arial" w:cs="Arial"/>
          <w:sz w:val="20"/>
          <w:szCs w:val="20"/>
        </w:rPr>
      </w:pPr>
      <w:r w:rsidRPr="00306F4D">
        <w:rPr>
          <w:rFonts w:ascii="Arial" w:eastAsia="Arial" w:hAnsi="Arial" w:cs="Arial"/>
          <w:b/>
          <w:sz w:val="20"/>
          <w:szCs w:val="20"/>
        </w:rPr>
        <w:t>MBA Fellowship Programme</w:t>
      </w:r>
    </w:p>
    <w:p w14:paraId="3C856473" w14:textId="420E99AE" w:rsidR="3F513BB3" w:rsidRPr="00306F4D" w:rsidRDefault="3F513BB3" w:rsidP="00413459">
      <w:pPr>
        <w:spacing w:before="240" w:after="240" w:line="279" w:lineRule="auto"/>
        <w:jc w:val="both"/>
        <w:rPr>
          <w:rFonts w:ascii="Arial" w:eastAsia="Arial" w:hAnsi="Arial" w:cs="Arial"/>
          <w:sz w:val="20"/>
          <w:szCs w:val="20"/>
        </w:rPr>
      </w:pPr>
      <w:r w:rsidRPr="00306F4D">
        <w:rPr>
          <w:rFonts w:ascii="Arial" w:eastAsia="Arial" w:hAnsi="Arial" w:cs="Arial"/>
          <w:sz w:val="20"/>
          <w:szCs w:val="20"/>
        </w:rPr>
        <w:t xml:space="preserve">Building on the success and learning from the </w:t>
      </w:r>
      <w:hyperlink r:id="rId42">
        <w:r w:rsidRPr="00306F4D">
          <w:rPr>
            <w:rStyle w:val="Hyperlink"/>
            <w:rFonts w:ascii="Arial" w:eastAsia="Arial" w:hAnsi="Arial" w:cs="Arial"/>
            <w:sz w:val="20"/>
            <w:szCs w:val="20"/>
          </w:rPr>
          <w:t>global UNDP AFCIA project's use of this modality,</w:t>
        </w:r>
      </w:hyperlink>
      <w:r w:rsidRPr="00306F4D">
        <w:rPr>
          <w:rFonts w:ascii="Arial" w:eastAsia="Arial" w:hAnsi="Arial" w:cs="Arial"/>
          <w:sz w:val="20"/>
          <w:szCs w:val="20"/>
        </w:rPr>
        <w:t xml:space="preserve"> which has successfully integrated business expertise into locally-led climate adaptation efforts, the MBA Fellowship Programme strategically engages postgraduate students from prestigious universities</w:t>
      </w:r>
      <w:r w:rsidR="17D9A74D" w:rsidRPr="00306F4D">
        <w:rPr>
          <w:rFonts w:ascii="Arial" w:eastAsia="Arial" w:hAnsi="Arial" w:cs="Arial"/>
          <w:sz w:val="20"/>
          <w:szCs w:val="20"/>
        </w:rPr>
        <w:t xml:space="preserve"> from the </w:t>
      </w:r>
      <w:hyperlink r:id="rId43">
        <w:r w:rsidR="17D9A74D" w:rsidRPr="00306F4D">
          <w:rPr>
            <w:rStyle w:val="Hyperlink"/>
            <w:rFonts w:ascii="Arial" w:eastAsia="Arial" w:hAnsi="Arial" w:cs="Arial"/>
            <w:sz w:val="20"/>
            <w:szCs w:val="20"/>
          </w:rPr>
          <w:t>Global Network for Advanced Management (GNAM Network),</w:t>
        </w:r>
      </w:hyperlink>
      <w:r w:rsidR="17D9A74D" w:rsidRPr="00306F4D">
        <w:rPr>
          <w:rFonts w:ascii="Arial" w:eastAsia="Arial" w:hAnsi="Arial" w:cs="Arial"/>
          <w:sz w:val="20"/>
          <w:szCs w:val="20"/>
        </w:rPr>
        <w:t xml:space="preserve"> </w:t>
      </w:r>
      <w:r w:rsidRPr="00306F4D">
        <w:rPr>
          <w:rFonts w:ascii="Arial" w:eastAsia="Arial" w:hAnsi="Arial" w:cs="Arial"/>
          <w:sz w:val="20"/>
          <w:szCs w:val="20"/>
        </w:rPr>
        <w:t xml:space="preserve">to support grantees with dedicated business development assistance for up to six months. This collaboration will be facilitated through a responsible party selected under UNDP's procurement standards, ensuring a seamless integration of top-tier students into the </w:t>
      </w:r>
      <w:proofErr w:type="spellStart"/>
      <w:r w:rsidRPr="00306F4D">
        <w:rPr>
          <w:rFonts w:ascii="Arial" w:eastAsia="Arial" w:hAnsi="Arial" w:cs="Arial"/>
          <w:sz w:val="20"/>
          <w:szCs w:val="20"/>
        </w:rPr>
        <w:t>programme</w:t>
      </w:r>
      <w:proofErr w:type="spellEnd"/>
      <w:r w:rsidRPr="00306F4D">
        <w:rPr>
          <w:rFonts w:ascii="Arial" w:eastAsia="Arial" w:hAnsi="Arial" w:cs="Arial"/>
          <w:sz w:val="20"/>
          <w:szCs w:val="20"/>
        </w:rPr>
        <w:t>.</w:t>
      </w:r>
    </w:p>
    <w:p w14:paraId="7A5A6CEF" w14:textId="46B66D9A" w:rsidR="3F513BB3" w:rsidRPr="00306F4D" w:rsidRDefault="3F513BB3" w:rsidP="00413459">
      <w:pPr>
        <w:spacing w:before="240" w:after="240"/>
        <w:jc w:val="both"/>
        <w:rPr>
          <w:rFonts w:ascii="Arial" w:eastAsia="Arial" w:hAnsi="Arial" w:cs="Arial"/>
          <w:sz w:val="20"/>
          <w:szCs w:val="20"/>
        </w:rPr>
      </w:pPr>
      <w:r w:rsidRPr="00306F4D">
        <w:rPr>
          <w:rFonts w:ascii="Arial" w:eastAsia="Arial" w:hAnsi="Arial" w:cs="Arial"/>
          <w:sz w:val="20"/>
          <w:szCs w:val="20"/>
        </w:rPr>
        <w:t xml:space="preserve">The </w:t>
      </w:r>
      <w:proofErr w:type="spellStart"/>
      <w:r w:rsidRPr="00306F4D">
        <w:rPr>
          <w:rFonts w:ascii="Arial" w:eastAsia="Arial" w:hAnsi="Arial" w:cs="Arial"/>
          <w:sz w:val="20"/>
          <w:szCs w:val="20"/>
        </w:rPr>
        <w:t>programme</w:t>
      </w:r>
      <w:proofErr w:type="spellEnd"/>
      <w:r w:rsidRPr="00306F4D">
        <w:rPr>
          <w:rFonts w:ascii="Arial" w:eastAsia="Arial" w:hAnsi="Arial" w:cs="Arial"/>
          <w:sz w:val="20"/>
          <w:szCs w:val="20"/>
        </w:rPr>
        <w:t xml:space="preserve"> connects academic expertise with the practical needs of climate adaptation, providing vital support in areas such as business model refinement, financial strategy, and market expansion planning. Students will assist local initiatives by applying their knowledge in business management, financial planning, and market research, ensuring alignment with locally led adaptation principles. This mutual learning platform will benefit both grantees, who gain strategic business support, and students, who acquire real-world experience in addressing complex climate adaptation challenges, particularly in the Western Balkans context.</w:t>
      </w:r>
    </w:p>
    <w:p w14:paraId="0D39A05B" w14:textId="71EB27A6" w:rsidR="3F513BB3" w:rsidRPr="00306F4D" w:rsidRDefault="3F513BB3" w:rsidP="00413459">
      <w:pPr>
        <w:spacing w:before="240" w:after="240"/>
        <w:jc w:val="both"/>
        <w:rPr>
          <w:rFonts w:ascii="Arial" w:eastAsia="Arial" w:hAnsi="Arial" w:cs="Arial"/>
          <w:sz w:val="20"/>
          <w:szCs w:val="20"/>
        </w:rPr>
      </w:pPr>
      <w:r w:rsidRPr="00306F4D">
        <w:rPr>
          <w:rFonts w:ascii="Arial" w:eastAsia="Arial" w:hAnsi="Arial" w:cs="Arial"/>
          <w:sz w:val="20"/>
          <w:szCs w:val="20"/>
        </w:rPr>
        <w:t xml:space="preserve">The </w:t>
      </w:r>
      <w:proofErr w:type="spellStart"/>
      <w:r w:rsidRPr="00306F4D">
        <w:rPr>
          <w:rFonts w:ascii="Arial" w:eastAsia="Arial" w:hAnsi="Arial" w:cs="Arial"/>
          <w:sz w:val="20"/>
          <w:szCs w:val="20"/>
        </w:rPr>
        <w:t>programme</w:t>
      </w:r>
      <w:proofErr w:type="spellEnd"/>
      <w:r w:rsidRPr="00306F4D">
        <w:rPr>
          <w:rFonts w:ascii="Arial" w:eastAsia="Arial" w:hAnsi="Arial" w:cs="Arial"/>
          <w:sz w:val="20"/>
          <w:szCs w:val="20"/>
        </w:rPr>
        <w:t xml:space="preserve"> also contributes to building a repository of lessons learned, tested practices, and case studies, creating a continuous documentation and knowledge exchange mechanism. By promoting systemic learning, the </w:t>
      </w:r>
      <w:proofErr w:type="spellStart"/>
      <w:r w:rsidRPr="00306F4D">
        <w:rPr>
          <w:rFonts w:ascii="Arial" w:eastAsia="Arial" w:hAnsi="Arial" w:cs="Arial"/>
          <w:sz w:val="20"/>
          <w:szCs w:val="20"/>
        </w:rPr>
        <w:t>programme</w:t>
      </w:r>
      <w:proofErr w:type="spellEnd"/>
      <w:r w:rsidRPr="00306F4D">
        <w:rPr>
          <w:rFonts w:ascii="Arial" w:eastAsia="Arial" w:hAnsi="Arial" w:cs="Arial"/>
          <w:sz w:val="20"/>
          <w:szCs w:val="20"/>
        </w:rPr>
        <w:t xml:space="preserve"> fosters collaboration between academia, development organizations, and local innovators, contributing to the scaling of sustainable, scalable climate solutions. This collaboration strengthens the climate adaptation landscape and ensures that the lessons learned can be applied to future projects, enabling scaling across regions.</w:t>
      </w:r>
    </w:p>
    <w:p w14:paraId="05131F9B" w14:textId="0DAF8052" w:rsidR="3F513BB3" w:rsidRPr="00306F4D" w:rsidRDefault="3F513BB3" w:rsidP="00413459">
      <w:pPr>
        <w:spacing w:before="240" w:after="240"/>
        <w:jc w:val="both"/>
        <w:rPr>
          <w:rFonts w:ascii="Arial" w:eastAsia="Arial" w:hAnsi="Arial" w:cs="Arial"/>
          <w:sz w:val="20"/>
          <w:szCs w:val="20"/>
        </w:rPr>
      </w:pPr>
      <w:r w:rsidRPr="00306F4D">
        <w:rPr>
          <w:rFonts w:ascii="Arial" w:eastAsia="Arial" w:hAnsi="Arial" w:cs="Arial"/>
          <w:sz w:val="20"/>
          <w:szCs w:val="20"/>
        </w:rPr>
        <w:t>By connecting grassroots organizations with business schools, the MBA Fellowship Programme bridges the gap between local knowledge and business expertise, driving scalable, innovative climate adaptation solutions. The fellowship enhances the leadership, financial, and strategic skills of students while providing grantees with high-level business support, improving their capacity to attract investment and scale their solutions.</w:t>
      </w:r>
    </w:p>
    <w:p w14:paraId="398AFF94" w14:textId="359A93C6" w:rsidR="3F513BB3" w:rsidRPr="00306F4D" w:rsidRDefault="3F513BB3" w:rsidP="00413459">
      <w:pPr>
        <w:spacing w:before="240" w:after="240"/>
        <w:jc w:val="both"/>
        <w:rPr>
          <w:rFonts w:ascii="Arial" w:eastAsia="Arial" w:hAnsi="Arial" w:cs="Arial"/>
          <w:sz w:val="20"/>
          <w:szCs w:val="20"/>
        </w:rPr>
      </w:pPr>
      <w:r w:rsidRPr="00306F4D">
        <w:rPr>
          <w:rFonts w:ascii="Arial" w:eastAsia="Arial" w:hAnsi="Arial" w:cs="Arial"/>
          <w:sz w:val="20"/>
          <w:szCs w:val="20"/>
        </w:rPr>
        <w:t xml:space="preserve">The </w:t>
      </w:r>
      <w:proofErr w:type="spellStart"/>
      <w:r w:rsidRPr="00306F4D">
        <w:rPr>
          <w:rFonts w:ascii="Arial" w:eastAsia="Arial" w:hAnsi="Arial" w:cs="Arial"/>
          <w:sz w:val="20"/>
          <w:szCs w:val="20"/>
        </w:rPr>
        <w:t>programme</w:t>
      </w:r>
      <w:proofErr w:type="spellEnd"/>
      <w:r w:rsidRPr="00306F4D">
        <w:rPr>
          <w:rFonts w:ascii="Arial" w:eastAsia="Arial" w:hAnsi="Arial" w:cs="Arial"/>
          <w:sz w:val="20"/>
          <w:szCs w:val="20"/>
        </w:rPr>
        <w:t xml:space="preserve"> also promotes systemic change by aligning development finance with private sector priorities, fostering collaboration between the two sectors. Business schools serve as neutral platforms for testing new concepts, promoting long-term relationships, and closing the gap between climate finance and the projects that need it most. Ultimately, the MBA Fellowship Programme contributes to scaling adaptation solutions, strengthening resilience, and building more sustainable, inclusive societies.</w:t>
      </w:r>
    </w:p>
    <w:p w14:paraId="23DCC32A" w14:textId="60A20B05" w:rsidR="474270A7" w:rsidRPr="00306F4D" w:rsidRDefault="474270A7" w:rsidP="00413459">
      <w:pPr>
        <w:spacing w:before="240" w:after="240"/>
        <w:jc w:val="both"/>
        <w:rPr>
          <w:rFonts w:ascii="Arial" w:eastAsia="Arial" w:hAnsi="Arial" w:cs="Arial"/>
          <w:sz w:val="20"/>
          <w:szCs w:val="20"/>
        </w:rPr>
      </w:pPr>
      <w:r w:rsidRPr="00306F4D">
        <w:rPr>
          <w:rFonts w:ascii="Arial" w:eastAsia="Arial" w:hAnsi="Arial" w:cs="Arial"/>
          <w:sz w:val="20"/>
          <w:szCs w:val="20"/>
        </w:rPr>
        <w:lastRenderedPageBreak/>
        <w:t xml:space="preserve">In addition to the global MBA fellowship </w:t>
      </w:r>
      <w:proofErr w:type="spellStart"/>
      <w:r w:rsidRPr="00306F4D">
        <w:rPr>
          <w:rFonts w:ascii="Arial" w:eastAsia="Arial" w:hAnsi="Arial" w:cs="Arial"/>
          <w:sz w:val="20"/>
          <w:szCs w:val="20"/>
        </w:rPr>
        <w:t>programme</w:t>
      </w:r>
      <w:proofErr w:type="spellEnd"/>
      <w:r w:rsidRPr="00306F4D">
        <w:rPr>
          <w:rFonts w:ascii="Arial" w:eastAsia="Arial" w:hAnsi="Arial" w:cs="Arial"/>
          <w:sz w:val="20"/>
          <w:szCs w:val="20"/>
        </w:rPr>
        <w:t>, the project will actively seek partnerships with universities across the Western Balkans region</w:t>
      </w:r>
      <w:r w:rsidR="1BD304FD" w:rsidRPr="00306F4D">
        <w:rPr>
          <w:rFonts w:ascii="Arial" w:eastAsia="Arial" w:hAnsi="Arial" w:cs="Arial"/>
          <w:sz w:val="20"/>
          <w:szCs w:val="20"/>
        </w:rPr>
        <w:t xml:space="preserve"> to</w:t>
      </w:r>
      <w:r w:rsidRPr="00306F4D">
        <w:rPr>
          <w:rFonts w:ascii="Arial" w:eastAsia="Arial" w:hAnsi="Arial" w:cs="Arial"/>
          <w:sz w:val="20"/>
          <w:szCs w:val="20"/>
        </w:rPr>
        <w:t xml:space="preserve"> engag</w:t>
      </w:r>
      <w:r w:rsidR="60AA70D4" w:rsidRPr="00306F4D">
        <w:rPr>
          <w:rFonts w:ascii="Arial" w:eastAsia="Arial" w:hAnsi="Arial" w:cs="Arial"/>
          <w:sz w:val="20"/>
          <w:szCs w:val="20"/>
        </w:rPr>
        <w:t>e</w:t>
      </w:r>
      <w:r w:rsidRPr="00306F4D">
        <w:rPr>
          <w:rFonts w:ascii="Arial" w:eastAsia="Arial" w:hAnsi="Arial" w:cs="Arial"/>
          <w:sz w:val="20"/>
          <w:szCs w:val="20"/>
        </w:rPr>
        <w:t xml:space="preserve"> local students and faculty with climate adaptation innovators. These </w:t>
      </w:r>
      <w:r w:rsidR="43A832AC" w:rsidRPr="00306F4D">
        <w:rPr>
          <w:rFonts w:ascii="Arial" w:eastAsia="Arial" w:hAnsi="Arial" w:cs="Arial"/>
          <w:sz w:val="20"/>
          <w:szCs w:val="20"/>
        </w:rPr>
        <w:t xml:space="preserve">potential </w:t>
      </w:r>
      <w:r w:rsidRPr="00306F4D">
        <w:rPr>
          <w:rFonts w:ascii="Arial" w:eastAsia="Arial" w:hAnsi="Arial" w:cs="Arial"/>
          <w:sz w:val="20"/>
          <w:szCs w:val="20"/>
        </w:rPr>
        <w:t>collaborations will leverage regional expertise and cultural understanding while building institutional capacity, ensuring the sustainability of knowledge and expertise developed through the project beyond its duration. This approach will help ensure that knowledge and expertise developed through the project remain embedded within regional educational institutions, creating a sustainable foundation for continued support to future climate adaptation initiatives beyond the project's duration.</w:t>
      </w:r>
    </w:p>
    <w:p w14:paraId="7A253DAA" w14:textId="675CE872" w:rsidR="00475E34" w:rsidRPr="00306F4D" w:rsidRDefault="7D8B8C24" w:rsidP="00413459">
      <w:pPr>
        <w:spacing w:before="240" w:after="240" w:line="276" w:lineRule="auto"/>
        <w:jc w:val="both"/>
        <w:rPr>
          <w:rFonts w:ascii="Arial" w:eastAsia="Arial" w:hAnsi="Arial" w:cs="Arial"/>
          <w:sz w:val="20"/>
          <w:szCs w:val="20"/>
        </w:rPr>
      </w:pPr>
      <w:r w:rsidRPr="00306F4D">
        <w:rPr>
          <w:rFonts w:ascii="Arial" w:eastAsia="Arial" w:hAnsi="Arial" w:cs="Arial"/>
          <w:b/>
          <w:sz w:val="20"/>
          <w:szCs w:val="20"/>
        </w:rPr>
        <w:t>Investment and Partnership Expertise</w:t>
      </w:r>
    </w:p>
    <w:p w14:paraId="3255A30B" w14:textId="22EA8DF0" w:rsidR="00475E34" w:rsidRPr="00306F4D" w:rsidRDefault="7D8B8C24" w:rsidP="49C6F20D">
      <w:pPr>
        <w:spacing w:before="240" w:after="0" w:line="276" w:lineRule="auto"/>
        <w:jc w:val="both"/>
        <w:rPr>
          <w:rFonts w:ascii="Arial" w:eastAsia="Arial" w:hAnsi="Arial" w:cs="Arial"/>
          <w:sz w:val="20"/>
          <w:szCs w:val="20"/>
        </w:rPr>
      </w:pPr>
      <w:r w:rsidRPr="00306F4D">
        <w:rPr>
          <w:rFonts w:ascii="Arial" w:eastAsia="Arial" w:hAnsi="Arial" w:cs="Arial"/>
          <w:sz w:val="20"/>
          <w:szCs w:val="20"/>
        </w:rPr>
        <w:t xml:space="preserve">The project will maintain on-demand in-house investment and partnership expertise to support grantees in developing fundraising strategies, exploring potential financing partners, and structuring approaches for scaling. This technical support includes assistance with financial modeling, due diligence preparation, investor relations, and partnership negotiations with both public and private sector actors. </w:t>
      </w:r>
    </w:p>
    <w:p w14:paraId="0C696976" w14:textId="7642C4AF" w:rsidR="00475E34" w:rsidRPr="00306F4D" w:rsidRDefault="2C4B0D6F" w:rsidP="49C6F20D">
      <w:pPr>
        <w:spacing w:before="240" w:after="240" w:line="276" w:lineRule="auto"/>
        <w:jc w:val="both"/>
        <w:rPr>
          <w:rFonts w:ascii="Arial" w:eastAsia="Arial" w:hAnsi="Arial" w:cs="Arial"/>
          <w:sz w:val="20"/>
          <w:szCs w:val="20"/>
        </w:rPr>
      </w:pPr>
      <w:r w:rsidRPr="00306F4D">
        <w:rPr>
          <w:rFonts w:ascii="Arial" w:eastAsia="Arial" w:hAnsi="Arial" w:cs="Arial"/>
          <w:sz w:val="20"/>
          <w:szCs w:val="20"/>
        </w:rPr>
        <w:t>To further strengthen the investment readiness of grantees, where appropriate, the project will engage specialized venture philanthropy organizations through competitive procurement processes. These experts will provide tailored guidance on impact investment strategies, social enterprise development, and innovative financing mechanisms for climate adaptation ventures.</w:t>
      </w:r>
    </w:p>
    <w:p w14:paraId="5548FA57" w14:textId="5D608FC4" w:rsidR="00475E34" w:rsidRPr="00306F4D" w:rsidRDefault="2C4B0D6F" w:rsidP="49C6F20D">
      <w:pPr>
        <w:spacing w:before="240" w:after="240" w:line="276" w:lineRule="auto"/>
        <w:jc w:val="both"/>
        <w:rPr>
          <w:rFonts w:ascii="Arial" w:eastAsia="Arial" w:hAnsi="Arial" w:cs="Arial"/>
          <w:b/>
          <w:sz w:val="20"/>
          <w:szCs w:val="20"/>
        </w:rPr>
      </w:pPr>
      <w:r w:rsidRPr="00306F4D">
        <w:rPr>
          <w:rFonts w:ascii="Arial" w:eastAsia="Arial" w:hAnsi="Arial" w:cs="Arial"/>
          <w:sz w:val="20"/>
          <w:szCs w:val="20"/>
        </w:rPr>
        <w:t>Additionally, the project team will leverage UNDP AFCIA’s partnership model to facilitate connections between local grantees and potential investors. This will support the refinement of business models and enhance their investment-readiness. Through the MBA Fellowship Programme, MBA students from leading global universities will work with local grantees to refine business models, strengthen financial strategies, and expand market reach. This collaboration will not only provide technical expertise but also enhance the sustainability and scalability of adaptation solutions, driving long-term impact and fostering partnerships that can accelerate adaptation efforts across the region.</w:t>
      </w:r>
      <w:r w:rsidRPr="00306F4D">
        <w:rPr>
          <w:rFonts w:ascii="Arial" w:eastAsia="Arial" w:hAnsi="Arial" w:cs="Arial"/>
          <w:b/>
          <w:sz w:val="20"/>
          <w:szCs w:val="20"/>
        </w:rPr>
        <w:t xml:space="preserve"> </w:t>
      </w:r>
    </w:p>
    <w:p w14:paraId="128AB59B" w14:textId="2134FF3B" w:rsidR="00475E34" w:rsidRPr="00306F4D" w:rsidRDefault="7D8B8C24" w:rsidP="49C6F20D">
      <w:pPr>
        <w:spacing w:before="240" w:after="0" w:line="276" w:lineRule="auto"/>
        <w:jc w:val="both"/>
        <w:rPr>
          <w:rFonts w:ascii="Arial" w:eastAsia="Arial" w:hAnsi="Arial" w:cs="Arial"/>
          <w:sz w:val="20"/>
          <w:szCs w:val="20"/>
        </w:rPr>
      </w:pPr>
      <w:r w:rsidRPr="00306F4D">
        <w:rPr>
          <w:rFonts w:ascii="Arial" w:eastAsia="Arial" w:hAnsi="Arial" w:cs="Arial"/>
          <w:b/>
          <w:sz w:val="20"/>
          <w:szCs w:val="20"/>
        </w:rPr>
        <w:t>Financing Pathways and Market Integration</w:t>
      </w:r>
    </w:p>
    <w:p w14:paraId="1111BBB6" w14:textId="0885072F" w:rsidR="3A2A3A1F" w:rsidRPr="00306F4D" w:rsidRDefault="3A2A3A1F" w:rsidP="49C6F20D">
      <w:pPr>
        <w:spacing w:before="240" w:after="240"/>
        <w:jc w:val="both"/>
        <w:rPr>
          <w:rFonts w:ascii="Arial" w:eastAsia="Arial" w:hAnsi="Arial" w:cs="Arial"/>
          <w:sz w:val="20"/>
          <w:szCs w:val="20"/>
        </w:rPr>
      </w:pPr>
      <w:r w:rsidRPr="00306F4D">
        <w:rPr>
          <w:rFonts w:ascii="Arial" w:eastAsia="Arial" w:hAnsi="Arial" w:cs="Arial"/>
          <w:sz w:val="20"/>
          <w:szCs w:val="20"/>
        </w:rPr>
        <w:t>The project will assist grantees in exploring a variety of financing pathways, including concessional and blended finance opportunities, ensuring alignment with the most appropriate and sustainable funding mechanisms. In addition, the project will leverage UNDP's extensive portfolio of climate and environmental projects as potential scaling platforms to facilitate the growth of innovative solutions.</w:t>
      </w:r>
    </w:p>
    <w:p w14:paraId="339E7B14" w14:textId="5252FD8A" w:rsidR="3A2A3A1F" w:rsidRPr="00306F4D" w:rsidRDefault="3A2A3A1F" w:rsidP="49C6F20D">
      <w:pPr>
        <w:spacing w:before="240" w:after="240"/>
        <w:jc w:val="both"/>
        <w:rPr>
          <w:rFonts w:ascii="Arial" w:eastAsia="Arial" w:hAnsi="Arial" w:cs="Arial"/>
          <w:sz w:val="20"/>
          <w:szCs w:val="20"/>
        </w:rPr>
      </w:pPr>
      <w:r w:rsidRPr="00306F4D">
        <w:rPr>
          <w:rFonts w:ascii="Arial" w:eastAsia="Arial" w:hAnsi="Arial" w:cs="Arial"/>
          <w:sz w:val="20"/>
          <w:szCs w:val="20"/>
        </w:rPr>
        <w:t>Grantees will be introduced to government entities to explore available public funding mechanisms, creating opportunities for strategic collaborations with national institutions. This will enhance their access to both public and private sector funding, fostering market penetration and increasing sustainability potential. Additionally, the engagement of the four UNDP country offices in the Western Balkans and their extensive stakeholder networks will further support market integration, ensuring a broader and more impactful reach for adaptation solutions across the region.</w:t>
      </w:r>
    </w:p>
    <w:p w14:paraId="4EA4558C" w14:textId="77777777" w:rsidR="00475E34" w:rsidRPr="00306F4D" w:rsidRDefault="00475E34" w:rsidP="00475E34">
      <w:pPr>
        <w:spacing w:before="240" w:after="0" w:line="276" w:lineRule="auto"/>
        <w:jc w:val="both"/>
        <w:rPr>
          <w:rFonts w:ascii="Arial" w:eastAsia="Arial" w:hAnsi="Arial" w:cs="Arial"/>
          <w:sz w:val="20"/>
          <w:szCs w:val="20"/>
        </w:rPr>
      </w:pPr>
      <w:r w:rsidRPr="00306F4D">
        <w:rPr>
          <w:rFonts w:ascii="Arial" w:eastAsia="Arial" w:hAnsi="Arial" w:cs="Arial"/>
          <w:b/>
          <w:sz w:val="20"/>
          <w:szCs w:val="20"/>
        </w:rPr>
        <w:t>Showcase and Networking Opportunities</w:t>
      </w:r>
    </w:p>
    <w:p w14:paraId="1172B51A" w14:textId="0D14AAA4" w:rsidR="00475E34" w:rsidRPr="00306F4D" w:rsidRDefault="7D8B8C24" w:rsidP="49C6F20D">
      <w:pPr>
        <w:spacing w:before="240" w:after="0" w:line="276" w:lineRule="auto"/>
        <w:jc w:val="both"/>
        <w:rPr>
          <w:rFonts w:ascii="Arial" w:eastAsia="Arial" w:hAnsi="Arial" w:cs="Arial"/>
          <w:sz w:val="20"/>
          <w:szCs w:val="20"/>
        </w:rPr>
      </w:pPr>
      <w:r w:rsidRPr="00306F4D">
        <w:rPr>
          <w:rFonts w:ascii="Arial" w:eastAsia="Arial" w:hAnsi="Arial" w:cs="Arial"/>
          <w:sz w:val="20"/>
          <w:szCs w:val="20"/>
        </w:rPr>
        <w:t>Toward the end of grant implementation cycles, structured Pitching Events</w:t>
      </w:r>
      <w:r w:rsidR="0BC61028" w:rsidRPr="00306F4D">
        <w:rPr>
          <w:rFonts w:ascii="Arial" w:eastAsia="Arial" w:hAnsi="Arial" w:cs="Arial"/>
          <w:sz w:val="20"/>
          <w:szCs w:val="20"/>
        </w:rPr>
        <w:t xml:space="preserve"> at the national level</w:t>
      </w:r>
      <w:r w:rsidRPr="00306F4D">
        <w:rPr>
          <w:rFonts w:ascii="Arial" w:eastAsia="Arial" w:hAnsi="Arial" w:cs="Arial"/>
          <w:sz w:val="20"/>
          <w:szCs w:val="20"/>
        </w:rPr>
        <w:t xml:space="preserve"> will provide grantees with platforms to present their work and explore scaling and replication opportunities with potential investors and partners. Additionally, UNDP will </w:t>
      </w:r>
      <w:r w:rsidR="102BB696" w:rsidRPr="00306F4D">
        <w:rPr>
          <w:rFonts w:ascii="Arial" w:eastAsia="Arial" w:hAnsi="Arial" w:cs="Arial"/>
          <w:sz w:val="20"/>
          <w:szCs w:val="20"/>
        </w:rPr>
        <w:t xml:space="preserve">aim to </w:t>
      </w:r>
      <w:r w:rsidRPr="00306F4D">
        <w:rPr>
          <w:rFonts w:ascii="Arial" w:eastAsia="Arial" w:hAnsi="Arial" w:cs="Arial"/>
          <w:sz w:val="20"/>
          <w:szCs w:val="20"/>
        </w:rPr>
        <w:t xml:space="preserve">support grantee participation in high-level </w:t>
      </w:r>
      <w:r w:rsidR="0C06E0B5" w:rsidRPr="00306F4D">
        <w:rPr>
          <w:rFonts w:ascii="Arial" w:eastAsia="Arial" w:hAnsi="Arial" w:cs="Arial"/>
          <w:sz w:val="20"/>
          <w:szCs w:val="20"/>
        </w:rPr>
        <w:t>national</w:t>
      </w:r>
      <w:r w:rsidRPr="00306F4D">
        <w:rPr>
          <w:rFonts w:ascii="Arial" w:eastAsia="Arial" w:hAnsi="Arial" w:cs="Arial"/>
          <w:sz w:val="20"/>
          <w:szCs w:val="20"/>
        </w:rPr>
        <w:t xml:space="preserve"> </w:t>
      </w:r>
      <w:r w:rsidR="14017A90" w:rsidRPr="00306F4D">
        <w:rPr>
          <w:rFonts w:ascii="Arial" w:eastAsia="Arial" w:hAnsi="Arial" w:cs="Arial"/>
          <w:sz w:val="20"/>
          <w:szCs w:val="20"/>
        </w:rPr>
        <w:t xml:space="preserve">and international </w:t>
      </w:r>
      <w:r w:rsidRPr="00306F4D">
        <w:rPr>
          <w:rFonts w:ascii="Arial" w:eastAsia="Arial" w:hAnsi="Arial" w:cs="Arial"/>
          <w:sz w:val="20"/>
          <w:szCs w:val="20"/>
        </w:rPr>
        <w:t>events to showcase innovations and build networks that may facilitate future scaling opportunities.</w:t>
      </w:r>
    </w:p>
    <w:p w14:paraId="789A66BB" w14:textId="2B3FF8F5" w:rsidR="00475E34" w:rsidRPr="00306F4D" w:rsidRDefault="00475E34" w:rsidP="00475E34">
      <w:pPr>
        <w:spacing w:before="240" w:after="0" w:line="276" w:lineRule="auto"/>
        <w:jc w:val="both"/>
        <w:rPr>
          <w:rFonts w:ascii="Arial" w:eastAsia="Arial" w:hAnsi="Arial" w:cs="Arial"/>
          <w:sz w:val="20"/>
          <w:szCs w:val="20"/>
        </w:rPr>
      </w:pPr>
      <w:r w:rsidRPr="00306F4D">
        <w:rPr>
          <w:rFonts w:ascii="Arial" w:eastAsia="Arial" w:hAnsi="Arial" w:cs="Arial"/>
          <w:b/>
          <w:sz w:val="20"/>
          <w:szCs w:val="20"/>
        </w:rPr>
        <w:t>BOOST Acceleration Programme - Module on Fundraising and Investment Readiness</w:t>
      </w:r>
    </w:p>
    <w:p w14:paraId="018CAF3D" w14:textId="30B99F68" w:rsidR="00475E34" w:rsidRPr="00306F4D" w:rsidRDefault="26358DC7" w:rsidP="49C6F20D">
      <w:pPr>
        <w:spacing w:before="240" w:after="0" w:line="276" w:lineRule="auto"/>
        <w:jc w:val="both"/>
        <w:rPr>
          <w:rFonts w:ascii="Arial" w:eastAsia="Arial" w:hAnsi="Arial" w:cs="Arial"/>
          <w:b/>
          <w:sz w:val="20"/>
          <w:szCs w:val="20"/>
        </w:rPr>
      </w:pPr>
      <w:r w:rsidRPr="00306F4D">
        <w:rPr>
          <w:rFonts w:ascii="Arial" w:eastAsia="Arial" w:hAnsi="Arial" w:cs="Arial"/>
          <w:sz w:val="20"/>
          <w:szCs w:val="20"/>
        </w:rPr>
        <w:lastRenderedPageBreak/>
        <w:t xml:space="preserve">As part of the BOOST </w:t>
      </w:r>
      <w:proofErr w:type="spellStart"/>
      <w:r w:rsidRPr="00306F4D">
        <w:rPr>
          <w:rFonts w:ascii="Arial" w:eastAsia="Arial" w:hAnsi="Arial" w:cs="Arial"/>
          <w:sz w:val="20"/>
          <w:szCs w:val="20"/>
        </w:rPr>
        <w:t>programme</w:t>
      </w:r>
      <w:proofErr w:type="spellEnd"/>
      <w:r w:rsidRPr="00306F4D">
        <w:rPr>
          <w:rFonts w:ascii="Arial" w:eastAsia="Arial" w:hAnsi="Arial" w:cs="Arial"/>
          <w:sz w:val="20"/>
          <w:szCs w:val="20"/>
        </w:rPr>
        <w:t>, selected grantees will receive specialized support to strengthen their financing capabilities and investment readiness. This module provides tailored mentorship to improve solution communication, develop compelling pitch materials, and design comprehensive fundraising strategies. Participants will explore pathways to diverse financing sources, including public, private, and blended finance mechanisms, while investigating alternative financing tools such as crowdfunding</w:t>
      </w:r>
      <w:r w:rsidR="00B0224B" w:rsidRPr="00306F4D">
        <w:rPr>
          <w:rStyle w:val="FootnoteReference"/>
          <w:rFonts w:ascii="Arial" w:eastAsia="Arial" w:hAnsi="Arial" w:cs="Arial"/>
          <w:sz w:val="20"/>
          <w:szCs w:val="20"/>
        </w:rPr>
        <w:footnoteReference w:id="134"/>
      </w:r>
      <w:r w:rsidRPr="00306F4D">
        <w:rPr>
          <w:rFonts w:ascii="Arial" w:eastAsia="Arial" w:hAnsi="Arial" w:cs="Arial"/>
          <w:sz w:val="20"/>
          <w:szCs w:val="20"/>
        </w:rPr>
        <w:t xml:space="preserve"> and impact lending. This component aims to help promising innovations develop </w:t>
      </w:r>
      <w:r w:rsidR="67C966A7" w:rsidRPr="00306F4D">
        <w:rPr>
          <w:rFonts w:ascii="Arial" w:eastAsia="Arial" w:hAnsi="Arial" w:cs="Arial"/>
          <w:sz w:val="20"/>
          <w:szCs w:val="20"/>
        </w:rPr>
        <w:t>operational</w:t>
      </w:r>
      <w:r w:rsidRPr="00306F4D">
        <w:rPr>
          <w:rFonts w:ascii="Arial" w:eastAsia="Arial" w:hAnsi="Arial" w:cs="Arial"/>
          <w:sz w:val="20"/>
          <w:szCs w:val="20"/>
        </w:rPr>
        <w:t xml:space="preserve"> and financial foundations that may support long-term viability and scaling opportunities.</w:t>
      </w:r>
    </w:p>
    <w:p w14:paraId="273E3806" w14:textId="5C923E6E" w:rsidR="49F616BF" w:rsidRPr="00306F4D" w:rsidRDefault="49F616BF" w:rsidP="7DEB6770">
      <w:pPr>
        <w:spacing w:after="0"/>
        <w:jc w:val="both"/>
        <w:rPr>
          <w:rFonts w:ascii="Arial" w:eastAsia="Arial" w:hAnsi="Arial" w:cs="Arial"/>
          <w:b/>
          <w:bCs/>
          <w:i/>
          <w:iCs/>
          <w:color w:val="000000" w:themeColor="text1"/>
          <w:sz w:val="20"/>
          <w:szCs w:val="20"/>
        </w:rPr>
      </w:pPr>
    </w:p>
    <w:p w14:paraId="3D005DA7" w14:textId="77D7ECD8" w:rsidR="2D845516" w:rsidRPr="00306F4D" w:rsidRDefault="2D845516" w:rsidP="7DEB6770">
      <w:pPr>
        <w:spacing w:after="0"/>
        <w:jc w:val="both"/>
        <w:rPr>
          <w:rFonts w:ascii="Arial" w:eastAsia="Arial" w:hAnsi="Arial" w:cs="Arial"/>
          <w:b/>
          <w:i/>
          <w:color w:val="000000" w:themeColor="text1"/>
          <w:sz w:val="20"/>
          <w:szCs w:val="20"/>
        </w:rPr>
      </w:pPr>
      <w:r w:rsidRPr="00306F4D">
        <w:rPr>
          <w:rFonts w:ascii="Arial" w:eastAsia="Arial" w:hAnsi="Arial" w:cs="Arial"/>
          <w:b/>
          <w:i/>
          <w:color w:val="000000" w:themeColor="text1"/>
          <w:sz w:val="20"/>
          <w:szCs w:val="20"/>
        </w:rPr>
        <w:t>Output 2.</w:t>
      </w:r>
      <w:r w:rsidR="31964716" w:rsidRPr="00306F4D">
        <w:rPr>
          <w:rFonts w:ascii="Arial" w:eastAsia="Arial" w:hAnsi="Arial" w:cs="Arial"/>
          <w:b/>
          <w:i/>
          <w:color w:val="000000" w:themeColor="text1"/>
          <w:sz w:val="20"/>
          <w:szCs w:val="20"/>
        </w:rPr>
        <w:t>2</w:t>
      </w:r>
      <w:r w:rsidRPr="00306F4D">
        <w:rPr>
          <w:rFonts w:ascii="Arial" w:eastAsia="Arial" w:hAnsi="Arial" w:cs="Arial"/>
          <w:b/>
          <w:i/>
          <w:color w:val="000000" w:themeColor="text1"/>
          <w:sz w:val="20"/>
          <w:szCs w:val="20"/>
        </w:rPr>
        <w:t xml:space="preserve"> – Indicative Activities</w:t>
      </w:r>
    </w:p>
    <w:p w14:paraId="0B4791F1" w14:textId="44BC5618" w:rsidR="687FF18A" w:rsidRPr="00306F4D" w:rsidRDefault="687FF18A" w:rsidP="00EC54D1">
      <w:pPr>
        <w:pStyle w:val="ListParagraph"/>
        <w:numPr>
          <w:ilvl w:val="0"/>
          <w:numId w:val="18"/>
        </w:numPr>
        <w:spacing w:before="240" w:after="240"/>
        <w:jc w:val="both"/>
        <w:rPr>
          <w:rFonts w:ascii="Arial" w:eastAsia="Arial" w:hAnsi="Arial" w:cs="Arial"/>
          <w:color w:val="000000" w:themeColor="text1"/>
          <w:sz w:val="20"/>
          <w:szCs w:val="20"/>
          <w:lang w:val="en-GB"/>
        </w:rPr>
      </w:pPr>
      <w:r w:rsidRPr="00306F4D">
        <w:rPr>
          <w:rFonts w:ascii="Arial" w:eastAsia="Arial" w:hAnsi="Arial" w:cs="Arial"/>
          <w:b/>
          <w:color w:val="000000" w:themeColor="text1"/>
          <w:sz w:val="20"/>
          <w:szCs w:val="20"/>
          <w:lang w:val="en-GB"/>
        </w:rPr>
        <w:t>Map Potential Public and Private Sector Partners for Scaling and Integration</w:t>
      </w:r>
      <w:r w:rsidR="7B4F9AB9" w:rsidRPr="00306F4D">
        <w:rPr>
          <w:rFonts w:ascii="Arial" w:eastAsia="Arial" w:hAnsi="Arial" w:cs="Arial"/>
          <w:b/>
          <w:color w:val="000000" w:themeColor="text1"/>
          <w:sz w:val="20"/>
          <w:szCs w:val="20"/>
          <w:lang w:val="en-GB"/>
        </w:rPr>
        <w:t xml:space="preserve">, </w:t>
      </w:r>
      <w:r w:rsidR="41A18A4D" w:rsidRPr="00306F4D">
        <w:rPr>
          <w:rFonts w:ascii="Arial" w:eastAsia="Arial" w:hAnsi="Arial" w:cs="Arial"/>
          <w:b/>
          <w:color w:val="000000" w:themeColor="text1"/>
          <w:sz w:val="20"/>
          <w:szCs w:val="20"/>
          <w:lang w:val="en-GB"/>
        </w:rPr>
        <w:t>i</w:t>
      </w:r>
      <w:r w:rsidRPr="00306F4D">
        <w:rPr>
          <w:rFonts w:ascii="Arial" w:eastAsia="Arial" w:hAnsi="Arial" w:cs="Arial"/>
          <w:color w:val="000000" w:themeColor="text1"/>
          <w:sz w:val="20"/>
          <w:szCs w:val="20"/>
          <w:lang w:val="en-GB"/>
        </w:rPr>
        <w:t>nclude the country office stakeholder ecosystem—ministries, local governments, cooperatives, and MSMEs.</w:t>
      </w:r>
    </w:p>
    <w:p w14:paraId="7985B10F" w14:textId="5D5C213C" w:rsidR="687FF18A" w:rsidRPr="00306F4D" w:rsidRDefault="687FF18A" w:rsidP="00EC54D1">
      <w:pPr>
        <w:pStyle w:val="ListParagraph"/>
        <w:numPr>
          <w:ilvl w:val="0"/>
          <w:numId w:val="18"/>
        </w:numPr>
        <w:spacing w:before="240" w:after="240"/>
        <w:rPr>
          <w:rFonts w:ascii="Arial" w:eastAsia="Arial" w:hAnsi="Arial" w:cs="Arial"/>
          <w:color w:val="000000" w:themeColor="text1"/>
          <w:sz w:val="20"/>
          <w:szCs w:val="20"/>
          <w:lang w:val="en-GB"/>
        </w:rPr>
      </w:pPr>
      <w:r w:rsidRPr="00306F4D">
        <w:rPr>
          <w:rFonts w:ascii="Arial" w:eastAsia="Arial" w:hAnsi="Arial" w:cs="Arial"/>
          <w:b/>
          <w:color w:val="000000" w:themeColor="text1"/>
          <w:sz w:val="20"/>
          <w:szCs w:val="20"/>
          <w:lang w:val="en-GB"/>
        </w:rPr>
        <w:t>Facilitate Investor Brokering</w:t>
      </w:r>
      <w:r w:rsidR="14D98090" w:rsidRPr="00306F4D">
        <w:rPr>
          <w:rFonts w:ascii="Arial" w:eastAsia="Arial" w:hAnsi="Arial" w:cs="Arial"/>
          <w:b/>
          <w:color w:val="000000" w:themeColor="text1"/>
          <w:sz w:val="20"/>
          <w:szCs w:val="20"/>
          <w:lang w:val="en-GB"/>
        </w:rPr>
        <w:t>,</w:t>
      </w:r>
      <w:r w:rsidR="77C197CD" w:rsidRPr="00306F4D">
        <w:rPr>
          <w:rFonts w:ascii="Arial" w:eastAsia="Arial" w:hAnsi="Arial" w:cs="Arial"/>
          <w:b/>
          <w:color w:val="000000" w:themeColor="text1"/>
          <w:sz w:val="20"/>
          <w:szCs w:val="20"/>
          <w:lang w:val="en-GB"/>
        </w:rPr>
        <w:t xml:space="preserve"> </w:t>
      </w:r>
      <w:r w:rsidR="03DF3709" w:rsidRPr="00306F4D">
        <w:rPr>
          <w:rFonts w:ascii="Arial" w:eastAsia="Arial" w:hAnsi="Arial" w:cs="Arial"/>
          <w:b/>
          <w:color w:val="000000" w:themeColor="text1"/>
          <w:sz w:val="20"/>
          <w:szCs w:val="20"/>
          <w:lang w:val="en-GB"/>
        </w:rPr>
        <w:t>o</w:t>
      </w:r>
      <w:r w:rsidRPr="00306F4D">
        <w:rPr>
          <w:rFonts w:ascii="Arial" w:eastAsia="Arial" w:hAnsi="Arial" w:cs="Arial"/>
          <w:color w:val="000000" w:themeColor="text1"/>
          <w:sz w:val="20"/>
          <w:szCs w:val="20"/>
          <w:lang w:val="en-GB"/>
        </w:rPr>
        <w:t>rganize sector-specific innovation fairs or B2B meetings.</w:t>
      </w:r>
    </w:p>
    <w:p w14:paraId="29F210AF" w14:textId="17B2F358" w:rsidR="687FF18A" w:rsidRPr="00306F4D" w:rsidRDefault="687FF18A" w:rsidP="00EC54D1">
      <w:pPr>
        <w:pStyle w:val="ListParagraph"/>
        <w:numPr>
          <w:ilvl w:val="0"/>
          <w:numId w:val="18"/>
        </w:numPr>
        <w:spacing w:before="240" w:after="240"/>
        <w:rPr>
          <w:rFonts w:ascii="Arial" w:eastAsia="Arial" w:hAnsi="Arial" w:cs="Arial"/>
          <w:color w:val="000000" w:themeColor="text1"/>
          <w:sz w:val="20"/>
          <w:szCs w:val="20"/>
          <w:lang w:val="en-GB"/>
        </w:rPr>
      </w:pPr>
      <w:r w:rsidRPr="00306F4D">
        <w:rPr>
          <w:rFonts w:ascii="Arial" w:eastAsia="Arial" w:hAnsi="Arial" w:cs="Arial"/>
          <w:b/>
          <w:color w:val="000000" w:themeColor="text1"/>
          <w:sz w:val="20"/>
          <w:szCs w:val="20"/>
          <w:lang w:val="en-GB"/>
        </w:rPr>
        <w:t>Conduct Policy Dialogues and Roundtables to Present Innovation Outcomes</w:t>
      </w:r>
      <w:r w:rsidR="1C7674BB" w:rsidRPr="00306F4D">
        <w:rPr>
          <w:rFonts w:ascii="Arial" w:eastAsia="Arial" w:hAnsi="Arial" w:cs="Arial"/>
          <w:b/>
          <w:color w:val="000000" w:themeColor="text1"/>
          <w:sz w:val="20"/>
          <w:szCs w:val="20"/>
          <w:lang w:val="en-GB"/>
        </w:rPr>
        <w:t>,</w:t>
      </w:r>
      <w:r w:rsidR="133E66B1" w:rsidRPr="00306F4D">
        <w:rPr>
          <w:rFonts w:ascii="Arial" w:eastAsia="Arial" w:hAnsi="Arial" w:cs="Arial"/>
          <w:b/>
          <w:color w:val="000000" w:themeColor="text1"/>
          <w:sz w:val="20"/>
          <w:szCs w:val="20"/>
          <w:lang w:val="en-GB"/>
        </w:rPr>
        <w:t xml:space="preserve"> </w:t>
      </w:r>
      <w:r w:rsidR="18633C71" w:rsidRPr="00306F4D">
        <w:rPr>
          <w:rFonts w:ascii="Arial" w:eastAsia="Arial" w:hAnsi="Arial" w:cs="Arial"/>
          <w:color w:val="000000" w:themeColor="text1"/>
          <w:sz w:val="20"/>
          <w:szCs w:val="20"/>
          <w:lang w:val="en-GB"/>
        </w:rPr>
        <w:t>e</w:t>
      </w:r>
      <w:r w:rsidRPr="00306F4D">
        <w:rPr>
          <w:rFonts w:ascii="Arial" w:eastAsia="Arial" w:hAnsi="Arial" w:cs="Arial"/>
          <w:color w:val="000000" w:themeColor="text1"/>
          <w:sz w:val="20"/>
          <w:szCs w:val="20"/>
          <w:lang w:val="en-GB"/>
        </w:rPr>
        <w:t>ngage policymakers early to build buy-in.</w:t>
      </w:r>
    </w:p>
    <w:p w14:paraId="72791E57" w14:textId="33D84C03" w:rsidR="687FF18A" w:rsidRPr="00306F4D" w:rsidRDefault="687FF18A" w:rsidP="00EC54D1">
      <w:pPr>
        <w:pStyle w:val="ListParagraph"/>
        <w:numPr>
          <w:ilvl w:val="0"/>
          <w:numId w:val="18"/>
        </w:numPr>
        <w:spacing w:before="240" w:after="240"/>
        <w:rPr>
          <w:rFonts w:ascii="Arial" w:eastAsia="Arial" w:hAnsi="Arial" w:cs="Arial"/>
          <w:color w:val="000000" w:themeColor="text1"/>
          <w:sz w:val="20"/>
          <w:szCs w:val="20"/>
          <w:lang w:val="en-GB"/>
        </w:rPr>
      </w:pPr>
      <w:r w:rsidRPr="00306F4D">
        <w:rPr>
          <w:rFonts w:ascii="Arial" w:eastAsia="Arial" w:hAnsi="Arial" w:cs="Arial"/>
          <w:b/>
          <w:color w:val="000000" w:themeColor="text1"/>
          <w:sz w:val="20"/>
          <w:szCs w:val="20"/>
          <w:lang w:val="en-GB"/>
        </w:rPr>
        <w:t>Support Pilot Integration of Selected Innovations into Public Programs or Private Sector Supply Chains</w:t>
      </w:r>
      <w:r w:rsidR="240DB144" w:rsidRPr="00306F4D">
        <w:rPr>
          <w:rFonts w:ascii="Arial" w:eastAsia="Arial" w:hAnsi="Arial" w:cs="Arial"/>
          <w:b/>
          <w:color w:val="000000" w:themeColor="text1"/>
          <w:sz w:val="20"/>
          <w:szCs w:val="20"/>
          <w:lang w:val="en-GB"/>
        </w:rPr>
        <w:t xml:space="preserve">, </w:t>
      </w:r>
      <w:r w:rsidR="240DB144" w:rsidRPr="00306F4D">
        <w:rPr>
          <w:rFonts w:ascii="Arial" w:eastAsia="Arial" w:hAnsi="Arial" w:cs="Arial"/>
          <w:color w:val="000000" w:themeColor="text1"/>
          <w:sz w:val="20"/>
          <w:szCs w:val="20"/>
          <w:lang w:val="en-GB"/>
        </w:rPr>
        <w:t>p</w:t>
      </w:r>
      <w:r w:rsidRPr="00306F4D">
        <w:rPr>
          <w:rFonts w:ascii="Arial" w:eastAsia="Arial" w:hAnsi="Arial" w:cs="Arial"/>
          <w:color w:val="000000" w:themeColor="text1"/>
          <w:sz w:val="20"/>
          <w:szCs w:val="20"/>
          <w:lang w:val="en-GB"/>
        </w:rPr>
        <w:t>rovide technical assistance and co-financing where needed.</w:t>
      </w:r>
    </w:p>
    <w:p w14:paraId="6E0F8249" w14:textId="40B0C55A" w:rsidR="2D845516" w:rsidRPr="00306F4D" w:rsidRDefault="687FF18A" w:rsidP="00EC54D1">
      <w:pPr>
        <w:pStyle w:val="ListParagraph"/>
        <w:numPr>
          <w:ilvl w:val="0"/>
          <w:numId w:val="18"/>
        </w:numPr>
        <w:spacing w:before="240" w:after="240"/>
        <w:rPr>
          <w:rFonts w:ascii="Arial" w:eastAsia="Arial" w:hAnsi="Arial" w:cs="Arial"/>
          <w:color w:val="000000" w:themeColor="text1"/>
          <w:sz w:val="20"/>
          <w:szCs w:val="20"/>
          <w:lang w:val="en-GB"/>
        </w:rPr>
      </w:pPr>
      <w:r w:rsidRPr="00306F4D">
        <w:rPr>
          <w:rFonts w:ascii="Arial" w:eastAsia="Arial" w:hAnsi="Arial" w:cs="Arial"/>
          <w:b/>
          <w:color w:val="000000" w:themeColor="text1"/>
          <w:sz w:val="20"/>
          <w:szCs w:val="20"/>
          <w:lang w:val="en-GB"/>
        </w:rPr>
        <w:t>Develop Case Studies and Policy Briefs Showcasing Successful Innovations</w:t>
      </w:r>
      <w:r w:rsidR="61FF38FE" w:rsidRPr="00306F4D">
        <w:rPr>
          <w:rFonts w:ascii="Arial" w:eastAsia="Arial" w:hAnsi="Arial" w:cs="Arial"/>
          <w:b/>
          <w:color w:val="000000" w:themeColor="text1"/>
          <w:sz w:val="20"/>
          <w:szCs w:val="20"/>
          <w:lang w:val="en-GB"/>
        </w:rPr>
        <w:t xml:space="preserve">, </w:t>
      </w:r>
      <w:r w:rsidR="61FF38FE" w:rsidRPr="00306F4D">
        <w:rPr>
          <w:rFonts w:ascii="Arial" w:eastAsia="Arial" w:hAnsi="Arial" w:cs="Arial"/>
          <w:color w:val="000000" w:themeColor="text1"/>
          <w:sz w:val="20"/>
          <w:szCs w:val="20"/>
          <w:lang w:val="en-GB"/>
        </w:rPr>
        <w:t>di</w:t>
      </w:r>
      <w:r w:rsidRPr="00306F4D">
        <w:rPr>
          <w:rFonts w:ascii="Arial" w:eastAsia="Arial" w:hAnsi="Arial" w:cs="Arial"/>
          <w:color w:val="000000" w:themeColor="text1"/>
          <w:sz w:val="20"/>
          <w:szCs w:val="20"/>
          <w:lang w:val="en-GB"/>
        </w:rPr>
        <w:t>sseminate through national and regional platforms.</w:t>
      </w:r>
    </w:p>
    <w:p w14:paraId="2006A2B4" w14:textId="4EB7233D" w:rsidR="00B13BDF" w:rsidRPr="00306F4D" w:rsidRDefault="1C7DFD84" w:rsidP="4186447D">
      <w:pPr>
        <w:spacing w:before="240" w:after="0" w:line="276" w:lineRule="auto"/>
        <w:jc w:val="both"/>
        <w:rPr>
          <w:rFonts w:ascii="Arial" w:eastAsia="Arial" w:hAnsi="Arial" w:cs="Arial"/>
          <w:b/>
          <w:iCs/>
          <w:color w:val="2F5496" w:themeColor="accent1" w:themeShade="BF"/>
          <w:sz w:val="20"/>
          <w:szCs w:val="20"/>
          <w:lang w:val="en-GB"/>
        </w:rPr>
      </w:pPr>
      <w:r w:rsidRPr="00306F4D">
        <w:rPr>
          <w:rFonts w:ascii="Arial" w:eastAsia="Arial" w:hAnsi="Arial" w:cs="Arial"/>
          <w:b/>
          <w:iCs/>
          <w:color w:val="2F5496" w:themeColor="accent1" w:themeShade="BF"/>
          <w:sz w:val="20"/>
          <w:szCs w:val="20"/>
          <w:lang w:val="en-GB"/>
        </w:rPr>
        <w:t>Component 3: Knowledge Management and Regional Collaboration</w:t>
      </w:r>
    </w:p>
    <w:p w14:paraId="273C4ED1" w14:textId="77777777" w:rsidR="00FE1327" w:rsidRPr="00306F4D" w:rsidRDefault="00FE1327" w:rsidP="695697BF">
      <w:pPr>
        <w:spacing w:after="0" w:line="276" w:lineRule="auto"/>
        <w:rPr>
          <w:rFonts w:ascii="Arial" w:eastAsia="Arial" w:hAnsi="Arial" w:cs="Arial"/>
          <w:b/>
          <w:iCs/>
          <w:color w:val="2F5496" w:themeColor="accent1" w:themeShade="BF"/>
          <w:sz w:val="20"/>
          <w:szCs w:val="20"/>
          <w:lang w:val="en-GB"/>
        </w:rPr>
      </w:pPr>
    </w:p>
    <w:p w14:paraId="5A42C771" w14:textId="77777777" w:rsidR="00FE1327" w:rsidRPr="00306F4D" w:rsidRDefault="00FE1327" w:rsidP="00FA5185">
      <w:pPr>
        <w:spacing w:after="0" w:line="276" w:lineRule="auto"/>
        <w:jc w:val="both"/>
        <w:rPr>
          <w:rFonts w:ascii="Arial" w:eastAsia="Arial" w:hAnsi="Arial" w:cs="Arial"/>
          <w:b/>
          <w:iCs/>
          <w:color w:val="auto"/>
          <w:sz w:val="20"/>
          <w:szCs w:val="20"/>
        </w:rPr>
      </w:pPr>
      <w:r w:rsidRPr="00306F4D">
        <w:rPr>
          <w:rFonts w:ascii="Arial" w:eastAsia="Arial" w:hAnsi="Arial" w:cs="Arial"/>
          <w:b/>
          <w:iCs/>
          <w:color w:val="000000" w:themeColor="text1"/>
          <w:sz w:val="20"/>
          <w:szCs w:val="20"/>
          <w:lang w:val="en-GB"/>
        </w:rPr>
        <w:t xml:space="preserve">Outcome 3: </w:t>
      </w:r>
      <w:r w:rsidRPr="00306F4D">
        <w:rPr>
          <w:rFonts w:ascii="Arial" w:eastAsia="Arial" w:hAnsi="Arial" w:cs="Arial"/>
          <w:b/>
          <w:iCs/>
          <w:color w:val="auto"/>
          <w:sz w:val="20"/>
          <w:szCs w:val="20"/>
        </w:rPr>
        <w:t xml:space="preserve"> Knowledge, evidence, and lessons from adaptation innovations are captured, shared, and leveraged to inform replication, scale and policy engagement across the Western Balkans through regional learning platform and global networks.</w:t>
      </w:r>
    </w:p>
    <w:p w14:paraId="0505FAD8" w14:textId="77777777" w:rsidR="00861C88" w:rsidRPr="00306F4D" w:rsidRDefault="00861C88" w:rsidP="00FA5185">
      <w:pPr>
        <w:spacing w:after="0" w:line="276" w:lineRule="auto"/>
        <w:jc w:val="both"/>
        <w:rPr>
          <w:rFonts w:ascii="Arial" w:eastAsia="Arial" w:hAnsi="Arial" w:cs="Arial"/>
          <w:color w:val="auto"/>
          <w:sz w:val="20"/>
          <w:szCs w:val="20"/>
        </w:rPr>
      </w:pPr>
    </w:p>
    <w:p w14:paraId="054639FC" w14:textId="0400CA95" w:rsidR="00FA5185" w:rsidRPr="00306F4D" w:rsidRDefault="6EBDD87F" w:rsidP="49C6F20D">
      <w:pPr>
        <w:spacing w:after="0" w:line="276" w:lineRule="auto"/>
        <w:jc w:val="both"/>
        <w:rPr>
          <w:rFonts w:ascii="Arial" w:eastAsia="Arial" w:hAnsi="Arial" w:cs="Arial"/>
          <w:sz w:val="20"/>
          <w:szCs w:val="20"/>
        </w:rPr>
      </w:pPr>
      <w:r w:rsidRPr="00306F4D">
        <w:rPr>
          <w:rFonts w:ascii="Arial" w:eastAsia="Arial" w:hAnsi="Arial" w:cs="Arial"/>
          <w:sz w:val="20"/>
          <w:szCs w:val="20"/>
        </w:rPr>
        <w:t xml:space="preserve">Innovation thrives through shared learning and collaborative exchange. Recognizing that sustainable climate adaptation requires continuous knowledge sharing to scale innovative solutions, Component 3 establishes a comprehensive framework for capturing, synthesizing, and disseminating insights from </w:t>
      </w:r>
      <w:proofErr w:type="gramStart"/>
      <w:r w:rsidRPr="00306F4D">
        <w:rPr>
          <w:rFonts w:ascii="Arial" w:eastAsia="Arial" w:hAnsi="Arial" w:cs="Arial"/>
          <w:sz w:val="20"/>
          <w:szCs w:val="20"/>
        </w:rPr>
        <w:t>locally-led</w:t>
      </w:r>
      <w:proofErr w:type="gramEnd"/>
      <w:r w:rsidRPr="00306F4D">
        <w:rPr>
          <w:rFonts w:ascii="Arial" w:eastAsia="Arial" w:hAnsi="Arial" w:cs="Arial"/>
          <w:sz w:val="20"/>
          <w:szCs w:val="20"/>
        </w:rPr>
        <w:t xml:space="preserve"> adaptation innovations across the Western Balkans. This component will </w:t>
      </w:r>
      <w:r w:rsidR="40D522B0" w:rsidRPr="00306F4D">
        <w:rPr>
          <w:rFonts w:ascii="Arial" w:eastAsia="Arial" w:hAnsi="Arial" w:cs="Arial"/>
          <w:sz w:val="20"/>
          <w:szCs w:val="20"/>
        </w:rPr>
        <w:t>design and implement</w:t>
      </w:r>
      <w:r w:rsidRPr="00306F4D">
        <w:rPr>
          <w:rFonts w:ascii="Arial" w:eastAsia="Arial" w:hAnsi="Arial" w:cs="Arial"/>
          <w:sz w:val="20"/>
          <w:szCs w:val="20"/>
        </w:rPr>
        <w:t xml:space="preserve"> peer learning and cross-border collaboration, ensuring that successful adaptation practices and lessons learned are effectively shared among communities, practitioners, and policymakers throughout the region and beyond. Through both formal regional platforms and flexible, responsive learning support directly tailored to grantee needs, this outcome will maximize the </w:t>
      </w:r>
      <w:r w:rsidR="1FA761F2" w:rsidRPr="00306F4D">
        <w:rPr>
          <w:rFonts w:ascii="Arial" w:eastAsia="Arial" w:hAnsi="Arial" w:cs="Arial"/>
          <w:sz w:val="20"/>
          <w:szCs w:val="20"/>
        </w:rPr>
        <w:t xml:space="preserve">visibility and </w:t>
      </w:r>
      <w:r w:rsidRPr="00306F4D">
        <w:rPr>
          <w:rFonts w:ascii="Arial" w:eastAsia="Arial" w:hAnsi="Arial" w:cs="Arial"/>
          <w:sz w:val="20"/>
          <w:szCs w:val="20"/>
        </w:rPr>
        <w:t>replication potential of proven adaptation solutions while building lasting capacity for innovation and knowledge management across Bosnia and Herzegovina, Montenegro, North Macedonia, and Serbia.</w:t>
      </w:r>
    </w:p>
    <w:p w14:paraId="7FFBCFC2" w14:textId="3981E247" w:rsidR="58D8FBEF" w:rsidRPr="00306F4D" w:rsidRDefault="58D8FBEF" w:rsidP="00FA5185">
      <w:pPr>
        <w:spacing w:after="0"/>
        <w:jc w:val="both"/>
        <w:rPr>
          <w:rFonts w:ascii="Arial" w:eastAsia="Arial" w:hAnsi="Arial" w:cs="Arial"/>
          <w:sz w:val="20"/>
          <w:szCs w:val="20"/>
        </w:rPr>
      </w:pPr>
    </w:p>
    <w:p w14:paraId="1FEEA4A0" w14:textId="77777777" w:rsidR="00861C88" w:rsidRPr="00306F4D" w:rsidRDefault="00861C88" w:rsidP="00FA5185">
      <w:pPr>
        <w:spacing w:after="0" w:line="276" w:lineRule="auto"/>
        <w:jc w:val="both"/>
        <w:rPr>
          <w:rFonts w:ascii="Arial" w:eastAsia="Arial" w:hAnsi="Arial" w:cs="Arial"/>
          <w:b/>
          <w:i/>
          <w:color w:val="auto"/>
          <w:sz w:val="20"/>
          <w:szCs w:val="20"/>
        </w:rPr>
      </w:pPr>
      <w:r w:rsidRPr="00306F4D">
        <w:rPr>
          <w:rFonts w:ascii="Arial" w:eastAsia="Arial" w:hAnsi="Arial" w:cs="Arial"/>
          <w:b/>
          <w:i/>
          <w:color w:val="auto"/>
          <w:sz w:val="20"/>
          <w:szCs w:val="20"/>
        </w:rPr>
        <w:t>Output 3.1: Regional knowledge exchange platforms and collaboration mechanisms are established to facilitate peer learning, cross-border dialogue, and community-of-practice engagement among adaptation actors.</w:t>
      </w:r>
    </w:p>
    <w:p w14:paraId="09538672" w14:textId="77777777" w:rsidR="00FE1327" w:rsidRPr="00306F4D" w:rsidRDefault="00FE1327" w:rsidP="00FA5185">
      <w:pPr>
        <w:spacing w:after="0"/>
        <w:jc w:val="both"/>
        <w:rPr>
          <w:rFonts w:ascii="Arial" w:eastAsia="Arial" w:hAnsi="Arial" w:cs="Arial"/>
          <w:sz w:val="20"/>
          <w:szCs w:val="20"/>
        </w:rPr>
      </w:pPr>
    </w:p>
    <w:p w14:paraId="43A5D7A6" w14:textId="3F552BBF" w:rsidR="00861C88" w:rsidRPr="00306F4D" w:rsidRDefault="66425110" w:rsidP="49C6F20D">
      <w:pPr>
        <w:spacing w:after="0"/>
        <w:jc w:val="both"/>
        <w:rPr>
          <w:rFonts w:ascii="Arial" w:eastAsia="Arial" w:hAnsi="Arial" w:cs="Arial"/>
          <w:sz w:val="20"/>
          <w:szCs w:val="20"/>
        </w:rPr>
      </w:pPr>
      <w:r w:rsidRPr="00306F4D">
        <w:rPr>
          <w:rFonts w:ascii="Arial" w:eastAsia="Arial" w:hAnsi="Arial" w:cs="Arial"/>
          <w:sz w:val="20"/>
          <w:szCs w:val="20"/>
        </w:rPr>
        <w:t xml:space="preserve">A comprehensive knowledge-sharing </w:t>
      </w:r>
      <w:r w:rsidR="1D1081F8" w:rsidRPr="00306F4D">
        <w:rPr>
          <w:rFonts w:ascii="Arial" w:eastAsia="Arial" w:hAnsi="Arial" w:cs="Arial"/>
          <w:sz w:val="20"/>
          <w:szCs w:val="20"/>
        </w:rPr>
        <w:t>mechanism</w:t>
      </w:r>
      <w:r w:rsidRPr="00306F4D">
        <w:rPr>
          <w:rFonts w:ascii="Arial" w:eastAsia="Arial" w:hAnsi="Arial" w:cs="Arial"/>
          <w:sz w:val="20"/>
          <w:szCs w:val="20"/>
        </w:rPr>
        <w:t xml:space="preserve"> will be established under this output, focusing on facilitating the exchange of </w:t>
      </w:r>
      <w:r w:rsidR="25AA7826" w:rsidRPr="00306F4D">
        <w:rPr>
          <w:rFonts w:ascii="Arial" w:eastAsia="Arial" w:hAnsi="Arial" w:cs="Arial"/>
          <w:sz w:val="20"/>
          <w:szCs w:val="20"/>
        </w:rPr>
        <w:t>relevant</w:t>
      </w:r>
      <w:r w:rsidRPr="00306F4D">
        <w:rPr>
          <w:rFonts w:ascii="Arial" w:eastAsia="Arial" w:hAnsi="Arial" w:cs="Arial"/>
          <w:sz w:val="20"/>
          <w:szCs w:val="20"/>
        </w:rPr>
        <w:t xml:space="preserve"> practices, lessons learned, and innovative solutions. This system will leverage existing regional knowledge and experiences from UNDP's initiatives, particularly in the Istanbul Regional Hub and Western Balkans Country Offices, </w:t>
      </w:r>
      <w:r w:rsidR="45B64EBB" w:rsidRPr="00306F4D">
        <w:rPr>
          <w:rFonts w:ascii="Arial" w:eastAsia="Arial" w:hAnsi="Arial" w:cs="Arial"/>
          <w:sz w:val="20"/>
          <w:szCs w:val="20"/>
        </w:rPr>
        <w:t>UNDP C</w:t>
      </w:r>
      <w:r w:rsidRPr="00306F4D">
        <w:rPr>
          <w:rFonts w:ascii="Arial" w:eastAsia="Arial" w:hAnsi="Arial" w:cs="Arial"/>
          <w:sz w:val="20"/>
          <w:szCs w:val="20"/>
        </w:rPr>
        <w:t>limate Promise</w:t>
      </w:r>
      <w:r w:rsidR="23746876" w:rsidRPr="00306F4D">
        <w:rPr>
          <w:rFonts w:ascii="Arial" w:eastAsia="Arial" w:hAnsi="Arial" w:cs="Arial"/>
          <w:sz w:val="20"/>
          <w:szCs w:val="20"/>
        </w:rPr>
        <w:t>,</w:t>
      </w:r>
      <w:r w:rsidRPr="00306F4D">
        <w:rPr>
          <w:rFonts w:ascii="Arial" w:eastAsia="Arial" w:hAnsi="Arial" w:cs="Arial"/>
          <w:sz w:val="20"/>
          <w:szCs w:val="20"/>
        </w:rPr>
        <w:t xml:space="preserve"> </w:t>
      </w:r>
      <w:r w:rsidR="3953E3BE" w:rsidRPr="00306F4D">
        <w:rPr>
          <w:rFonts w:ascii="Arial" w:eastAsia="Arial" w:hAnsi="Arial" w:cs="Arial"/>
          <w:sz w:val="20"/>
          <w:szCs w:val="20"/>
        </w:rPr>
        <w:t xml:space="preserve">UNDP implemented AFCIA project, </w:t>
      </w:r>
      <w:r w:rsidRPr="00306F4D">
        <w:rPr>
          <w:rFonts w:ascii="Arial" w:eastAsia="Arial" w:hAnsi="Arial" w:cs="Arial"/>
          <w:sz w:val="20"/>
          <w:szCs w:val="20"/>
        </w:rPr>
        <w:t xml:space="preserve">using a variety of channels such as social media, blogs, working papers, case studies, and open-source tools. Rather than </w:t>
      </w:r>
      <w:r w:rsidRPr="00306F4D">
        <w:rPr>
          <w:rFonts w:ascii="Arial" w:eastAsia="Arial" w:hAnsi="Arial" w:cs="Arial"/>
          <w:sz w:val="20"/>
          <w:szCs w:val="20"/>
        </w:rPr>
        <w:lastRenderedPageBreak/>
        <w:t>developing an online platform, the focus will be on creating a flexible structure that ensures broad access to knowledge through these multiple channels</w:t>
      </w:r>
      <w:r w:rsidR="6263C1C7" w:rsidRPr="00306F4D">
        <w:rPr>
          <w:rFonts w:ascii="Arial" w:eastAsia="Arial" w:hAnsi="Arial" w:cs="Arial"/>
          <w:sz w:val="20"/>
          <w:szCs w:val="20"/>
        </w:rPr>
        <w:t>, and the creation of a community of practice</w:t>
      </w:r>
      <w:r w:rsidR="7D6F506B" w:rsidRPr="00306F4D">
        <w:rPr>
          <w:rFonts w:ascii="Arial" w:eastAsia="Arial" w:hAnsi="Arial" w:cs="Arial"/>
          <w:sz w:val="20"/>
          <w:szCs w:val="20"/>
        </w:rPr>
        <w:t xml:space="preserve"> of practitioners and relevant stakeholders</w:t>
      </w:r>
      <w:r w:rsidR="540FF720" w:rsidRPr="00306F4D">
        <w:rPr>
          <w:rFonts w:ascii="Arial" w:eastAsia="Arial" w:hAnsi="Arial" w:cs="Arial"/>
          <w:sz w:val="20"/>
          <w:szCs w:val="20"/>
        </w:rPr>
        <w:t>.</w:t>
      </w:r>
    </w:p>
    <w:p w14:paraId="12875282" w14:textId="3FE381ED" w:rsidR="00861C88" w:rsidRPr="00306F4D" w:rsidRDefault="00861C88" w:rsidP="49C6F20D">
      <w:pPr>
        <w:spacing w:after="0"/>
        <w:jc w:val="both"/>
        <w:rPr>
          <w:rFonts w:ascii="Arial" w:eastAsia="Arial" w:hAnsi="Arial" w:cs="Arial"/>
          <w:sz w:val="20"/>
          <w:szCs w:val="20"/>
        </w:rPr>
      </w:pPr>
    </w:p>
    <w:p w14:paraId="3A017FE7" w14:textId="58A067A4" w:rsidR="00861C88" w:rsidRPr="00306F4D" w:rsidRDefault="66425110" w:rsidP="49C6F20D">
      <w:pPr>
        <w:spacing w:after="0"/>
        <w:jc w:val="both"/>
        <w:rPr>
          <w:rFonts w:ascii="Arial" w:eastAsia="Arial" w:hAnsi="Arial" w:cs="Arial"/>
          <w:sz w:val="20"/>
          <w:szCs w:val="20"/>
        </w:rPr>
      </w:pPr>
      <w:r w:rsidRPr="00306F4D">
        <w:rPr>
          <w:rFonts w:ascii="Arial" w:eastAsia="Arial" w:hAnsi="Arial" w:cs="Arial"/>
          <w:sz w:val="20"/>
          <w:szCs w:val="20"/>
        </w:rPr>
        <w:t>Community engagement will be a key element of this system, with tools like the BOOST Alumni Network, the AIM partner network</w:t>
      </w:r>
      <w:r w:rsidR="14EB356E" w:rsidRPr="00306F4D">
        <w:rPr>
          <w:rFonts w:ascii="Arial" w:eastAsia="Arial" w:hAnsi="Arial" w:cs="Arial"/>
          <w:sz w:val="20"/>
          <w:szCs w:val="20"/>
        </w:rPr>
        <w:t xml:space="preserve"> (which includes AFCIA’s partnership platform)</w:t>
      </w:r>
      <w:r w:rsidRPr="00306F4D">
        <w:rPr>
          <w:rFonts w:ascii="Arial" w:eastAsia="Arial" w:hAnsi="Arial" w:cs="Arial"/>
          <w:sz w:val="20"/>
          <w:szCs w:val="20"/>
        </w:rPr>
        <w:t xml:space="preserve">, </w:t>
      </w:r>
      <w:r w:rsidR="6A18D041" w:rsidRPr="00306F4D">
        <w:rPr>
          <w:rFonts w:ascii="Arial" w:eastAsia="Arial" w:hAnsi="Arial" w:cs="Arial"/>
          <w:sz w:val="20"/>
          <w:szCs w:val="20"/>
        </w:rPr>
        <w:t xml:space="preserve">TADAMON NGO </w:t>
      </w:r>
      <w:proofErr w:type="spellStart"/>
      <w:r w:rsidR="6A18D041" w:rsidRPr="00306F4D">
        <w:rPr>
          <w:rFonts w:ascii="Arial" w:eastAsia="Arial" w:hAnsi="Arial" w:cs="Arial"/>
          <w:sz w:val="20"/>
          <w:szCs w:val="20"/>
        </w:rPr>
        <w:t>Empowernment</w:t>
      </w:r>
      <w:proofErr w:type="spellEnd"/>
      <w:r w:rsidR="6A18D041" w:rsidRPr="00306F4D">
        <w:rPr>
          <w:rFonts w:ascii="Arial" w:eastAsia="Arial" w:hAnsi="Arial" w:cs="Arial"/>
          <w:sz w:val="20"/>
          <w:szCs w:val="20"/>
        </w:rPr>
        <w:t xml:space="preserve"> Platform </w:t>
      </w:r>
      <w:r w:rsidRPr="00306F4D">
        <w:rPr>
          <w:rFonts w:ascii="Arial" w:eastAsia="Arial" w:hAnsi="Arial" w:cs="Arial"/>
          <w:sz w:val="20"/>
          <w:szCs w:val="20"/>
        </w:rPr>
        <w:t xml:space="preserve">and the UNDP SGP’s Global Citizens Knowledge Platform playing important </w:t>
      </w:r>
      <w:r w:rsidR="540FF720" w:rsidRPr="00306F4D">
        <w:rPr>
          <w:rFonts w:ascii="Arial" w:eastAsia="Arial" w:hAnsi="Arial" w:cs="Arial"/>
          <w:sz w:val="20"/>
          <w:szCs w:val="20"/>
        </w:rPr>
        <w:t>role</w:t>
      </w:r>
      <w:r w:rsidR="7F9E73CB" w:rsidRPr="00306F4D">
        <w:rPr>
          <w:rFonts w:ascii="Arial" w:eastAsia="Arial" w:hAnsi="Arial" w:cs="Arial"/>
          <w:sz w:val="20"/>
          <w:szCs w:val="20"/>
        </w:rPr>
        <w:t>s</w:t>
      </w:r>
      <w:r w:rsidRPr="00306F4D">
        <w:rPr>
          <w:rFonts w:ascii="Arial" w:eastAsia="Arial" w:hAnsi="Arial" w:cs="Arial"/>
          <w:sz w:val="20"/>
          <w:szCs w:val="20"/>
        </w:rPr>
        <w:t xml:space="preserve"> in expanding the reach and </w:t>
      </w:r>
      <w:r w:rsidR="61041F38" w:rsidRPr="00306F4D">
        <w:rPr>
          <w:rFonts w:ascii="Arial" w:eastAsia="Arial" w:hAnsi="Arial" w:cs="Arial"/>
          <w:sz w:val="20"/>
          <w:szCs w:val="20"/>
        </w:rPr>
        <w:t>effects</w:t>
      </w:r>
      <w:r w:rsidRPr="00306F4D">
        <w:rPr>
          <w:rFonts w:ascii="Arial" w:eastAsia="Arial" w:hAnsi="Arial" w:cs="Arial"/>
          <w:sz w:val="20"/>
          <w:szCs w:val="20"/>
        </w:rPr>
        <w:t xml:space="preserve"> of shared knowledge. These tools</w:t>
      </w:r>
      <w:r w:rsidR="54C087EA" w:rsidRPr="00306F4D">
        <w:rPr>
          <w:rFonts w:ascii="Arial" w:eastAsia="Arial" w:hAnsi="Arial" w:cs="Arial"/>
          <w:sz w:val="20"/>
          <w:szCs w:val="20"/>
        </w:rPr>
        <w:t xml:space="preserve"> </w:t>
      </w:r>
      <w:r w:rsidRPr="00306F4D">
        <w:rPr>
          <w:rFonts w:ascii="Arial" w:eastAsia="Arial" w:hAnsi="Arial" w:cs="Arial"/>
          <w:sz w:val="20"/>
          <w:szCs w:val="20"/>
        </w:rPr>
        <w:t>will ensure the knowledge-sharing process is expansive and impactful, supporting both grassroots-level actors and policymakers.</w:t>
      </w:r>
      <w:r w:rsidR="6A6210A9" w:rsidRPr="00306F4D">
        <w:rPr>
          <w:rFonts w:ascii="Arial" w:eastAsia="Arial" w:hAnsi="Arial" w:cs="Arial"/>
          <w:sz w:val="20"/>
          <w:szCs w:val="20"/>
        </w:rPr>
        <w:t xml:space="preserve"> More details will be specified in the respective annual work plans.</w:t>
      </w:r>
    </w:p>
    <w:p w14:paraId="38489BF9" w14:textId="77777777" w:rsidR="00861C88" w:rsidRPr="00306F4D" w:rsidRDefault="00861C88" w:rsidP="00FA5185">
      <w:pPr>
        <w:spacing w:after="0"/>
        <w:jc w:val="both"/>
        <w:rPr>
          <w:rFonts w:ascii="Arial" w:eastAsia="Arial" w:hAnsi="Arial" w:cs="Arial"/>
          <w:sz w:val="20"/>
          <w:szCs w:val="20"/>
        </w:rPr>
      </w:pPr>
    </w:p>
    <w:p w14:paraId="6A51D94D" w14:textId="23E29D62" w:rsidR="4E918AEB" w:rsidRPr="00306F4D" w:rsidRDefault="4E918AEB" w:rsidP="77C7CD62">
      <w:pPr>
        <w:spacing w:after="0"/>
        <w:jc w:val="both"/>
        <w:rPr>
          <w:rFonts w:ascii="Arial" w:eastAsia="Arial" w:hAnsi="Arial" w:cs="Arial"/>
          <w:b/>
          <w:i/>
          <w:color w:val="000000" w:themeColor="text1"/>
          <w:sz w:val="20"/>
          <w:szCs w:val="20"/>
        </w:rPr>
      </w:pPr>
      <w:r w:rsidRPr="00306F4D">
        <w:rPr>
          <w:rFonts w:ascii="Arial" w:eastAsia="Arial" w:hAnsi="Arial" w:cs="Arial"/>
          <w:b/>
          <w:i/>
          <w:color w:val="000000" w:themeColor="text1"/>
          <w:sz w:val="20"/>
          <w:szCs w:val="20"/>
        </w:rPr>
        <w:t>Output 3.1 – Indicative Activities</w:t>
      </w:r>
    </w:p>
    <w:p w14:paraId="19AADA1C" w14:textId="3BF72ADE" w:rsidR="4E918AEB" w:rsidRPr="00306F4D" w:rsidRDefault="4E918AEB" w:rsidP="00DD20FE">
      <w:pPr>
        <w:pStyle w:val="ListParagraph"/>
        <w:numPr>
          <w:ilvl w:val="0"/>
          <w:numId w:val="18"/>
        </w:numPr>
        <w:spacing w:before="240" w:after="240"/>
        <w:jc w:val="both"/>
        <w:rPr>
          <w:rFonts w:ascii="Arial" w:eastAsia="Arial" w:hAnsi="Arial" w:cs="Arial"/>
          <w:color w:val="000000" w:themeColor="text1"/>
          <w:sz w:val="20"/>
          <w:szCs w:val="20"/>
        </w:rPr>
      </w:pPr>
      <w:proofErr w:type="gramStart"/>
      <w:r w:rsidRPr="00306F4D">
        <w:rPr>
          <w:rFonts w:ascii="Arial" w:eastAsia="Arial" w:hAnsi="Arial" w:cs="Arial"/>
          <w:b/>
          <w:color w:val="000000" w:themeColor="text1"/>
          <w:sz w:val="20"/>
          <w:szCs w:val="20"/>
        </w:rPr>
        <w:t>Establish a Regional Digital Knowledge Space for Adaptation Innovation</w:t>
      </w:r>
      <w:r w:rsidR="198E1A23" w:rsidRPr="00306F4D">
        <w:rPr>
          <w:rFonts w:ascii="Arial" w:eastAsia="Arial" w:hAnsi="Arial" w:cs="Arial"/>
          <w:b/>
          <w:color w:val="000000" w:themeColor="text1"/>
          <w:sz w:val="20"/>
          <w:szCs w:val="20"/>
        </w:rPr>
        <w:t>,</w:t>
      </w:r>
      <w:proofErr w:type="gramEnd"/>
      <w:r w:rsidR="198E1A23" w:rsidRPr="00306F4D">
        <w:rPr>
          <w:rFonts w:ascii="Arial" w:eastAsia="Arial" w:hAnsi="Arial" w:cs="Arial"/>
          <w:b/>
          <w:color w:val="000000" w:themeColor="text1"/>
          <w:sz w:val="20"/>
          <w:szCs w:val="20"/>
        </w:rPr>
        <w:t xml:space="preserve"> </w:t>
      </w:r>
      <w:r w:rsidR="198E1A23" w:rsidRPr="00306F4D">
        <w:rPr>
          <w:rFonts w:ascii="Arial" w:eastAsia="Arial" w:hAnsi="Arial" w:cs="Arial"/>
          <w:color w:val="000000" w:themeColor="text1"/>
          <w:sz w:val="20"/>
          <w:szCs w:val="20"/>
        </w:rPr>
        <w:t>i</w:t>
      </w:r>
      <w:r w:rsidRPr="00306F4D">
        <w:rPr>
          <w:rFonts w:ascii="Arial" w:eastAsia="Arial" w:hAnsi="Arial" w:cs="Arial"/>
          <w:color w:val="000000" w:themeColor="text1"/>
          <w:sz w:val="20"/>
          <w:szCs w:val="20"/>
        </w:rPr>
        <w:t>ncludes a searchable repository of case studies, tools, and policy briefs.</w:t>
      </w:r>
    </w:p>
    <w:p w14:paraId="59989917" w14:textId="0694B24B" w:rsidR="4E918AEB" w:rsidRPr="00306F4D" w:rsidRDefault="4E918AEB" w:rsidP="00DD20FE">
      <w:pPr>
        <w:pStyle w:val="ListParagraph"/>
        <w:numPr>
          <w:ilvl w:val="0"/>
          <w:numId w:val="18"/>
        </w:numPr>
        <w:spacing w:before="240" w:after="240"/>
        <w:jc w:val="both"/>
        <w:rPr>
          <w:rFonts w:ascii="Arial" w:eastAsia="Arial" w:hAnsi="Arial" w:cs="Arial"/>
          <w:color w:val="000000" w:themeColor="text1"/>
          <w:sz w:val="20"/>
          <w:szCs w:val="20"/>
        </w:rPr>
      </w:pPr>
      <w:r w:rsidRPr="00306F4D">
        <w:rPr>
          <w:rFonts w:ascii="Arial" w:eastAsia="Arial" w:hAnsi="Arial" w:cs="Arial"/>
          <w:b/>
          <w:color w:val="000000" w:themeColor="text1"/>
          <w:sz w:val="20"/>
          <w:szCs w:val="20"/>
        </w:rPr>
        <w:t>Organize Annual Regional Learning and Knowledge-Sharing Events</w:t>
      </w:r>
      <w:r w:rsidR="61A55BEE" w:rsidRPr="00306F4D">
        <w:rPr>
          <w:rFonts w:ascii="Arial" w:eastAsia="Arial" w:hAnsi="Arial" w:cs="Arial"/>
          <w:b/>
          <w:color w:val="000000" w:themeColor="text1"/>
          <w:sz w:val="20"/>
          <w:szCs w:val="20"/>
        </w:rPr>
        <w:t xml:space="preserve">, </w:t>
      </w:r>
      <w:r w:rsidR="61A55BEE" w:rsidRPr="00306F4D">
        <w:rPr>
          <w:rFonts w:ascii="Arial" w:eastAsia="Arial" w:hAnsi="Arial" w:cs="Arial"/>
          <w:color w:val="000000" w:themeColor="text1"/>
          <w:sz w:val="20"/>
          <w:szCs w:val="20"/>
        </w:rPr>
        <w:t>i</w:t>
      </w:r>
      <w:r w:rsidRPr="00306F4D">
        <w:rPr>
          <w:rFonts w:ascii="Arial" w:eastAsia="Arial" w:hAnsi="Arial" w:cs="Arial"/>
          <w:color w:val="000000" w:themeColor="text1"/>
          <w:sz w:val="20"/>
          <w:szCs w:val="20"/>
        </w:rPr>
        <w:t>ncludes innovation fairs, thematic workshops, and regional showcases.</w:t>
      </w:r>
    </w:p>
    <w:p w14:paraId="494D5CF3" w14:textId="57046F31" w:rsidR="4E918AEB" w:rsidRPr="00306F4D" w:rsidRDefault="4E918AEB" w:rsidP="00DD20FE">
      <w:pPr>
        <w:pStyle w:val="ListParagraph"/>
        <w:numPr>
          <w:ilvl w:val="0"/>
          <w:numId w:val="18"/>
        </w:numPr>
        <w:spacing w:before="240" w:after="240"/>
        <w:jc w:val="both"/>
        <w:rPr>
          <w:rFonts w:ascii="Arial" w:eastAsia="Arial" w:hAnsi="Arial" w:cs="Arial"/>
          <w:color w:val="000000" w:themeColor="text1"/>
          <w:sz w:val="20"/>
          <w:szCs w:val="20"/>
        </w:rPr>
      </w:pPr>
      <w:r w:rsidRPr="00306F4D">
        <w:rPr>
          <w:rFonts w:ascii="Arial" w:eastAsia="Arial" w:hAnsi="Arial" w:cs="Arial"/>
          <w:b/>
          <w:color w:val="000000" w:themeColor="text1"/>
          <w:sz w:val="20"/>
          <w:szCs w:val="20"/>
        </w:rPr>
        <w:t>Launch Regional MBA Fellowship Program for Knowledge Exchange and Capacity Building</w:t>
      </w:r>
      <w:r w:rsidR="5A8567E8" w:rsidRPr="00306F4D">
        <w:rPr>
          <w:rFonts w:ascii="Arial" w:eastAsia="Arial" w:hAnsi="Arial" w:cs="Arial"/>
          <w:b/>
          <w:color w:val="000000" w:themeColor="text1"/>
          <w:sz w:val="20"/>
          <w:szCs w:val="20"/>
        </w:rPr>
        <w:t xml:space="preserve">. </w:t>
      </w:r>
      <w:r w:rsidRPr="00306F4D">
        <w:rPr>
          <w:rFonts w:ascii="Arial" w:eastAsia="Arial" w:hAnsi="Arial" w:cs="Arial"/>
          <w:color w:val="000000" w:themeColor="text1"/>
          <w:sz w:val="20"/>
          <w:szCs w:val="20"/>
        </w:rPr>
        <w:t>The MBA Fellowship Programme will connect local adaptation innovators with postgraduate business students from global and regional universities, providing tailored business development support while fostering mutual learning, strengthening institutional capacity, and promoting scalable, sustainable climate solutions across the Western Balkans.</w:t>
      </w:r>
    </w:p>
    <w:p w14:paraId="09DEA8E3" w14:textId="22C62B49" w:rsidR="4E918AEB" w:rsidRPr="00306F4D" w:rsidRDefault="4E918AEB" w:rsidP="00DD20FE">
      <w:pPr>
        <w:pStyle w:val="ListParagraph"/>
        <w:numPr>
          <w:ilvl w:val="0"/>
          <w:numId w:val="18"/>
        </w:numPr>
        <w:spacing w:before="240" w:after="240"/>
        <w:jc w:val="both"/>
        <w:rPr>
          <w:rFonts w:ascii="Arial" w:eastAsia="Arial" w:hAnsi="Arial" w:cs="Arial"/>
          <w:color w:val="000000" w:themeColor="text1"/>
          <w:sz w:val="20"/>
          <w:szCs w:val="20"/>
        </w:rPr>
      </w:pPr>
      <w:r w:rsidRPr="00306F4D">
        <w:rPr>
          <w:rFonts w:ascii="Arial" w:eastAsia="Arial" w:hAnsi="Arial" w:cs="Arial"/>
          <w:b/>
          <w:color w:val="000000" w:themeColor="text1"/>
          <w:sz w:val="20"/>
          <w:szCs w:val="20"/>
        </w:rPr>
        <w:t>Develop and Implement a Visibility and Branding Strategy for the Adaptation Fund</w:t>
      </w:r>
      <w:r w:rsidR="66DF2490" w:rsidRPr="00306F4D">
        <w:rPr>
          <w:rFonts w:ascii="Arial" w:eastAsia="Arial" w:hAnsi="Arial" w:cs="Arial"/>
          <w:b/>
          <w:color w:val="000000" w:themeColor="text1"/>
          <w:sz w:val="20"/>
          <w:szCs w:val="20"/>
        </w:rPr>
        <w:t xml:space="preserve">, </w:t>
      </w:r>
      <w:r w:rsidR="66DF2490" w:rsidRPr="00306F4D">
        <w:rPr>
          <w:rFonts w:ascii="Arial" w:eastAsia="Arial" w:hAnsi="Arial" w:cs="Arial"/>
          <w:color w:val="000000" w:themeColor="text1"/>
          <w:sz w:val="20"/>
          <w:szCs w:val="20"/>
        </w:rPr>
        <w:t>i</w:t>
      </w:r>
      <w:r w:rsidRPr="00306F4D">
        <w:rPr>
          <w:rFonts w:ascii="Arial" w:eastAsia="Arial" w:hAnsi="Arial" w:cs="Arial"/>
          <w:color w:val="000000" w:themeColor="text1"/>
          <w:sz w:val="20"/>
          <w:szCs w:val="20"/>
        </w:rPr>
        <w:t>ncludes branding guidelines, media kits, and storytelling campaigns.</w:t>
      </w:r>
    </w:p>
    <w:p w14:paraId="31E33344" w14:textId="57EC804B" w:rsidR="4E918AEB" w:rsidRPr="00306F4D" w:rsidRDefault="4E918AEB" w:rsidP="00DD20FE">
      <w:pPr>
        <w:pStyle w:val="ListParagraph"/>
        <w:numPr>
          <w:ilvl w:val="0"/>
          <w:numId w:val="18"/>
        </w:numPr>
        <w:spacing w:before="240" w:after="240"/>
        <w:jc w:val="both"/>
        <w:rPr>
          <w:rFonts w:ascii="Arial" w:eastAsia="Arial" w:hAnsi="Arial" w:cs="Arial"/>
          <w:color w:val="000000" w:themeColor="text1"/>
          <w:sz w:val="20"/>
          <w:szCs w:val="20"/>
        </w:rPr>
      </w:pPr>
      <w:r w:rsidRPr="00306F4D">
        <w:rPr>
          <w:rFonts w:ascii="Arial" w:eastAsia="Arial" w:hAnsi="Arial" w:cs="Arial"/>
          <w:b/>
          <w:color w:val="000000" w:themeColor="text1"/>
          <w:sz w:val="20"/>
          <w:szCs w:val="20"/>
        </w:rPr>
        <w:t>Facilitate Peer-to-Peer Learning Exchanges Between Countries</w:t>
      </w:r>
      <w:r w:rsidR="5A1712E7" w:rsidRPr="00306F4D">
        <w:rPr>
          <w:rFonts w:ascii="Arial" w:eastAsia="Arial" w:hAnsi="Arial" w:cs="Arial"/>
          <w:b/>
          <w:color w:val="000000" w:themeColor="text1"/>
          <w:sz w:val="20"/>
          <w:szCs w:val="20"/>
        </w:rPr>
        <w:t xml:space="preserve">, </w:t>
      </w:r>
      <w:r w:rsidR="5A1712E7" w:rsidRPr="00306F4D">
        <w:rPr>
          <w:rFonts w:ascii="Arial" w:eastAsia="Arial" w:hAnsi="Arial" w:cs="Arial"/>
          <w:color w:val="000000" w:themeColor="text1"/>
          <w:sz w:val="20"/>
          <w:szCs w:val="20"/>
        </w:rPr>
        <w:t>i</w:t>
      </w:r>
      <w:r w:rsidRPr="00306F4D">
        <w:rPr>
          <w:rFonts w:ascii="Arial" w:eastAsia="Arial" w:hAnsi="Arial" w:cs="Arial"/>
          <w:color w:val="000000" w:themeColor="text1"/>
          <w:sz w:val="20"/>
          <w:szCs w:val="20"/>
        </w:rPr>
        <w:t>ncludes virtual and in-person study tours and thematic dialogues.</w:t>
      </w:r>
    </w:p>
    <w:p w14:paraId="6397D3FA" w14:textId="4BCFC674" w:rsidR="70936A7F" w:rsidRPr="00306F4D" w:rsidRDefault="4E918AEB" w:rsidP="00DD20FE">
      <w:pPr>
        <w:pStyle w:val="ListParagraph"/>
        <w:numPr>
          <w:ilvl w:val="0"/>
          <w:numId w:val="18"/>
        </w:numPr>
        <w:spacing w:before="240" w:after="240"/>
        <w:jc w:val="both"/>
        <w:rPr>
          <w:rFonts w:ascii="Arial" w:eastAsia="Arial" w:hAnsi="Arial" w:cs="Arial"/>
          <w:color w:val="000000" w:themeColor="text1"/>
          <w:sz w:val="20"/>
          <w:szCs w:val="20"/>
        </w:rPr>
      </w:pPr>
      <w:r w:rsidRPr="00306F4D">
        <w:rPr>
          <w:rFonts w:ascii="Arial" w:eastAsia="Arial" w:hAnsi="Arial" w:cs="Arial"/>
          <w:b/>
          <w:color w:val="000000" w:themeColor="text1"/>
          <w:sz w:val="20"/>
          <w:szCs w:val="20"/>
        </w:rPr>
        <w:t xml:space="preserve">Collaborate with National Entities and Global Networks (e.g., </w:t>
      </w:r>
      <w:proofErr w:type="spellStart"/>
      <w:r w:rsidRPr="00306F4D">
        <w:rPr>
          <w:rFonts w:ascii="Arial" w:eastAsia="Arial" w:hAnsi="Arial" w:cs="Arial"/>
          <w:b/>
          <w:color w:val="000000" w:themeColor="text1"/>
          <w:sz w:val="20"/>
          <w:szCs w:val="20"/>
        </w:rPr>
        <w:t>weADAPT</w:t>
      </w:r>
      <w:proofErr w:type="spellEnd"/>
      <w:r w:rsidRPr="00306F4D">
        <w:rPr>
          <w:rFonts w:ascii="Arial" w:eastAsia="Arial" w:hAnsi="Arial" w:cs="Arial"/>
          <w:b/>
          <w:color w:val="000000" w:themeColor="text1"/>
          <w:sz w:val="20"/>
          <w:szCs w:val="20"/>
        </w:rPr>
        <w:t>, Global Resilience Partnership)</w:t>
      </w:r>
      <w:r w:rsidR="51D22CB9" w:rsidRPr="00306F4D">
        <w:rPr>
          <w:rFonts w:ascii="Arial" w:eastAsia="Arial" w:hAnsi="Arial" w:cs="Arial"/>
          <w:b/>
          <w:color w:val="000000" w:themeColor="text1"/>
          <w:sz w:val="20"/>
          <w:szCs w:val="20"/>
        </w:rPr>
        <w:t xml:space="preserve"> </w:t>
      </w:r>
      <w:r w:rsidR="51D22CB9" w:rsidRPr="00306F4D">
        <w:rPr>
          <w:rFonts w:ascii="Arial" w:eastAsia="Arial" w:hAnsi="Arial" w:cs="Arial"/>
          <w:color w:val="000000" w:themeColor="text1"/>
          <w:sz w:val="20"/>
          <w:szCs w:val="20"/>
        </w:rPr>
        <w:t>t</w:t>
      </w:r>
      <w:r w:rsidRPr="00306F4D">
        <w:rPr>
          <w:rFonts w:ascii="Arial" w:eastAsia="Arial" w:hAnsi="Arial" w:cs="Arial"/>
          <w:color w:val="000000" w:themeColor="text1"/>
          <w:sz w:val="20"/>
          <w:szCs w:val="20"/>
        </w:rPr>
        <w:t>o align with global best practices and amplify regional voices.</w:t>
      </w:r>
    </w:p>
    <w:p w14:paraId="54A2DAEB" w14:textId="141FCA85" w:rsidR="3FE90692" w:rsidRPr="00306F4D" w:rsidRDefault="3FE90692" w:rsidP="3FE90692">
      <w:pPr>
        <w:spacing w:after="0"/>
        <w:jc w:val="both"/>
        <w:rPr>
          <w:rFonts w:ascii="Arial" w:eastAsia="Arial" w:hAnsi="Arial" w:cs="Arial"/>
          <w:sz w:val="20"/>
          <w:szCs w:val="20"/>
        </w:rPr>
      </w:pPr>
    </w:p>
    <w:p w14:paraId="384A5531" w14:textId="12B771BF" w:rsidR="002B36DC" w:rsidRPr="00306F4D" w:rsidRDefault="7818036F" w:rsidP="49C6F20D">
      <w:pPr>
        <w:spacing w:after="0"/>
        <w:jc w:val="both"/>
        <w:rPr>
          <w:rFonts w:ascii="Arial" w:eastAsia="Arial" w:hAnsi="Arial" w:cs="Arial"/>
          <w:b/>
          <w:i/>
          <w:sz w:val="20"/>
          <w:szCs w:val="20"/>
          <w:lang w:val="en-GB"/>
        </w:rPr>
      </w:pPr>
      <w:r w:rsidRPr="00306F4D">
        <w:rPr>
          <w:rFonts w:ascii="Arial" w:eastAsia="Arial" w:hAnsi="Arial" w:cs="Arial"/>
          <w:b/>
          <w:i/>
          <w:color w:val="000000" w:themeColor="text1"/>
          <w:sz w:val="20"/>
          <w:szCs w:val="20"/>
          <w:lang w:val="en-GB"/>
        </w:rPr>
        <w:t xml:space="preserve">Output 3.2: </w:t>
      </w:r>
      <w:r w:rsidRPr="00306F4D">
        <w:rPr>
          <w:rFonts w:ascii="Arial" w:eastAsia="Arial" w:hAnsi="Arial" w:cs="Arial"/>
          <w:b/>
          <w:i/>
          <w:color w:val="000000" w:themeColor="text1"/>
          <w:sz w:val="20"/>
          <w:szCs w:val="20"/>
        </w:rPr>
        <w:t>Insights, lessons learned, and good practices from adaptation pilots are systematically documented, synthesized, and disseminated to inform future programming and policy across countries.</w:t>
      </w:r>
    </w:p>
    <w:p w14:paraId="190265E4" w14:textId="6E5083B7" w:rsidR="41279826" w:rsidRPr="00306F4D" w:rsidRDefault="41279826" w:rsidP="4186447D">
      <w:pPr>
        <w:spacing w:before="240" w:after="240"/>
        <w:jc w:val="both"/>
        <w:rPr>
          <w:rFonts w:ascii="Arial" w:eastAsia="Arial" w:hAnsi="Arial" w:cs="Arial"/>
          <w:sz w:val="20"/>
          <w:szCs w:val="20"/>
          <w:lang w:val="en-GB"/>
        </w:rPr>
      </w:pPr>
      <w:r w:rsidRPr="00306F4D">
        <w:rPr>
          <w:rFonts w:ascii="Arial" w:eastAsia="Arial" w:hAnsi="Arial" w:cs="Arial"/>
          <w:sz w:val="20"/>
          <w:szCs w:val="20"/>
          <w:lang w:val="en-GB"/>
        </w:rPr>
        <w:t xml:space="preserve">This output will focus on systematically documenting, synthesizing, and sharing lessons from adaptation pilots across the region. Key activities will include organizing peer learning spaces such as innovation fairs, workshops, </w:t>
      </w:r>
      <w:r w:rsidR="714EE4D9" w:rsidRPr="00306F4D">
        <w:rPr>
          <w:rFonts w:ascii="Arial" w:eastAsia="Arial" w:hAnsi="Arial" w:cs="Arial"/>
          <w:sz w:val="20"/>
          <w:szCs w:val="20"/>
          <w:lang w:val="en-GB"/>
        </w:rPr>
        <w:t xml:space="preserve">peer to peer  knowledge exchange “Talks”, </w:t>
      </w:r>
      <w:r w:rsidRPr="00306F4D">
        <w:rPr>
          <w:rFonts w:ascii="Arial" w:eastAsia="Arial" w:hAnsi="Arial" w:cs="Arial"/>
          <w:sz w:val="20"/>
          <w:szCs w:val="20"/>
          <w:lang w:val="en-GB"/>
        </w:rPr>
        <w:t>and product showcases in collaboration with grantees and the broader AIM community</w:t>
      </w:r>
      <w:r w:rsidR="5D28CD47" w:rsidRPr="00306F4D">
        <w:rPr>
          <w:rFonts w:ascii="Arial" w:eastAsia="Arial" w:hAnsi="Arial" w:cs="Arial"/>
          <w:sz w:val="20"/>
          <w:szCs w:val="20"/>
          <w:lang w:val="en-GB"/>
        </w:rPr>
        <w:t xml:space="preserve"> (e.g.</w:t>
      </w:r>
      <w:r w:rsidR="5D28CD47" w:rsidRPr="00306F4D">
        <w:rPr>
          <w:rFonts w:ascii="Arial" w:eastAsia="Arial" w:hAnsi="Arial" w:cs="Arial"/>
          <w:sz w:val="20"/>
          <w:szCs w:val="20"/>
          <w:lang w:val="en-IE"/>
        </w:rPr>
        <w:t xml:space="preserve"> </w:t>
      </w:r>
      <w:r w:rsidR="69FB3E47" w:rsidRPr="00306F4D">
        <w:rPr>
          <w:rFonts w:ascii="Arial" w:eastAsia="Arial" w:hAnsi="Arial" w:cs="Arial"/>
          <w:sz w:val="20"/>
          <w:szCs w:val="20"/>
          <w:lang w:val="en-IE"/>
        </w:rPr>
        <w:t>partners</w:t>
      </w:r>
      <w:r w:rsidR="5D28CD47" w:rsidRPr="00306F4D">
        <w:rPr>
          <w:rFonts w:ascii="Arial" w:eastAsia="Arial" w:hAnsi="Arial" w:cs="Arial"/>
          <w:sz w:val="20"/>
          <w:szCs w:val="20"/>
          <w:lang w:val="en-IE"/>
        </w:rPr>
        <w:t xml:space="preserve"> like the </w:t>
      </w:r>
      <w:hyperlink r:id="rId44">
        <w:r w:rsidR="5D28CD47" w:rsidRPr="00306F4D">
          <w:rPr>
            <w:rStyle w:val="Hyperlink"/>
            <w:rFonts w:ascii="Arial" w:eastAsia="Arial" w:hAnsi="Arial" w:cs="Arial"/>
            <w:color w:val="0563C1"/>
            <w:sz w:val="20"/>
            <w:szCs w:val="20"/>
            <w:lang w:val="en-IE"/>
          </w:rPr>
          <w:t>International Centre for Climate Change and Development (ICCCAD)</w:t>
        </w:r>
      </w:hyperlink>
      <w:r w:rsidR="5D28CD47" w:rsidRPr="00306F4D">
        <w:rPr>
          <w:rFonts w:ascii="Arial" w:eastAsia="Arial" w:hAnsi="Arial" w:cs="Arial"/>
          <w:sz w:val="20"/>
          <w:szCs w:val="20"/>
          <w:lang w:val="en-IE"/>
        </w:rPr>
        <w:t xml:space="preserve">, </w:t>
      </w:r>
      <w:hyperlink r:id="rId45">
        <w:r w:rsidR="5D28CD47" w:rsidRPr="00306F4D">
          <w:rPr>
            <w:rStyle w:val="Hyperlink"/>
            <w:rFonts w:ascii="Arial" w:eastAsia="Arial" w:hAnsi="Arial" w:cs="Arial"/>
            <w:sz w:val="20"/>
            <w:szCs w:val="20"/>
            <w:lang w:val="en-IE"/>
          </w:rPr>
          <w:t>Climate and Development Knowledge Network (CDKN</w:t>
        </w:r>
        <w:r w:rsidR="5D28CD47" w:rsidRPr="00306F4D">
          <w:rPr>
            <w:rStyle w:val="Hyperlink"/>
            <w:rFonts w:ascii="Arial" w:eastAsia="Arial" w:hAnsi="Arial" w:cs="Arial"/>
            <w:color w:val="0563C1"/>
            <w:sz w:val="20"/>
            <w:szCs w:val="20"/>
            <w:lang w:val="en-IE"/>
          </w:rPr>
          <w:t>)</w:t>
        </w:r>
      </w:hyperlink>
      <w:r w:rsidR="5D28CD47" w:rsidRPr="00306F4D">
        <w:rPr>
          <w:rFonts w:ascii="Arial" w:eastAsia="Arial" w:hAnsi="Arial" w:cs="Arial"/>
          <w:sz w:val="20"/>
          <w:szCs w:val="20"/>
          <w:lang w:val="en-GB"/>
        </w:rPr>
        <w:t>, t</w:t>
      </w:r>
      <w:r w:rsidR="5D28CD47" w:rsidRPr="00306F4D">
        <w:rPr>
          <w:rFonts w:ascii="Arial" w:eastAsia="Arial" w:hAnsi="Arial" w:cs="Arial"/>
          <w:sz w:val="20"/>
          <w:szCs w:val="20"/>
          <w:lang w:val="en-IE"/>
        </w:rPr>
        <w:t xml:space="preserve">he </w:t>
      </w:r>
      <w:hyperlink r:id="rId46">
        <w:r w:rsidR="5D28CD47" w:rsidRPr="00306F4D">
          <w:rPr>
            <w:rStyle w:val="Hyperlink"/>
            <w:rFonts w:ascii="Arial" w:eastAsia="Arial" w:hAnsi="Arial" w:cs="Arial"/>
            <w:color w:val="0563C1"/>
            <w:sz w:val="20"/>
            <w:szCs w:val="20"/>
            <w:lang w:val="en-IE"/>
          </w:rPr>
          <w:t>Least Developed Countries Universities Consortium on Climate Change (LUCCC)</w:t>
        </w:r>
      </w:hyperlink>
      <w:r w:rsidR="5D28CD47" w:rsidRPr="00306F4D">
        <w:rPr>
          <w:rFonts w:ascii="Arial" w:eastAsia="Arial" w:hAnsi="Arial" w:cs="Arial"/>
          <w:sz w:val="20"/>
          <w:szCs w:val="20"/>
          <w:lang w:val="en-IE"/>
        </w:rPr>
        <w:t xml:space="preserve">, the </w:t>
      </w:r>
      <w:hyperlink r:id="rId47">
        <w:r w:rsidR="5D28CD47" w:rsidRPr="00306F4D">
          <w:rPr>
            <w:rStyle w:val="Hyperlink"/>
            <w:rFonts w:ascii="Arial" w:eastAsia="Arial" w:hAnsi="Arial" w:cs="Arial"/>
            <w:color w:val="0563C1"/>
            <w:sz w:val="20"/>
            <w:szCs w:val="20"/>
            <w:lang w:val="en-IE"/>
          </w:rPr>
          <w:t>Global Resilience Partnership (GRP)</w:t>
        </w:r>
      </w:hyperlink>
      <w:r w:rsidR="5D28CD47" w:rsidRPr="00306F4D">
        <w:rPr>
          <w:rFonts w:ascii="Arial" w:eastAsia="Arial" w:hAnsi="Arial" w:cs="Arial"/>
          <w:sz w:val="20"/>
          <w:szCs w:val="20"/>
          <w:lang w:val="en-IE"/>
        </w:rPr>
        <w:t xml:space="preserve">, the </w:t>
      </w:r>
      <w:hyperlink r:id="rId48">
        <w:r w:rsidR="5D28CD47" w:rsidRPr="00306F4D">
          <w:rPr>
            <w:rStyle w:val="Hyperlink"/>
            <w:rFonts w:ascii="Arial" w:eastAsia="Arial" w:hAnsi="Arial" w:cs="Arial"/>
            <w:color w:val="0563C1"/>
            <w:sz w:val="20"/>
            <w:szCs w:val="20"/>
            <w:lang w:val="en-IE"/>
          </w:rPr>
          <w:t>Climate-Knowledge Innovation Community (Climate-KIC)</w:t>
        </w:r>
      </w:hyperlink>
      <w:r w:rsidR="5D28CD47" w:rsidRPr="00306F4D">
        <w:rPr>
          <w:rFonts w:ascii="Arial" w:eastAsia="Arial" w:hAnsi="Arial" w:cs="Arial"/>
          <w:sz w:val="20"/>
          <w:szCs w:val="20"/>
          <w:lang w:val="en-IE"/>
        </w:rPr>
        <w:t xml:space="preserve"> </w:t>
      </w:r>
      <w:r w:rsidR="1F759617" w:rsidRPr="00306F4D">
        <w:rPr>
          <w:rFonts w:ascii="Arial" w:eastAsia="Arial" w:hAnsi="Arial" w:cs="Arial"/>
          <w:sz w:val="20"/>
          <w:szCs w:val="20"/>
          <w:lang w:val="en-IE"/>
        </w:rPr>
        <w:t>, the</w:t>
      </w:r>
      <w:r w:rsidR="5D28CD47" w:rsidRPr="00306F4D">
        <w:rPr>
          <w:rFonts w:ascii="Arial" w:eastAsia="Arial" w:hAnsi="Arial" w:cs="Arial"/>
          <w:sz w:val="20"/>
          <w:szCs w:val="20"/>
          <w:lang w:val="en-IE"/>
        </w:rPr>
        <w:t xml:space="preserve"> </w:t>
      </w:r>
      <w:hyperlink r:id="rId49">
        <w:r w:rsidR="5D28CD47" w:rsidRPr="00306F4D">
          <w:rPr>
            <w:rStyle w:val="Hyperlink"/>
            <w:rFonts w:ascii="Arial" w:eastAsia="Arial" w:hAnsi="Arial" w:cs="Arial"/>
            <w:color w:val="0563C1"/>
            <w:sz w:val="20"/>
            <w:szCs w:val="20"/>
            <w:lang w:val="en-IE"/>
          </w:rPr>
          <w:t>UN Capital Development Fund (UNCDF)</w:t>
        </w:r>
      </w:hyperlink>
      <w:r w:rsidR="5D28CD47" w:rsidRPr="00306F4D">
        <w:rPr>
          <w:rFonts w:ascii="Arial" w:eastAsia="Arial" w:hAnsi="Arial" w:cs="Arial"/>
          <w:sz w:val="20"/>
          <w:szCs w:val="20"/>
          <w:lang w:val="en-IE"/>
        </w:rPr>
        <w:t xml:space="preserve"> </w:t>
      </w:r>
      <w:r w:rsidR="4B8ABFA0" w:rsidRPr="00306F4D">
        <w:rPr>
          <w:rFonts w:ascii="Arial" w:eastAsia="Arial" w:hAnsi="Arial" w:cs="Arial"/>
          <w:sz w:val="20"/>
          <w:szCs w:val="20"/>
          <w:lang w:val="en-IE"/>
        </w:rPr>
        <w:t>and</w:t>
      </w:r>
      <w:r w:rsidR="5D28CD47" w:rsidRPr="00306F4D">
        <w:rPr>
          <w:rFonts w:ascii="Arial" w:eastAsia="Arial" w:hAnsi="Arial" w:cs="Arial"/>
          <w:sz w:val="20"/>
          <w:szCs w:val="20"/>
          <w:lang w:val="en-IE"/>
        </w:rPr>
        <w:t xml:space="preserve"> investment networks like the </w:t>
      </w:r>
      <w:hyperlink r:id="rId50">
        <w:r w:rsidR="5D28CD47" w:rsidRPr="00306F4D">
          <w:rPr>
            <w:rStyle w:val="Hyperlink"/>
            <w:rFonts w:ascii="Arial" w:eastAsia="Arial" w:hAnsi="Arial" w:cs="Arial"/>
            <w:color w:val="0563C1"/>
            <w:sz w:val="20"/>
            <w:szCs w:val="20"/>
            <w:lang w:val="en-IE"/>
          </w:rPr>
          <w:t>Asia Venture Philanthropy Network (AVPN)</w:t>
        </w:r>
      </w:hyperlink>
      <w:r w:rsidR="5D28CD47" w:rsidRPr="00306F4D">
        <w:rPr>
          <w:rFonts w:ascii="Arial" w:eastAsia="Arial" w:hAnsi="Arial" w:cs="Arial"/>
          <w:sz w:val="20"/>
          <w:szCs w:val="20"/>
          <w:lang w:val="en-IE"/>
        </w:rPr>
        <w:t xml:space="preserve">, </w:t>
      </w:r>
      <w:hyperlink r:id="rId51">
        <w:r w:rsidR="5D28CD47" w:rsidRPr="00306F4D">
          <w:rPr>
            <w:rStyle w:val="Hyperlink"/>
            <w:rFonts w:ascii="Arial" w:eastAsia="Arial" w:hAnsi="Arial" w:cs="Arial"/>
            <w:color w:val="0563C1"/>
            <w:sz w:val="20"/>
            <w:szCs w:val="20"/>
            <w:lang w:val="en-IE"/>
          </w:rPr>
          <w:t>African Venture Philanthropy Alliance (AVPA)</w:t>
        </w:r>
        <w:r w:rsidR="1B1AA3BD" w:rsidRPr="00306F4D">
          <w:rPr>
            <w:rStyle w:val="Hyperlink"/>
            <w:rFonts w:ascii="Arial" w:eastAsia="Arial" w:hAnsi="Arial" w:cs="Arial"/>
            <w:color w:val="0563C1"/>
            <w:sz w:val="20"/>
            <w:szCs w:val="20"/>
            <w:lang w:val="en-IE"/>
          </w:rPr>
          <w:t>,</w:t>
        </w:r>
      </w:hyperlink>
      <w:r w:rsidR="5D28CD47" w:rsidRPr="00306F4D">
        <w:rPr>
          <w:rFonts w:ascii="Arial" w:eastAsia="Arial" w:hAnsi="Arial" w:cs="Arial"/>
          <w:sz w:val="20"/>
          <w:szCs w:val="20"/>
          <w:lang w:val="en-IE"/>
        </w:rPr>
        <w:t xml:space="preserve"> </w:t>
      </w:r>
      <w:hyperlink r:id="rId52">
        <w:proofErr w:type="spellStart"/>
        <w:r w:rsidR="5D28CD47" w:rsidRPr="00306F4D">
          <w:rPr>
            <w:rStyle w:val="Hyperlink"/>
            <w:rFonts w:ascii="Arial" w:eastAsia="Arial" w:hAnsi="Arial" w:cs="Arial"/>
            <w:color w:val="0563C1"/>
            <w:sz w:val="20"/>
            <w:szCs w:val="20"/>
            <w:lang w:val="en-IE"/>
          </w:rPr>
          <w:t>Latimpacto</w:t>
        </w:r>
        <w:proofErr w:type="spellEnd"/>
      </w:hyperlink>
      <w:r w:rsidR="5D28CD47" w:rsidRPr="00306F4D">
        <w:rPr>
          <w:rFonts w:ascii="Arial" w:eastAsia="Arial" w:hAnsi="Arial" w:cs="Arial"/>
          <w:sz w:val="20"/>
          <w:szCs w:val="20"/>
          <w:lang w:val="en-GB"/>
        </w:rPr>
        <w:t xml:space="preserve"> </w:t>
      </w:r>
      <w:r w:rsidR="500D5A2E" w:rsidRPr="00306F4D">
        <w:rPr>
          <w:rFonts w:ascii="Arial" w:eastAsia="Arial" w:hAnsi="Arial" w:cs="Arial"/>
          <w:sz w:val="20"/>
          <w:szCs w:val="20"/>
          <w:lang w:val="en-GB"/>
        </w:rPr>
        <w:t>and Impact Europe) can all offer additional networking, dissemination and knowledge brokering possibilities for the grantees under this regional project.</w:t>
      </w:r>
    </w:p>
    <w:p w14:paraId="527699E9" w14:textId="19D2E043" w:rsidR="41279826" w:rsidRPr="00306F4D" w:rsidRDefault="41279826" w:rsidP="4186447D">
      <w:pPr>
        <w:spacing w:before="240" w:after="240"/>
        <w:jc w:val="both"/>
        <w:rPr>
          <w:rFonts w:ascii="Arial" w:eastAsia="Arial" w:hAnsi="Arial" w:cs="Arial"/>
          <w:sz w:val="20"/>
          <w:szCs w:val="20"/>
          <w:lang w:val="en-GB"/>
        </w:rPr>
      </w:pPr>
      <w:r w:rsidRPr="00306F4D">
        <w:rPr>
          <w:rFonts w:ascii="Arial" w:eastAsia="Arial" w:hAnsi="Arial" w:cs="Arial"/>
          <w:sz w:val="20"/>
          <w:szCs w:val="20"/>
          <w:lang w:val="en-GB"/>
        </w:rPr>
        <w:t>The stakeholder ecosystems of the four UNDP Country Offices in the Western Balkans</w:t>
      </w:r>
      <w:r w:rsidR="42FCEE7A" w:rsidRPr="00306F4D">
        <w:rPr>
          <w:rFonts w:ascii="Arial" w:eastAsia="Arial" w:hAnsi="Arial" w:cs="Arial"/>
          <w:sz w:val="20"/>
          <w:szCs w:val="20"/>
          <w:lang w:val="en-GB"/>
        </w:rPr>
        <w:t xml:space="preserve"> alongside the Istanbul Regional Hub</w:t>
      </w:r>
      <w:r w:rsidRPr="00306F4D">
        <w:rPr>
          <w:rFonts w:ascii="Arial" w:eastAsia="Arial" w:hAnsi="Arial" w:cs="Arial"/>
          <w:sz w:val="20"/>
          <w:szCs w:val="20"/>
          <w:lang w:val="en-GB"/>
        </w:rPr>
        <w:t>, will facilitate the exchange of ideas, foster collaboration, and support the scaling of successful solutions</w:t>
      </w:r>
      <w:r w:rsidR="0F5EF3DA" w:rsidRPr="00306F4D">
        <w:rPr>
          <w:rFonts w:ascii="Arial" w:eastAsia="Arial" w:hAnsi="Arial" w:cs="Arial"/>
          <w:sz w:val="20"/>
          <w:szCs w:val="20"/>
          <w:lang w:val="en-GB"/>
        </w:rPr>
        <w:t xml:space="preserve">. </w:t>
      </w:r>
      <w:r w:rsidRPr="00306F4D">
        <w:rPr>
          <w:rFonts w:ascii="Arial" w:eastAsia="Arial" w:hAnsi="Arial" w:cs="Arial"/>
          <w:sz w:val="20"/>
          <w:szCs w:val="20"/>
          <w:lang w:val="en-GB"/>
        </w:rPr>
        <w:t>To enhance the knowledge base, the project will establish virtual connections with incubators, accelerators, innovation labs, and climate adaptation practitioners. These engagements will enrich the adaptation process by integrating diverse perspectives, providing tailored support to grantees, and ensuring that solutions are scalable, impactful, and aligned with regional and global best practices.</w:t>
      </w:r>
    </w:p>
    <w:p w14:paraId="1DFE2D90" w14:textId="7A1DB01C" w:rsidR="65FDC9A4" w:rsidRPr="00306F4D" w:rsidRDefault="38CCA057" w:rsidP="4186447D">
      <w:pPr>
        <w:spacing w:before="240" w:after="240"/>
        <w:jc w:val="both"/>
        <w:rPr>
          <w:rFonts w:ascii="Arial" w:eastAsia="Arial" w:hAnsi="Arial" w:cs="Arial"/>
          <w:sz w:val="20"/>
          <w:szCs w:val="20"/>
          <w:lang w:val="en-GB"/>
        </w:rPr>
      </w:pPr>
      <w:r w:rsidRPr="00306F4D">
        <w:rPr>
          <w:rFonts w:ascii="Arial" w:eastAsia="Arial" w:hAnsi="Arial" w:cs="Arial"/>
          <w:sz w:val="20"/>
          <w:szCs w:val="20"/>
          <w:lang w:val="en-GB"/>
        </w:rPr>
        <w:lastRenderedPageBreak/>
        <w:t xml:space="preserve">A </w:t>
      </w:r>
      <w:r w:rsidRPr="00306F4D">
        <w:rPr>
          <w:rFonts w:ascii="Arial" w:eastAsia="Arial" w:hAnsi="Arial" w:cs="Arial"/>
          <w:b/>
          <w:sz w:val="20"/>
          <w:szCs w:val="20"/>
          <w:lang w:val="en-GB"/>
        </w:rPr>
        <w:t>strategic communications and dissemination plan</w:t>
      </w:r>
      <w:r w:rsidRPr="00306F4D">
        <w:rPr>
          <w:rFonts w:ascii="Arial" w:eastAsia="Arial" w:hAnsi="Arial" w:cs="Arial"/>
          <w:sz w:val="20"/>
          <w:szCs w:val="20"/>
          <w:lang w:val="en-GB"/>
        </w:rPr>
        <w:t>, developed with UNDP Communication teams and adhering to UNDP’s Communication guidelines, will ensure that key learnings, achievements, and grantee impact stories are shared across national, regional, and global platforms</w:t>
      </w:r>
      <w:r w:rsidR="5FB8C656" w:rsidRPr="00306F4D">
        <w:rPr>
          <w:rFonts w:ascii="Arial" w:eastAsia="Arial" w:hAnsi="Arial" w:cs="Arial"/>
          <w:sz w:val="20"/>
          <w:szCs w:val="20"/>
          <w:lang w:val="en-GB"/>
        </w:rPr>
        <w:t xml:space="preserve"> and </w:t>
      </w:r>
      <w:r w:rsidR="101B1E32" w:rsidRPr="00306F4D">
        <w:rPr>
          <w:rFonts w:ascii="Arial" w:eastAsia="Arial" w:hAnsi="Arial" w:cs="Arial"/>
          <w:sz w:val="20"/>
          <w:szCs w:val="20"/>
          <w:lang w:val="en-GB"/>
        </w:rPr>
        <w:t>appropriate</w:t>
      </w:r>
      <w:r w:rsidR="5FB8C656" w:rsidRPr="00306F4D">
        <w:rPr>
          <w:rFonts w:ascii="Arial" w:eastAsia="Arial" w:hAnsi="Arial" w:cs="Arial"/>
          <w:sz w:val="20"/>
          <w:szCs w:val="20"/>
          <w:lang w:val="en-GB"/>
        </w:rPr>
        <w:t xml:space="preserve"> social media channels</w:t>
      </w:r>
      <w:r w:rsidRPr="00306F4D">
        <w:rPr>
          <w:rFonts w:ascii="Arial" w:eastAsia="Arial" w:hAnsi="Arial" w:cs="Arial"/>
          <w:sz w:val="20"/>
          <w:szCs w:val="20"/>
          <w:lang w:val="en-GB"/>
        </w:rPr>
        <w:t>. This plan will leverage UNDP’s communication channels, ensuring consistency with global messaging and alignment with organizational standards for disseminating climate adaptation insights.</w:t>
      </w:r>
    </w:p>
    <w:p w14:paraId="16B1B550" w14:textId="5C747DB6" w:rsidR="38CCA057" w:rsidRPr="00306F4D" w:rsidRDefault="38CCA057" w:rsidP="4186447D">
      <w:pPr>
        <w:spacing w:before="240" w:after="240"/>
        <w:jc w:val="both"/>
        <w:rPr>
          <w:rFonts w:ascii="Arial" w:eastAsia="Arial" w:hAnsi="Arial" w:cs="Arial"/>
          <w:sz w:val="20"/>
          <w:szCs w:val="20"/>
          <w:lang w:val="en-GB"/>
        </w:rPr>
      </w:pPr>
      <w:r w:rsidRPr="00306F4D">
        <w:rPr>
          <w:rFonts w:ascii="Arial" w:eastAsia="Arial" w:hAnsi="Arial" w:cs="Arial"/>
          <w:sz w:val="20"/>
          <w:szCs w:val="20"/>
          <w:lang w:val="en-GB"/>
        </w:rPr>
        <w:t>The communication efforts will include:</w:t>
      </w:r>
    </w:p>
    <w:p w14:paraId="45C41BF9" w14:textId="75242834" w:rsidR="38CCA057" w:rsidRPr="00306F4D" w:rsidRDefault="38CCA057" w:rsidP="4186447D">
      <w:pPr>
        <w:pStyle w:val="ListParagraph"/>
        <w:numPr>
          <w:ilvl w:val="0"/>
          <w:numId w:val="3"/>
        </w:numPr>
        <w:spacing w:before="240" w:after="240"/>
        <w:jc w:val="both"/>
        <w:rPr>
          <w:rFonts w:ascii="Arial" w:eastAsia="Arial" w:hAnsi="Arial" w:cs="Arial"/>
          <w:sz w:val="20"/>
          <w:szCs w:val="20"/>
          <w:lang w:val="en-GB"/>
        </w:rPr>
      </w:pPr>
      <w:r w:rsidRPr="00306F4D">
        <w:rPr>
          <w:rFonts w:ascii="Arial" w:eastAsia="Arial" w:hAnsi="Arial" w:cs="Arial"/>
          <w:sz w:val="20"/>
          <w:szCs w:val="20"/>
          <w:lang w:val="en-GB"/>
        </w:rPr>
        <w:t>Digital and social media content creation</w:t>
      </w:r>
    </w:p>
    <w:p w14:paraId="4131A6A3" w14:textId="153728D2" w:rsidR="38CCA057" w:rsidRPr="00306F4D" w:rsidRDefault="38CCA057" w:rsidP="4186447D">
      <w:pPr>
        <w:pStyle w:val="ListParagraph"/>
        <w:numPr>
          <w:ilvl w:val="0"/>
          <w:numId w:val="3"/>
        </w:numPr>
        <w:spacing w:before="240" w:after="240"/>
        <w:jc w:val="both"/>
        <w:rPr>
          <w:rFonts w:ascii="Arial" w:eastAsia="Arial" w:hAnsi="Arial" w:cs="Arial"/>
          <w:sz w:val="20"/>
          <w:szCs w:val="20"/>
          <w:lang w:val="en-GB"/>
        </w:rPr>
      </w:pPr>
      <w:r w:rsidRPr="00306F4D">
        <w:rPr>
          <w:rFonts w:ascii="Arial" w:eastAsia="Arial" w:hAnsi="Arial" w:cs="Arial"/>
          <w:sz w:val="20"/>
          <w:szCs w:val="20"/>
          <w:lang w:val="en-GB"/>
        </w:rPr>
        <w:t>Documentation of results and key learnings in reports like the Donor Progress Report</w:t>
      </w:r>
    </w:p>
    <w:p w14:paraId="6ADC3A0A" w14:textId="4C704705" w:rsidR="38CCA057" w:rsidRPr="00306F4D" w:rsidRDefault="38CCA057" w:rsidP="4186447D">
      <w:pPr>
        <w:pStyle w:val="ListParagraph"/>
        <w:numPr>
          <w:ilvl w:val="0"/>
          <w:numId w:val="3"/>
        </w:numPr>
        <w:spacing w:before="240" w:after="240"/>
        <w:jc w:val="both"/>
        <w:rPr>
          <w:rFonts w:ascii="Arial" w:eastAsia="Arial" w:hAnsi="Arial" w:cs="Arial"/>
          <w:sz w:val="20"/>
          <w:szCs w:val="20"/>
          <w:lang w:val="en-GB"/>
        </w:rPr>
      </w:pPr>
      <w:r w:rsidRPr="00306F4D">
        <w:rPr>
          <w:rFonts w:ascii="Arial" w:eastAsia="Arial" w:hAnsi="Arial" w:cs="Arial"/>
          <w:sz w:val="20"/>
          <w:szCs w:val="20"/>
          <w:lang w:val="en-GB"/>
        </w:rPr>
        <w:t>Participation in relevant events and forums</w:t>
      </w:r>
    </w:p>
    <w:p w14:paraId="48BF7555" w14:textId="26E30E82" w:rsidR="38CCA057" w:rsidRPr="00306F4D" w:rsidRDefault="38CCA057" w:rsidP="4186447D">
      <w:pPr>
        <w:spacing w:before="240" w:after="240"/>
        <w:jc w:val="both"/>
        <w:rPr>
          <w:rFonts w:ascii="Arial" w:eastAsia="Arial" w:hAnsi="Arial" w:cs="Arial"/>
          <w:sz w:val="20"/>
          <w:szCs w:val="20"/>
          <w:lang w:val="en-GB"/>
        </w:rPr>
      </w:pPr>
      <w:r w:rsidRPr="00306F4D">
        <w:rPr>
          <w:rFonts w:ascii="Arial" w:eastAsia="Arial" w:hAnsi="Arial" w:cs="Arial"/>
          <w:sz w:val="20"/>
          <w:szCs w:val="20"/>
          <w:lang w:val="en-GB"/>
        </w:rPr>
        <w:t xml:space="preserve">These efforts will amplify the project’s impact, ensuring that lessons reach key stakeholders such as policymakers, practitioners, and the broader public, ultimately supporting the scaling of </w:t>
      </w:r>
      <w:proofErr w:type="gramStart"/>
      <w:r w:rsidRPr="00306F4D">
        <w:rPr>
          <w:rFonts w:ascii="Arial" w:eastAsia="Arial" w:hAnsi="Arial" w:cs="Arial"/>
          <w:sz w:val="20"/>
          <w:szCs w:val="20"/>
          <w:lang w:val="en-GB"/>
        </w:rPr>
        <w:t>locally-led</w:t>
      </w:r>
      <w:proofErr w:type="gramEnd"/>
      <w:r w:rsidRPr="00306F4D">
        <w:rPr>
          <w:rFonts w:ascii="Arial" w:eastAsia="Arial" w:hAnsi="Arial" w:cs="Arial"/>
          <w:sz w:val="20"/>
          <w:szCs w:val="20"/>
          <w:lang w:val="en-GB"/>
        </w:rPr>
        <w:t>, gender-responsive adaptation solutions.</w:t>
      </w:r>
    </w:p>
    <w:p w14:paraId="4310A4F9" w14:textId="38E625E6" w:rsidR="38CCA057" w:rsidRPr="00306F4D" w:rsidRDefault="38CCA057" w:rsidP="4186447D">
      <w:pPr>
        <w:spacing w:before="240" w:after="240"/>
        <w:jc w:val="both"/>
        <w:rPr>
          <w:rFonts w:ascii="Arial" w:eastAsia="Arial" w:hAnsi="Arial" w:cs="Arial"/>
          <w:sz w:val="20"/>
          <w:szCs w:val="20"/>
          <w:lang w:val="en-GB"/>
        </w:rPr>
      </w:pPr>
      <w:r w:rsidRPr="00306F4D">
        <w:rPr>
          <w:rFonts w:ascii="Arial" w:eastAsia="Arial" w:hAnsi="Arial" w:cs="Arial"/>
          <w:sz w:val="20"/>
          <w:szCs w:val="20"/>
          <w:lang w:val="en-GB"/>
        </w:rPr>
        <w:t>The project will also utilize existing tools like CoP platforms (e.g., Slack and Microsoft Teams) and survey tools (e.g., SurveyMonkey and Google Forms) for real-time engagement and data collection. This will ensure ongoing knowledge exchange and support the scaling and replication of innovative adaptation solutions.</w:t>
      </w:r>
    </w:p>
    <w:p w14:paraId="7212C480" w14:textId="5135CAF5" w:rsidR="75E4D5FE" w:rsidRPr="00306F4D" w:rsidRDefault="75E4D5FE" w:rsidP="4186447D">
      <w:pPr>
        <w:spacing w:before="240" w:after="240"/>
        <w:jc w:val="both"/>
        <w:rPr>
          <w:rFonts w:ascii="Arial" w:eastAsia="Arial" w:hAnsi="Arial" w:cs="Arial"/>
          <w:sz w:val="20"/>
          <w:szCs w:val="20"/>
          <w:lang w:val="en-GB"/>
        </w:rPr>
      </w:pPr>
      <w:r w:rsidRPr="00306F4D">
        <w:rPr>
          <w:rFonts w:ascii="Arial" w:eastAsia="Arial" w:hAnsi="Arial" w:cs="Arial"/>
          <w:sz w:val="20"/>
          <w:szCs w:val="20"/>
          <w:lang w:val="en-GB"/>
        </w:rPr>
        <w:t>The Adaptation Fund’s contribution will be prominently highlighted at key stages throughout the project, including grant sourcing, screening, and administration. UNDP will develop knowledge products that clearly demonstrate the impact of the Adaptation Fund, featuring key success stories that will be shared in broader external communications. Grantees will be encouraged to recognize the support of the Adaptation Fund and UNDP in their communications, ensuring proper acknowledgment without co-branding.</w:t>
      </w:r>
      <w:r w:rsidR="281EF976" w:rsidRPr="00306F4D">
        <w:rPr>
          <w:rFonts w:ascii="Arial" w:eastAsia="Arial" w:hAnsi="Arial" w:cs="Arial"/>
          <w:sz w:val="20"/>
          <w:szCs w:val="20"/>
          <w:lang w:val="en-GB"/>
        </w:rPr>
        <w:t xml:space="preserve"> </w:t>
      </w:r>
      <w:r w:rsidR="53FD6878" w:rsidRPr="00306F4D">
        <w:rPr>
          <w:rFonts w:ascii="Arial" w:eastAsia="Arial" w:hAnsi="Arial" w:cs="Arial"/>
          <w:sz w:val="20"/>
          <w:szCs w:val="20"/>
          <w:lang w:val="en-GB"/>
        </w:rPr>
        <w:t>Some examples of UNDP’s</w:t>
      </w:r>
      <w:r w:rsidR="281EF976" w:rsidRPr="00306F4D">
        <w:rPr>
          <w:rFonts w:ascii="Arial" w:eastAsia="Arial" w:hAnsi="Arial" w:cs="Arial"/>
          <w:sz w:val="20"/>
          <w:szCs w:val="20"/>
          <w:lang w:val="en-GB"/>
        </w:rPr>
        <w:t xml:space="preserve"> communication products</w:t>
      </w:r>
      <w:r w:rsidR="6176311D" w:rsidRPr="00306F4D">
        <w:rPr>
          <w:rFonts w:ascii="Arial" w:eastAsia="Arial" w:hAnsi="Arial" w:cs="Arial"/>
          <w:sz w:val="20"/>
          <w:szCs w:val="20"/>
          <w:lang w:val="en-GB"/>
        </w:rPr>
        <w:t xml:space="preserve"> related to adaptation for innovation solutions</w:t>
      </w:r>
      <w:r w:rsidR="281EF976" w:rsidRPr="00306F4D">
        <w:rPr>
          <w:rFonts w:ascii="Arial" w:eastAsia="Arial" w:hAnsi="Arial" w:cs="Arial"/>
          <w:sz w:val="20"/>
          <w:szCs w:val="20"/>
          <w:lang w:val="en-GB"/>
        </w:rPr>
        <w:t xml:space="preserve"> can be found below:</w:t>
      </w:r>
    </w:p>
    <w:p w14:paraId="590BD3A1" w14:textId="7EED6E23" w:rsidR="3A06F05B" w:rsidRPr="00306F4D" w:rsidRDefault="3A06F05B" w:rsidP="00DC620C">
      <w:pPr>
        <w:pStyle w:val="ListParagraph"/>
        <w:numPr>
          <w:ilvl w:val="0"/>
          <w:numId w:val="90"/>
        </w:numPr>
        <w:spacing w:before="240" w:after="240"/>
        <w:jc w:val="both"/>
        <w:rPr>
          <w:rFonts w:ascii="Arial" w:eastAsia="Arial" w:hAnsi="Arial" w:cs="Arial"/>
          <w:color w:val="000000" w:themeColor="text1"/>
          <w:sz w:val="20"/>
          <w:szCs w:val="20"/>
          <w:lang w:val="en-GB"/>
        </w:rPr>
      </w:pPr>
      <w:r w:rsidRPr="00306F4D">
        <w:rPr>
          <w:rFonts w:ascii="Arial" w:eastAsia="Arial" w:hAnsi="Arial" w:cs="Arial"/>
          <w:color w:val="000000" w:themeColor="text1"/>
          <w:sz w:val="20"/>
          <w:szCs w:val="20"/>
          <w:lang w:val="en-GB"/>
        </w:rPr>
        <w:t xml:space="preserve">Showcasing AIM and UNDP-AFCIA as UNDP’s </w:t>
      </w:r>
      <w:hyperlink r:id="rId53">
        <w:r w:rsidRPr="00306F4D">
          <w:rPr>
            <w:rStyle w:val="Hyperlink"/>
            <w:rFonts w:ascii="Arial" w:eastAsia="Arial" w:hAnsi="Arial" w:cs="Arial"/>
            <w:sz w:val="20"/>
            <w:szCs w:val="20"/>
            <w:lang w:val="en-GB"/>
          </w:rPr>
          <w:t>Climate Promise flagship initiative</w:t>
        </w:r>
      </w:hyperlink>
      <w:r w:rsidRPr="00306F4D">
        <w:rPr>
          <w:rFonts w:ascii="Arial" w:eastAsia="Arial" w:hAnsi="Arial" w:cs="Arial"/>
          <w:color w:val="000000" w:themeColor="text1"/>
          <w:sz w:val="20"/>
          <w:szCs w:val="20"/>
          <w:lang w:val="en-GB"/>
        </w:rPr>
        <w:t>.</w:t>
      </w:r>
    </w:p>
    <w:p w14:paraId="73C3D5F3" w14:textId="4204F833" w:rsidR="3A06F05B" w:rsidRPr="00306F4D" w:rsidRDefault="3A06F05B" w:rsidP="00DC620C">
      <w:pPr>
        <w:pStyle w:val="ListParagraph"/>
        <w:numPr>
          <w:ilvl w:val="0"/>
          <w:numId w:val="90"/>
        </w:numPr>
        <w:spacing w:before="240" w:after="240"/>
        <w:jc w:val="both"/>
        <w:rPr>
          <w:rFonts w:ascii="Arial" w:eastAsia="Arial" w:hAnsi="Arial" w:cs="Arial"/>
          <w:color w:val="000000" w:themeColor="text1"/>
          <w:sz w:val="20"/>
          <w:szCs w:val="20"/>
          <w:lang w:val="en-GB"/>
        </w:rPr>
      </w:pPr>
      <w:r w:rsidRPr="00306F4D">
        <w:rPr>
          <w:rFonts w:ascii="Arial" w:eastAsia="Arial" w:hAnsi="Arial" w:cs="Arial"/>
          <w:color w:val="000000" w:themeColor="text1"/>
          <w:sz w:val="20"/>
          <w:szCs w:val="20"/>
          <w:lang w:val="en-GB"/>
        </w:rPr>
        <w:t xml:space="preserve">UNDP-AFCIA's </w:t>
      </w:r>
      <w:hyperlink r:id="rId54">
        <w:r w:rsidRPr="00306F4D">
          <w:rPr>
            <w:rStyle w:val="Hyperlink"/>
            <w:rFonts w:ascii="Arial" w:eastAsia="Arial" w:hAnsi="Arial" w:cs="Arial"/>
            <w:sz w:val="20"/>
            <w:szCs w:val="20"/>
            <w:lang w:val="en-GB"/>
          </w:rPr>
          <w:t>grantee stories</w:t>
        </w:r>
      </w:hyperlink>
    </w:p>
    <w:p w14:paraId="1D0489BB" w14:textId="35FA5D2F" w:rsidR="3A06F05B" w:rsidRPr="00306F4D" w:rsidRDefault="3A06F05B" w:rsidP="00DC620C">
      <w:pPr>
        <w:pStyle w:val="ListParagraph"/>
        <w:numPr>
          <w:ilvl w:val="0"/>
          <w:numId w:val="90"/>
        </w:numPr>
        <w:spacing w:before="240" w:after="240"/>
        <w:jc w:val="both"/>
        <w:rPr>
          <w:rFonts w:ascii="Arial" w:eastAsia="Arial" w:hAnsi="Arial" w:cs="Arial"/>
          <w:color w:val="000000" w:themeColor="text1"/>
          <w:sz w:val="20"/>
          <w:szCs w:val="20"/>
          <w:lang w:val="en-GB"/>
        </w:rPr>
      </w:pPr>
      <w:r w:rsidRPr="00306F4D">
        <w:rPr>
          <w:rFonts w:ascii="Arial" w:eastAsia="Arial" w:hAnsi="Arial" w:cs="Arial"/>
          <w:color w:val="000000" w:themeColor="text1"/>
          <w:sz w:val="20"/>
          <w:szCs w:val="20"/>
          <w:lang w:val="en-GB"/>
        </w:rPr>
        <w:t xml:space="preserve">UNDP-AFCIA's </w:t>
      </w:r>
      <w:hyperlink r:id="rId55">
        <w:r w:rsidRPr="00306F4D">
          <w:rPr>
            <w:rStyle w:val="Hyperlink"/>
            <w:rFonts w:ascii="Arial" w:eastAsia="Arial" w:hAnsi="Arial" w:cs="Arial"/>
            <w:sz w:val="20"/>
            <w:szCs w:val="20"/>
            <w:lang w:val="en-GB"/>
          </w:rPr>
          <w:t>catalogue factsheets</w:t>
        </w:r>
      </w:hyperlink>
    </w:p>
    <w:p w14:paraId="55C37E31" w14:textId="107F9C40" w:rsidR="3A06F05B" w:rsidRPr="00306F4D" w:rsidRDefault="3A06F05B" w:rsidP="00DC620C">
      <w:pPr>
        <w:pStyle w:val="ListParagraph"/>
        <w:numPr>
          <w:ilvl w:val="0"/>
          <w:numId w:val="90"/>
        </w:numPr>
        <w:spacing w:before="240" w:after="240"/>
        <w:jc w:val="both"/>
        <w:rPr>
          <w:rFonts w:ascii="Arial" w:eastAsia="Arial" w:hAnsi="Arial" w:cs="Arial"/>
          <w:color w:val="000000" w:themeColor="text1"/>
          <w:sz w:val="20"/>
          <w:szCs w:val="20"/>
          <w:lang w:val="en-GB"/>
        </w:rPr>
      </w:pPr>
      <w:r w:rsidRPr="00306F4D">
        <w:rPr>
          <w:rFonts w:ascii="Arial" w:eastAsia="Arial" w:hAnsi="Arial" w:cs="Arial"/>
          <w:color w:val="000000" w:themeColor="text1"/>
          <w:sz w:val="20"/>
          <w:szCs w:val="20"/>
          <w:lang w:val="en-GB"/>
        </w:rPr>
        <w:t xml:space="preserve">UNDP-AFCIA's </w:t>
      </w:r>
      <w:hyperlink r:id="rId56">
        <w:r w:rsidRPr="00306F4D">
          <w:rPr>
            <w:rStyle w:val="Hyperlink"/>
            <w:rFonts w:ascii="Arial" w:eastAsia="Arial" w:hAnsi="Arial" w:cs="Arial"/>
            <w:sz w:val="20"/>
            <w:szCs w:val="20"/>
            <w:lang w:val="en-GB"/>
          </w:rPr>
          <w:t>videos</w:t>
        </w:r>
      </w:hyperlink>
      <w:r w:rsidRPr="00306F4D">
        <w:rPr>
          <w:rFonts w:ascii="Arial" w:eastAsia="Arial" w:hAnsi="Arial" w:cs="Arial"/>
          <w:color w:val="000000" w:themeColor="text1"/>
          <w:sz w:val="20"/>
          <w:szCs w:val="20"/>
          <w:lang w:val="en-GB"/>
        </w:rPr>
        <w:t xml:space="preserve"> and </w:t>
      </w:r>
      <w:hyperlink r:id="rId57">
        <w:r w:rsidRPr="00306F4D">
          <w:rPr>
            <w:rStyle w:val="Hyperlink"/>
            <w:rFonts w:ascii="Arial" w:eastAsia="Arial" w:hAnsi="Arial" w:cs="Arial"/>
            <w:sz w:val="20"/>
            <w:szCs w:val="20"/>
            <w:lang w:val="en-GB"/>
          </w:rPr>
          <w:t>Flickr</w:t>
        </w:r>
      </w:hyperlink>
    </w:p>
    <w:p w14:paraId="7768ABDA" w14:textId="52B83DF0" w:rsidR="56A9CC5D" w:rsidRPr="00306F4D" w:rsidRDefault="56A9CC5D" w:rsidP="00DC620C">
      <w:pPr>
        <w:pStyle w:val="ListParagraph"/>
        <w:numPr>
          <w:ilvl w:val="0"/>
          <w:numId w:val="90"/>
        </w:numPr>
        <w:spacing w:before="240" w:after="240"/>
        <w:jc w:val="both"/>
        <w:rPr>
          <w:rFonts w:ascii="Arial" w:eastAsia="Arial" w:hAnsi="Arial" w:cs="Arial"/>
          <w:color w:val="000000" w:themeColor="text1"/>
          <w:sz w:val="20"/>
          <w:szCs w:val="20"/>
          <w:lang w:val="en-GB"/>
        </w:rPr>
      </w:pPr>
      <w:hyperlink r:id="rId58">
        <w:r w:rsidRPr="00306F4D">
          <w:rPr>
            <w:rStyle w:val="Hyperlink"/>
            <w:rFonts w:ascii="Arial" w:eastAsia="Arial" w:hAnsi="Arial" w:cs="Arial"/>
            <w:sz w:val="20"/>
            <w:szCs w:val="20"/>
            <w:lang w:val="en-GB"/>
          </w:rPr>
          <w:t>UNDPs Innovation platform in Eurasia</w:t>
        </w:r>
      </w:hyperlink>
      <w:r w:rsidRPr="00306F4D">
        <w:rPr>
          <w:rFonts w:ascii="Arial" w:eastAsia="Arial" w:hAnsi="Arial" w:cs="Arial"/>
          <w:color w:val="000000" w:themeColor="text1"/>
          <w:sz w:val="20"/>
          <w:szCs w:val="20"/>
          <w:lang w:val="en-GB"/>
        </w:rPr>
        <w:t xml:space="preserve"> (landing page for all innovation related pro</w:t>
      </w:r>
      <w:r w:rsidR="45F15BFC" w:rsidRPr="00306F4D">
        <w:rPr>
          <w:rFonts w:ascii="Arial" w:eastAsia="Arial" w:hAnsi="Arial" w:cs="Arial"/>
          <w:color w:val="000000" w:themeColor="text1"/>
          <w:sz w:val="20"/>
          <w:szCs w:val="20"/>
          <w:lang w:val="en-GB"/>
        </w:rPr>
        <w:t>ject)</w:t>
      </w:r>
    </w:p>
    <w:p w14:paraId="203357CF" w14:textId="4DF8AED0" w:rsidR="0E74F4E4" w:rsidRPr="00306F4D" w:rsidRDefault="0E74F4E4" w:rsidP="4186447D">
      <w:pPr>
        <w:spacing w:before="240" w:after="240"/>
        <w:jc w:val="both"/>
        <w:rPr>
          <w:rFonts w:ascii="Arial" w:eastAsia="Arial" w:hAnsi="Arial" w:cs="Arial"/>
          <w:sz w:val="20"/>
          <w:szCs w:val="20"/>
          <w:lang w:val="en-GB"/>
        </w:rPr>
      </w:pPr>
      <w:r w:rsidRPr="00306F4D">
        <w:rPr>
          <w:rFonts w:ascii="Arial" w:eastAsia="Arial" w:hAnsi="Arial" w:cs="Arial"/>
          <w:sz w:val="20"/>
          <w:szCs w:val="20"/>
          <w:lang w:val="en-GB"/>
        </w:rPr>
        <w:t>The Regional Project will create a dynamic, inclusive learning environment that fosters knowledge exchange and supports the scaling and replication of successful adaptation solutions. Through a comprehensive knowledge exchange framework, the project will encourage collaboration, continuous learning, and innovation. This approach will empower grantees to strengthen their capacity to effectively tackle climate challenges across the Western Balkans.</w:t>
      </w:r>
      <w:r w:rsidR="760BB723" w:rsidRPr="00306F4D">
        <w:rPr>
          <w:rFonts w:ascii="Arial" w:eastAsia="Arial" w:hAnsi="Arial" w:cs="Arial"/>
          <w:sz w:val="20"/>
          <w:szCs w:val="20"/>
          <w:lang w:val="en-GB"/>
        </w:rPr>
        <w:t xml:space="preserve"> </w:t>
      </w:r>
    </w:p>
    <w:p w14:paraId="13F51892" w14:textId="6476D6F1" w:rsidR="36B59F42" w:rsidRPr="00306F4D" w:rsidRDefault="36B59F42" w:rsidP="4186447D">
      <w:pPr>
        <w:spacing w:before="240" w:after="240"/>
        <w:jc w:val="both"/>
        <w:rPr>
          <w:rFonts w:ascii="Arial" w:hAnsi="Arial" w:cs="Arial"/>
          <w:sz w:val="20"/>
          <w:szCs w:val="20"/>
        </w:rPr>
      </w:pPr>
      <w:r w:rsidRPr="00306F4D">
        <w:rPr>
          <w:rFonts w:ascii="Arial" w:eastAsia="Arial" w:hAnsi="Arial" w:cs="Arial"/>
          <w:sz w:val="20"/>
          <w:szCs w:val="20"/>
          <w:lang w:val="en-GB"/>
        </w:rPr>
        <w:t xml:space="preserve">The project's </w:t>
      </w:r>
      <w:r w:rsidRPr="00306F4D">
        <w:rPr>
          <w:rFonts w:ascii="Arial" w:eastAsia="Arial" w:hAnsi="Arial" w:cs="Arial"/>
          <w:b/>
          <w:bCs/>
          <w:sz w:val="20"/>
          <w:szCs w:val="20"/>
          <w:lang w:val="en-GB"/>
        </w:rPr>
        <w:t>digital-first approach</w:t>
      </w:r>
      <w:r w:rsidRPr="00306F4D">
        <w:rPr>
          <w:rFonts w:ascii="Arial" w:eastAsia="Arial" w:hAnsi="Arial" w:cs="Arial"/>
          <w:sz w:val="20"/>
          <w:szCs w:val="20"/>
          <w:lang w:val="en-GB"/>
        </w:rPr>
        <w:t xml:space="preserve">, incorporating online workshops, virtual collaboration platforms, and generative AI tools for innovation and knowledge co-creation, will measurably enhance participants' digital literacy and technological skills while strengthening their capacity to develop and scale </w:t>
      </w:r>
      <w:proofErr w:type="gramStart"/>
      <w:r w:rsidRPr="00306F4D">
        <w:rPr>
          <w:rFonts w:ascii="Arial" w:eastAsia="Arial" w:hAnsi="Arial" w:cs="Arial"/>
          <w:sz w:val="20"/>
          <w:szCs w:val="20"/>
          <w:lang w:val="en-GB"/>
        </w:rPr>
        <w:t>locally-led</w:t>
      </w:r>
      <w:proofErr w:type="gramEnd"/>
      <w:r w:rsidRPr="00306F4D">
        <w:rPr>
          <w:rFonts w:ascii="Arial" w:eastAsia="Arial" w:hAnsi="Arial" w:cs="Arial"/>
          <w:sz w:val="20"/>
          <w:szCs w:val="20"/>
          <w:lang w:val="en-GB"/>
        </w:rPr>
        <w:t xml:space="preserve"> climate adaptation solutions.</w:t>
      </w:r>
    </w:p>
    <w:p w14:paraId="02A8C2E0" w14:textId="506E34BA" w:rsidR="598CDEEF" w:rsidRPr="00306F4D" w:rsidRDefault="598CDEEF" w:rsidP="4186447D">
      <w:pPr>
        <w:pStyle w:val="Heading3"/>
        <w:spacing w:before="281" w:after="281"/>
        <w:jc w:val="both"/>
        <w:rPr>
          <w:rFonts w:ascii="Arial" w:eastAsia="Arial" w:hAnsi="Arial" w:cs="Arial"/>
          <w:b/>
          <w:sz w:val="20"/>
          <w:szCs w:val="20"/>
          <w:lang w:val="en-GB"/>
        </w:rPr>
      </w:pPr>
      <w:r w:rsidRPr="00306F4D">
        <w:rPr>
          <w:rFonts w:ascii="Arial" w:eastAsia="Arial" w:hAnsi="Arial" w:cs="Arial"/>
          <w:b/>
          <w:color w:val="000000" w:themeColor="text1"/>
          <w:sz w:val="20"/>
          <w:szCs w:val="20"/>
          <w:lang w:val="en-GB"/>
        </w:rPr>
        <w:t>Knowledge Management and Monitoring</w:t>
      </w:r>
    </w:p>
    <w:p w14:paraId="06DD80E7" w14:textId="563537BE" w:rsidR="598CDEEF" w:rsidRPr="00306F4D" w:rsidRDefault="0EDEE5D4" w:rsidP="4186447D">
      <w:pPr>
        <w:spacing w:before="240" w:after="240"/>
        <w:jc w:val="both"/>
        <w:rPr>
          <w:rFonts w:ascii="Arial" w:eastAsia="Arial" w:hAnsi="Arial" w:cs="Arial"/>
          <w:sz w:val="20"/>
          <w:szCs w:val="20"/>
          <w:lang w:val="en-GB"/>
        </w:rPr>
      </w:pPr>
      <w:r w:rsidRPr="00306F4D">
        <w:rPr>
          <w:rFonts w:ascii="Arial" w:eastAsia="Arial" w:hAnsi="Arial" w:cs="Arial"/>
          <w:sz w:val="20"/>
          <w:szCs w:val="20"/>
          <w:lang w:val="en-GB"/>
        </w:rPr>
        <w:t>A</w:t>
      </w:r>
      <w:r w:rsidR="0C83CD49" w:rsidRPr="00306F4D">
        <w:rPr>
          <w:rFonts w:ascii="Arial" w:eastAsia="Arial" w:hAnsi="Arial" w:cs="Arial"/>
          <w:sz w:val="20"/>
          <w:szCs w:val="20"/>
          <w:lang w:val="en-GB"/>
        </w:rPr>
        <w:t>s described in more detail in separate section, a</w:t>
      </w:r>
      <w:r w:rsidR="598CDEEF" w:rsidRPr="00306F4D">
        <w:rPr>
          <w:rFonts w:ascii="Arial" w:eastAsia="Arial" w:hAnsi="Arial" w:cs="Arial"/>
          <w:sz w:val="20"/>
          <w:szCs w:val="20"/>
          <w:lang w:val="en-GB"/>
        </w:rPr>
        <w:t xml:space="preserve"> robust results-based monitoring</w:t>
      </w:r>
      <w:r w:rsidR="6DF95913" w:rsidRPr="00306F4D">
        <w:rPr>
          <w:rFonts w:ascii="Arial" w:eastAsia="Arial" w:hAnsi="Arial" w:cs="Arial"/>
          <w:sz w:val="20"/>
          <w:szCs w:val="20"/>
          <w:lang w:val="en-GB"/>
        </w:rPr>
        <w:t xml:space="preserve">, </w:t>
      </w:r>
      <w:r w:rsidR="598CDEEF" w:rsidRPr="00306F4D">
        <w:rPr>
          <w:rFonts w:ascii="Arial" w:eastAsia="Arial" w:hAnsi="Arial" w:cs="Arial"/>
          <w:sz w:val="20"/>
          <w:szCs w:val="20"/>
          <w:lang w:val="en-GB"/>
        </w:rPr>
        <w:t xml:space="preserve">evaluation </w:t>
      </w:r>
      <w:r w:rsidR="76A23DBE" w:rsidRPr="00306F4D">
        <w:rPr>
          <w:rFonts w:ascii="Arial" w:eastAsia="Arial" w:hAnsi="Arial" w:cs="Arial"/>
          <w:sz w:val="20"/>
          <w:szCs w:val="20"/>
          <w:lang w:val="en-GB"/>
        </w:rPr>
        <w:t>and learning</w:t>
      </w:r>
      <w:r w:rsidRPr="00306F4D">
        <w:rPr>
          <w:rFonts w:ascii="Arial" w:eastAsia="Arial" w:hAnsi="Arial" w:cs="Arial"/>
          <w:sz w:val="20"/>
          <w:szCs w:val="20"/>
          <w:lang w:val="en-GB"/>
        </w:rPr>
        <w:t xml:space="preserve"> (ME</w:t>
      </w:r>
      <w:r w:rsidR="679FDAFB" w:rsidRPr="00306F4D">
        <w:rPr>
          <w:rFonts w:ascii="Arial" w:eastAsia="Arial" w:hAnsi="Arial" w:cs="Arial"/>
          <w:sz w:val="20"/>
          <w:szCs w:val="20"/>
          <w:lang w:val="en-GB"/>
        </w:rPr>
        <w:t>L</w:t>
      </w:r>
      <w:r w:rsidR="598CDEEF" w:rsidRPr="00306F4D">
        <w:rPr>
          <w:rFonts w:ascii="Arial" w:eastAsia="Arial" w:hAnsi="Arial" w:cs="Arial"/>
          <w:sz w:val="20"/>
          <w:szCs w:val="20"/>
          <w:lang w:val="en-GB"/>
        </w:rPr>
        <w:t xml:space="preserve">) framework will guide project implementation, allowing for the measurement of progress, identification of emerging challenges, and adaptive management. The </w:t>
      </w:r>
      <w:r w:rsidRPr="00306F4D">
        <w:rPr>
          <w:rFonts w:ascii="Arial" w:eastAsia="Arial" w:hAnsi="Arial" w:cs="Arial"/>
          <w:sz w:val="20"/>
          <w:szCs w:val="20"/>
          <w:lang w:val="en-GB"/>
        </w:rPr>
        <w:t>ME</w:t>
      </w:r>
      <w:r w:rsidR="498E35DD" w:rsidRPr="00306F4D">
        <w:rPr>
          <w:rFonts w:ascii="Arial" w:eastAsia="Arial" w:hAnsi="Arial" w:cs="Arial"/>
          <w:sz w:val="20"/>
          <w:szCs w:val="20"/>
          <w:lang w:val="en-GB"/>
        </w:rPr>
        <w:t>L</w:t>
      </w:r>
      <w:r w:rsidR="598CDEEF" w:rsidRPr="00306F4D">
        <w:rPr>
          <w:rFonts w:ascii="Arial" w:eastAsia="Arial" w:hAnsi="Arial" w:cs="Arial"/>
          <w:sz w:val="20"/>
          <w:szCs w:val="20"/>
          <w:lang w:val="en-GB"/>
        </w:rPr>
        <w:t xml:space="preserve"> framework will be conducted in line with UNDP and AF requirements, ensuring accountability, learning, and adaptive management across the four participating countries. A dedicated knowledge management system will capture lessons learned, good practices, and innovations, </w:t>
      </w:r>
      <w:r w:rsidR="598CDEEF" w:rsidRPr="00306F4D">
        <w:rPr>
          <w:rFonts w:ascii="Arial" w:eastAsia="Arial" w:hAnsi="Arial" w:cs="Arial"/>
          <w:sz w:val="20"/>
          <w:szCs w:val="20"/>
          <w:lang w:val="en-GB"/>
        </w:rPr>
        <w:lastRenderedPageBreak/>
        <w:t>disseminating them across regional and global adaptation platforms to support continuous learning and contribute to broader climate adaptation agendas.</w:t>
      </w:r>
    </w:p>
    <w:p w14:paraId="1984260E" w14:textId="79ACD30B" w:rsidR="598CDEEF" w:rsidRPr="00306F4D" w:rsidRDefault="598CDEEF" w:rsidP="4186447D">
      <w:pPr>
        <w:spacing w:before="240" w:after="240"/>
        <w:jc w:val="both"/>
        <w:rPr>
          <w:rFonts w:ascii="Arial" w:eastAsia="Arial" w:hAnsi="Arial" w:cs="Arial"/>
          <w:sz w:val="20"/>
          <w:szCs w:val="20"/>
          <w:lang w:val="en-GB"/>
        </w:rPr>
      </w:pPr>
      <w:r w:rsidRPr="00306F4D">
        <w:rPr>
          <w:rFonts w:ascii="Arial" w:eastAsia="Arial" w:hAnsi="Arial" w:cs="Arial"/>
          <w:sz w:val="20"/>
          <w:szCs w:val="20"/>
          <w:lang w:val="en-GB"/>
        </w:rPr>
        <w:t xml:space="preserve">The </w:t>
      </w:r>
      <w:r w:rsidR="0EDEE5D4" w:rsidRPr="00306F4D">
        <w:rPr>
          <w:rFonts w:ascii="Arial" w:eastAsia="Arial" w:hAnsi="Arial" w:cs="Arial"/>
          <w:sz w:val="20"/>
          <w:szCs w:val="20"/>
          <w:lang w:val="en-GB"/>
        </w:rPr>
        <w:t>ME</w:t>
      </w:r>
      <w:r w:rsidR="68D7BE85" w:rsidRPr="00306F4D">
        <w:rPr>
          <w:rFonts w:ascii="Arial" w:eastAsia="Arial" w:hAnsi="Arial" w:cs="Arial"/>
          <w:sz w:val="20"/>
          <w:szCs w:val="20"/>
          <w:lang w:val="en-GB"/>
        </w:rPr>
        <w:t>L</w:t>
      </w:r>
      <w:r w:rsidRPr="00306F4D">
        <w:rPr>
          <w:rFonts w:ascii="Arial" w:eastAsia="Arial" w:hAnsi="Arial" w:cs="Arial"/>
          <w:sz w:val="20"/>
          <w:szCs w:val="20"/>
          <w:lang w:val="en-GB"/>
        </w:rPr>
        <w:t xml:space="preserve"> system will be coordinated by the UNDP Istanbul Regional Hub</w:t>
      </w:r>
      <w:r w:rsidR="0A9C6651" w:rsidRPr="00306F4D">
        <w:rPr>
          <w:rFonts w:ascii="Arial" w:eastAsia="Arial" w:hAnsi="Arial" w:cs="Arial"/>
          <w:sz w:val="20"/>
          <w:szCs w:val="20"/>
          <w:lang w:val="en-GB"/>
        </w:rPr>
        <w:t xml:space="preserve"> as project lead</w:t>
      </w:r>
      <w:r w:rsidRPr="00306F4D">
        <w:rPr>
          <w:rFonts w:ascii="Arial" w:eastAsia="Arial" w:hAnsi="Arial" w:cs="Arial"/>
          <w:sz w:val="20"/>
          <w:szCs w:val="20"/>
          <w:lang w:val="en-GB"/>
        </w:rPr>
        <w:t>, with oversight from the technical team and implementation support from the UNDP Country Offices. The framework will include:</w:t>
      </w:r>
    </w:p>
    <w:p w14:paraId="6A79CDB5" w14:textId="0AEED615" w:rsidR="598CDEEF" w:rsidRPr="00306F4D" w:rsidRDefault="598CDEEF" w:rsidP="49C6F20D">
      <w:pPr>
        <w:pStyle w:val="ListParagraph"/>
        <w:numPr>
          <w:ilvl w:val="0"/>
          <w:numId w:val="5"/>
        </w:numPr>
        <w:spacing w:before="240" w:after="240"/>
        <w:rPr>
          <w:rFonts w:ascii="Arial" w:eastAsia="Arial" w:hAnsi="Arial" w:cs="Arial"/>
          <w:sz w:val="20"/>
          <w:szCs w:val="20"/>
          <w:lang w:val="en-GB"/>
        </w:rPr>
      </w:pPr>
      <w:r w:rsidRPr="00306F4D">
        <w:rPr>
          <w:rFonts w:ascii="Arial" w:eastAsia="Arial" w:hAnsi="Arial" w:cs="Arial"/>
          <w:sz w:val="20"/>
          <w:szCs w:val="20"/>
          <w:lang w:val="en-GB"/>
        </w:rPr>
        <w:t>A web-based digital data collection system for quarterly grantee reports</w:t>
      </w:r>
    </w:p>
    <w:p w14:paraId="1F84717C" w14:textId="74CDB50E" w:rsidR="598CDEEF" w:rsidRPr="00306F4D" w:rsidRDefault="598CDEEF" w:rsidP="49C6F20D">
      <w:pPr>
        <w:pStyle w:val="ListParagraph"/>
        <w:numPr>
          <w:ilvl w:val="0"/>
          <w:numId w:val="5"/>
        </w:numPr>
        <w:spacing w:before="240" w:after="240"/>
        <w:rPr>
          <w:rFonts w:ascii="Arial" w:eastAsia="Arial" w:hAnsi="Arial" w:cs="Arial"/>
          <w:sz w:val="20"/>
          <w:szCs w:val="20"/>
          <w:lang w:val="en-GB"/>
        </w:rPr>
      </w:pPr>
      <w:r w:rsidRPr="00306F4D">
        <w:rPr>
          <w:rFonts w:ascii="Arial" w:eastAsia="Arial" w:hAnsi="Arial" w:cs="Arial"/>
          <w:sz w:val="20"/>
          <w:szCs w:val="20"/>
          <w:lang w:val="en-GB"/>
        </w:rPr>
        <w:t>A results-based reporting template designed to meet both UNDP and AF requirements</w:t>
      </w:r>
    </w:p>
    <w:p w14:paraId="7599B648" w14:textId="43AFD2CC" w:rsidR="598CDEEF" w:rsidRPr="00306F4D" w:rsidRDefault="598CDEEF" w:rsidP="49C6F20D">
      <w:pPr>
        <w:pStyle w:val="ListParagraph"/>
        <w:numPr>
          <w:ilvl w:val="0"/>
          <w:numId w:val="5"/>
        </w:numPr>
        <w:spacing w:before="240" w:after="240"/>
        <w:rPr>
          <w:rFonts w:ascii="Arial" w:eastAsia="Arial" w:hAnsi="Arial" w:cs="Arial"/>
          <w:sz w:val="20"/>
          <w:szCs w:val="20"/>
          <w:lang w:val="en-GB"/>
        </w:rPr>
      </w:pPr>
      <w:r w:rsidRPr="00306F4D">
        <w:rPr>
          <w:rFonts w:ascii="Arial" w:eastAsia="Arial" w:hAnsi="Arial" w:cs="Arial"/>
          <w:sz w:val="20"/>
          <w:szCs w:val="20"/>
          <w:lang w:val="en-GB"/>
        </w:rPr>
        <w:t>A project dashboard to track KPIs, measure progress, and showcase impact</w:t>
      </w:r>
      <w:r w:rsidR="346A7DF2" w:rsidRPr="00306F4D">
        <w:rPr>
          <w:rFonts w:ascii="Arial" w:eastAsia="Arial" w:hAnsi="Arial" w:cs="Arial"/>
          <w:sz w:val="20"/>
          <w:szCs w:val="20"/>
          <w:lang w:val="en-GB"/>
        </w:rPr>
        <w:t xml:space="preserve"> (as an example, please see </w:t>
      </w:r>
      <w:hyperlink r:id="rId59">
        <w:r w:rsidR="346A7DF2" w:rsidRPr="00306F4D">
          <w:rPr>
            <w:rStyle w:val="Hyperlink"/>
            <w:rFonts w:ascii="Arial" w:eastAsia="Arial" w:hAnsi="Arial" w:cs="Arial"/>
            <w:sz w:val="20"/>
            <w:szCs w:val="20"/>
            <w:lang w:val="en-GB"/>
          </w:rPr>
          <w:t>UNDP-AFCIA dashboard</w:t>
        </w:r>
      </w:hyperlink>
      <w:r w:rsidR="346A7DF2" w:rsidRPr="00306F4D">
        <w:rPr>
          <w:rFonts w:ascii="Arial" w:eastAsia="Arial" w:hAnsi="Arial" w:cs="Arial"/>
          <w:sz w:val="20"/>
          <w:szCs w:val="20"/>
          <w:lang w:val="en-GB"/>
        </w:rPr>
        <w:t xml:space="preserve">). </w:t>
      </w:r>
    </w:p>
    <w:p w14:paraId="4587C078" w14:textId="7FE9BE3D" w:rsidR="54ADD4FD" w:rsidRPr="00306F4D" w:rsidRDefault="54ADD4FD" w:rsidP="65FDC9A4">
      <w:pPr>
        <w:pStyle w:val="ListParagraph"/>
        <w:numPr>
          <w:ilvl w:val="0"/>
          <w:numId w:val="5"/>
        </w:numPr>
        <w:spacing w:before="240" w:after="240"/>
        <w:rPr>
          <w:rFonts w:ascii="Arial" w:eastAsia="Arial" w:hAnsi="Arial" w:cs="Arial"/>
          <w:sz w:val="20"/>
          <w:szCs w:val="20"/>
          <w:lang w:val="en-GB"/>
        </w:rPr>
      </w:pPr>
      <w:r w:rsidRPr="00306F4D">
        <w:rPr>
          <w:rFonts w:ascii="Arial" w:eastAsia="Arial" w:hAnsi="Arial" w:cs="Arial"/>
          <w:sz w:val="20"/>
          <w:szCs w:val="20"/>
          <w:lang w:val="en-GB"/>
        </w:rPr>
        <w:t xml:space="preserve">Consolidation of impact data generated by the Regional Project, and integration in UNDP’s </w:t>
      </w:r>
      <w:hyperlink r:id="rId60">
        <w:r w:rsidRPr="00306F4D">
          <w:rPr>
            <w:rStyle w:val="Hyperlink"/>
            <w:rFonts w:ascii="Arial" w:eastAsia="Arial" w:hAnsi="Arial" w:cs="Arial"/>
            <w:sz w:val="20"/>
            <w:szCs w:val="20"/>
            <w:lang w:val="en-GB"/>
          </w:rPr>
          <w:t>Climate Change Adaptation portfolio</w:t>
        </w:r>
        <w:r w:rsidR="0C5BC5FE" w:rsidRPr="00306F4D">
          <w:rPr>
            <w:rStyle w:val="Hyperlink"/>
            <w:rFonts w:ascii="Arial" w:eastAsia="Arial" w:hAnsi="Arial" w:cs="Arial"/>
            <w:sz w:val="20"/>
            <w:szCs w:val="20"/>
            <w:lang w:val="en-GB"/>
          </w:rPr>
          <w:t>’s</w:t>
        </w:r>
        <w:r w:rsidRPr="00306F4D">
          <w:rPr>
            <w:rStyle w:val="Hyperlink"/>
            <w:rFonts w:ascii="Arial" w:eastAsia="Arial" w:hAnsi="Arial" w:cs="Arial"/>
            <w:sz w:val="20"/>
            <w:szCs w:val="20"/>
            <w:lang w:val="en-GB"/>
          </w:rPr>
          <w:t xml:space="preserve"> dashboard</w:t>
        </w:r>
      </w:hyperlink>
      <w:r w:rsidR="0D3D3FBC" w:rsidRPr="00306F4D">
        <w:rPr>
          <w:rFonts w:ascii="Arial" w:eastAsia="Arial" w:hAnsi="Arial" w:cs="Arial"/>
          <w:sz w:val="20"/>
          <w:szCs w:val="20"/>
          <w:lang w:val="en-GB"/>
        </w:rPr>
        <w:t xml:space="preserve"> ,  and in IRH’s databases and dashboards.</w:t>
      </w:r>
    </w:p>
    <w:p w14:paraId="4A315B2B" w14:textId="22296BB6" w:rsidR="598CDEEF" w:rsidRPr="00306F4D" w:rsidRDefault="598CDEEF" w:rsidP="49C6F20D">
      <w:pPr>
        <w:pStyle w:val="ListParagraph"/>
        <w:numPr>
          <w:ilvl w:val="0"/>
          <w:numId w:val="5"/>
        </w:numPr>
        <w:spacing w:before="240" w:after="240"/>
        <w:rPr>
          <w:rFonts w:ascii="Arial" w:eastAsia="Arial" w:hAnsi="Arial" w:cs="Arial"/>
          <w:sz w:val="20"/>
          <w:szCs w:val="20"/>
          <w:lang w:val="en-GB"/>
        </w:rPr>
      </w:pPr>
      <w:r w:rsidRPr="00306F4D">
        <w:rPr>
          <w:rFonts w:ascii="Arial" w:eastAsia="Arial" w:hAnsi="Arial" w:cs="Arial"/>
          <w:sz w:val="20"/>
          <w:szCs w:val="20"/>
          <w:lang w:val="en-GB"/>
        </w:rPr>
        <w:t>Consolidation of regional data and quality assurance before submitting reports to the AF</w:t>
      </w:r>
    </w:p>
    <w:p w14:paraId="1D6F40F0" w14:textId="44A2E468" w:rsidR="598CDEEF" w:rsidRPr="00306F4D" w:rsidRDefault="598CDEEF" w:rsidP="49C6F20D">
      <w:pPr>
        <w:spacing w:before="240" w:after="240"/>
        <w:rPr>
          <w:rFonts w:ascii="Arial" w:eastAsia="Arial" w:hAnsi="Arial" w:cs="Arial"/>
          <w:sz w:val="20"/>
          <w:szCs w:val="20"/>
          <w:lang w:val="en-GB"/>
        </w:rPr>
      </w:pPr>
      <w:r w:rsidRPr="00306F4D">
        <w:rPr>
          <w:rFonts w:ascii="Arial" w:eastAsia="Arial" w:hAnsi="Arial" w:cs="Arial"/>
          <w:sz w:val="20"/>
          <w:szCs w:val="20"/>
          <w:lang w:val="en-GB"/>
        </w:rPr>
        <w:t>Key performance indicators for this output will include:</w:t>
      </w:r>
    </w:p>
    <w:p w14:paraId="1E35F0E8" w14:textId="608A7879" w:rsidR="598CDEEF" w:rsidRPr="00306F4D" w:rsidRDefault="598CDEEF" w:rsidP="49C6F20D">
      <w:pPr>
        <w:pStyle w:val="ListParagraph"/>
        <w:numPr>
          <w:ilvl w:val="0"/>
          <w:numId w:val="4"/>
        </w:numPr>
        <w:spacing w:before="240" w:after="240"/>
        <w:rPr>
          <w:rFonts w:ascii="Arial" w:eastAsia="Arial" w:hAnsi="Arial" w:cs="Arial"/>
          <w:sz w:val="20"/>
          <w:szCs w:val="20"/>
          <w:lang w:val="en-GB"/>
        </w:rPr>
      </w:pPr>
      <w:r w:rsidRPr="00306F4D">
        <w:rPr>
          <w:rFonts w:ascii="Arial" w:eastAsia="Arial" w:hAnsi="Arial" w:cs="Arial"/>
          <w:sz w:val="20"/>
          <w:szCs w:val="20"/>
          <w:lang w:val="en-GB"/>
        </w:rPr>
        <w:t>Progress measured through quarterly grantee reports</w:t>
      </w:r>
    </w:p>
    <w:p w14:paraId="57301E7D" w14:textId="52EC5BE5" w:rsidR="598CDEEF" w:rsidRPr="00306F4D" w:rsidRDefault="598CDEEF" w:rsidP="49C6F20D">
      <w:pPr>
        <w:pStyle w:val="ListParagraph"/>
        <w:numPr>
          <w:ilvl w:val="0"/>
          <w:numId w:val="4"/>
        </w:numPr>
        <w:spacing w:before="240" w:after="240"/>
        <w:rPr>
          <w:rFonts w:ascii="Arial" w:eastAsia="Arial" w:hAnsi="Arial" w:cs="Arial"/>
          <w:sz w:val="20"/>
          <w:szCs w:val="20"/>
          <w:lang w:val="en-GB"/>
        </w:rPr>
      </w:pPr>
      <w:r w:rsidRPr="00306F4D">
        <w:rPr>
          <w:rFonts w:ascii="Arial" w:eastAsia="Arial" w:hAnsi="Arial" w:cs="Arial"/>
          <w:sz w:val="20"/>
          <w:szCs w:val="20"/>
          <w:lang w:val="en-GB"/>
        </w:rPr>
        <w:t>Evaluation of grantee reports for alignment with project goals and gender/safeguard standards</w:t>
      </w:r>
    </w:p>
    <w:p w14:paraId="7DCBADAD" w14:textId="1F331D8F" w:rsidR="598CDEEF" w:rsidRPr="00306F4D" w:rsidRDefault="598CDEEF" w:rsidP="49C6F20D">
      <w:pPr>
        <w:pStyle w:val="ListParagraph"/>
        <w:numPr>
          <w:ilvl w:val="0"/>
          <w:numId w:val="4"/>
        </w:numPr>
        <w:spacing w:before="240" w:after="240"/>
        <w:rPr>
          <w:rFonts w:ascii="Arial" w:eastAsia="Arial" w:hAnsi="Arial" w:cs="Arial"/>
          <w:sz w:val="20"/>
          <w:szCs w:val="20"/>
          <w:lang w:val="en-GB"/>
        </w:rPr>
      </w:pPr>
      <w:r w:rsidRPr="00306F4D">
        <w:rPr>
          <w:rFonts w:ascii="Arial" w:eastAsia="Arial" w:hAnsi="Arial" w:cs="Arial"/>
          <w:sz w:val="20"/>
          <w:szCs w:val="20"/>
          <w:lang w:val="en-GB"/>
        </w:rPr>
        <w:t>Regular participation in mid-term and terminal evaluations</w:t>
      </w:r>
    </w:p>
    <w:p w14:paraId="06227828" w14:textId="1E764BC8" w:rsidR="498C1E3C" w:rsidRPr="00306F4D" w:rsidRDefault="20556911" w:rsidP="22910E1B">
      <w:pPr>
        <w:pStyle w:val="ListParagraph"/>
        <w:numPr>
          <w:ilvl w:val="0"/>
          <w:numId w:val="4"/>
        </w:numPr>
        <w:spacing w:before="240" w:after="240"/>
        <w:rPr>
          <w:rFonts w:ascii="Arial" w:eastAsia="Arial" w:hAnsi="Arial" w:cs="Arial"/>
          <w:sz w:val="20"/>
          <w:szCs w:val="20"/>
          <w:lang w:val="en-GB"/>
        </w:rPr>
      </w:pPr>
      <w:r w:rsidRPr="00306F4D">
        <w:rPr>
          <w:rFonts w:ascii="Arial" w:eastAsia="Arial" w:hAnsi="Arial" w:cs="Arial"/>
          <w:sz w:val="20"/>
          <w:szCs w:val="20"/>
          <w:lang w:val="en-GB"/>
        </w:rPr>
        <w:t xml:space="preserve">Existence a Learning </w:t>
      </w:r>
      <w:r w:rsidR="65A223EA" w:rsidRPr="00306F4D">
        <w:rPr>
          <w:rFonts w:ascii="Arial" w:eastAsia="Arial" w:hAnsi="Arial" w:cs="Arial"/>
          <w:sz w:val="20"/>
          <w:szCs w:val="20"/>
          <w:lang w:val="en-GB"/>
        </w:rPr>
        <w:t>Methodology</w:t>
      </w:r>
      <w:r w:rsidRPr="00306F4D">
        <w:rPr>
          <w:rFonts w:ascii="Arial" w:eastAsia="Arial" w:hAnsi="Arial" w:cs="Arial"/>
          <w:sz w:val="20"/>
          <w:szCs w:val="20"/>
          <w:lang w:val="en-GB"/>
        </w:rPr>
        <w:t xml:space="preserve"> to capture tangible and intangible learning from project team and grantees</w:t>
      </w:r>
    </w:p>
    <w:p w14:paraId="60A6FEA7" w14:textId="1E6536AC" w:rsidR="677D472A" w:rsidRPr="00306F4D" w:rsidRDefault="677D472A" w:rsidP="26102D1E">
      <w:pPr>
        <w:spacing w:after="0"/>
        <w:jc w:val="both"/>
        <w:rPr>
          <w:rFonts w:ascii="Arial" w:eastAsia="Arial" w:hAnsi="Arial" w:cs="Arial"/>
          <w:b/>
          <w:i/>
          <w:color w:val="000000" w:themeColor="text1"/>
          <w:sz w:val="20"/>
          <w:szCs w:val="20"/>
        </w:rPr>
      </w:pPr>
      <w:r w:rsidRPr="00306F4D">
        <w:rPr>
          <w:rFonts w:ascii="Arial" w:eastAsia="Arial" w:hAnsi="Arial" w:cs="Arial"/>
          <w:b/>
          <w:i/>
          <w:color w:val="000000" w:themeColor="text1"/>
          <w:sz w:val="20"/>
          <w:szCs w:val="20"/>
        </w:rPr>
        <w:t>Output 3.2 – Indicative Activities</w:t>
      </w:r>
    </w:p>
    <w:p w14:paraId="6557DCCA" w14:textId="034F7BB1" w:rsidR="677D472A" w:rsidRPr="00306F4D" w:rsidRDefault="677D472A" w:rsidP="00413459">
      <w:pPr>
        <w:pStyle w:val="ListParagraph"/>
        <w:numPr>
          <w:ilvl w:val="0"/>
          <w:numId w:val="18"/>
        </w:numPr>
        <w:spacing w:before="240" w:after="240"/>
        <w:jc w:val="both"/>
        <w:rPr>
          <w:rFonts w:ascii="Arial" w:eastAsia="Arial" w:hAnsi="Arial" w:cs="Arial"/>
          <w:color w:val="000000" w:themeColor="text1"/>
          <w:sz w:val="20"/>
          <w:szCs w:val="20"/>
          <w:lang w:val="en-GB"/>
        </w:rPr>
      </w:pPr>
      <w:r w:rsidRPr="00306F4D">
        <w:rPr>
          <w:rFonts w:ascii="Arial" w:eastAsia="Arial" w:hAnsi="Arial" w:cs="Arial"/>
          <w:b/>
          <w:color w:val="000000" w:themeColor="text1"/>
          <w:sz w:val="20"/>
          <w:szCs w:val="20"/>
          <w:lang w:val="en-GB"/>
        </w:rPr>
        <w:t xml:space="preserve">Document and publish case studies, policy briefs, and innovation profiles, </w:t>
      </w:r>
      <w:r w:rsidRPr="00306F4D">
        <w:rPr>
          <w:rFonts w:ascii="Arial" w:eastAsia="Arial" w:hAnsi="Arial" w:cs="Arial"/>
          <w:color w:val="000000" w:themeColor="text1"/>
          <w:sz w:val="20"/>
          <w:szCs w:val="20"/>
          <w:lang w:val="en-GB"/>
        </w:rPr>
        <w:t>focus on scalability, gender inclusion, and climate impact.</w:t>
      </w:r>
    </w:p>
    <w:p w14:paraId="572D1858" w14:textId="45587427" w:rsidR="677D472A" w:rsidRPr="00306F4D" w:rsidRDefault="677D472A" w:rsidP="00413459">
      <w:pPr>
        <w:pStyle w:val="ListParagraph"/>
        <w:numPr>
          <w:ilvl w:val="0"/>
          <w:numId w:val="18"/>
        </w:numPr>
        <w:spacing w:before="240" w:after="240"/>
        <w:jc w:val="both"/>
        <w:rPr>
          <w:rFonts w:ascii="Arial" w:eastAsia="Arial" w:hAnsi="Arial" w:cs="Arial"/>
          <w:color w:val="000000" w:themeColor="text1"/>
          <w:sz w:val="20"/>
          <w:szCs w:val="20"/>
          <w:lang w:val="en-GB"/>
        </w:rPr>
      </w:pPr>
      <w:r w:rsidRPr="00306F4D">
        <w:rPr>
          <w:rFonts w:ascii="Arial" w:eastAsia="Arial" w:hAnsi="Arial" w:cs="Arial"/>
          <w:b/>
          <w:color w:val="000000" w:themeColor="text1"/>
          <w:sz w:val="20"/>
          <w:szCs w:val="20"/>
          <w:lang w:val="en-GB"/>
        </w:rPr>
        <w:t xml:space="preserve">Organize cross-border exchange visits and joint learning missions, </w:t>
      </w:r>
      <w:r w:rsidRPr="00306F4D">
        <w:rPr>
          <w:rFonts w:ascii="Arial" w:eastAsia="Arial" w:hAnsi="Arial" w:cs="Arial"/>
          <w:color w:val="000000" w:themeColor="text1"/>
          <w:sz w:val="20"/>
          <w:szCs w:val="20"/>
          <w:lang w:val="en-GB"/>
        </w:rPr>
        <w:t>target policymakers, innovators, and community leaders.</w:t>
      </w:r>
    </w:p>
    <w:p w14:paraId="70DEE94E" w14:textId="51B8A197" w:rsidR="677D472A" w:rsidRPr="00306F4D" w:rsidRDefault="677D472A" w:rsidP="00413459">
      <w:pPr>
        <w:pStyle w:val="ListParagraph"/>
        <w:numPr>
          <w:ilvl w:val="0"/>
          <w:numId w:val="18"/>
        </w:numPr>
        <w:spacing w:before="240" w:after="240"/>
        <w:jc w:val="both"/>
        <w:rPr>
          <w:rFonts w:ascii="Arial" w:eastAsia="Arial" w:hAnsi="Arial" w:cs="Arial"/>
          <w:color w:val="000000" w:themeColor="text1"/>
          <w:sz w:val="20"/>
          <w:szCs w:val="20"/>
          <w:lang w:val="en-GB"/>
        </w:rPr>
      </w:pPr>
      <w:r w:rsidRPr="00306F4D">
        <w:rPr>
          <w:rFonts w:ascii="Arial" w:eastAsia="Arial" w:hAnsi="Arial" w:cs="Arial"/>
          <w:b/>
          <w:color w:val="000000" w:themeColor="text1"/>
          <w:sz w:val="20"/>
          <w:szCs w:val="20"/>
          <w:lang w:val="en-GB"/>
        </w:rPr>
        <w:t xml:space="preserve">Host regional webinars and </w:t>
      </w:r>
      <w:r w:rsidR="5BC046D1" w:rsidRPr="00306F4D">
        <w:rPr>
          <w:rFonts w:ascii="Arial" w:eastAsia="Arial" w:hAnsi="Arial" w:cs="Arial"/>
          <w:b/>
          <w:color w:val="000000" w:themeColor="text1"/>
          <w:sz w:val="20"/>
          <w:szCs w:val="20"/>
          <w:lang w:val="en-GB"/>
        </w:rPr>
        <w:t>p</w:t>
      </w:r>
      <w:r w:rsidRPr="00306F4D">
        <w:rPr>
          <w:rFonts w:ascii="Arial" w:eastAsia="Arial" w:hAnsi="Arial" w:cs="Arial"/>
          <w:b/>
          <w:color w:val="000000" w:themeColor="text1"/>
          <w:sz w:val="20"/>
          <w:szCs w:val="20"/>
          <w:lang w:val="en-GB"/>
        </w:rPr>
        <w:t xml:space="preserve">odcasts on </w:t>
      </w:r>
      <w:r w:rsidR="68CFE55A" w:rsidRPr="00306F4D">
        <w:rPr>
          <w:rFonts w:ascii="Arial" w:eastAsia="Arial" w:hAnsi="Arial" w:cs="Arial"/>
          <w:b/>
          <w:color w:val="000000" w:themeColor="text1"/>
          <w:sz w:val="20"/>
          <w:szCs w:val="20"/>
          <w:lang w:val="en-GB"/>
        </w:rPr>
        <w:t>a</w:t>
      </w:r>
      <w:r w:rsidRPr="00306F4D">
        <w:rPr>
          <w:rFonts w:ascii="Arial" w:eastAsia="Arial" w:hAnsi="Arial" w:cs="Arial"/>
          <w:b/>
          <w:color w:val="000000" w:themeColor="text1"/>
          <w:sz w:val="20"/>
          <w:szCs w:val="20"/>
          <w:lang w:val="en-GB"/>
        </w:rPr>
        <w:t xml:space="preserve">daptation </w:t>
      </w:r>
      <w:r w:rsidR="453D045A" w:rsidRPr="00306F4D">
        <w:rPr>
          <w:rFonts w:ascii="Arial" w:eastAsia="Arial" w:hAnsi="Arial" w:cs="Arial"/>
          <w:b/>
          <w:color w:val="000000" w:themeColor="text1"/>
          <w:sz w:val="20"/>
          <w:szCs w:val="20"/>
          <w:lang w:val="en-GB"/>
        </w:rPr>
        <w:t>i</w:t>
      </w:r>
      <w:r w:rsidRPr="00306F4D">
        <w:rPr>
          <w:rFonts w:ascii="Arial" w:eastAsia="Arial" w:hAnsi="Arial" w:cs="Arial"/>
          <w:b/>
          <w:color w:val="000000" w:themeColor="text1"/>
          <w:sz w:val="20"/>
          <w:szCs w:val="20"/>
          <w:lang w:val="en-GB"/>
        </w:rPr>
        <w:t>nnovation</w:t>
      </w:r>
      <w:r w:rsidR="51BCEFA1" w:rsidRPr="00306F4D">
        <w:rPr>
          <w:rFonts w:ascii="Arial" w:eastAsia="Arial" w:hAnsi="Arial" w:cs="Arial"/>
          <w:b/>
          <w:color w:val="000000" w:themeColor="text1"/>
          <w:sz w:val="20"/>
          <w:szCs w:val="20"/>
          <w:lang w:val="en-GB"/>
        </w:rPr>
        <w:t xml:space="preserve">, </w:t>
      </w:r>
      <w:r w:rsidR="51BCEFA1" w:rsidRPr="00306F4D">
        <w:rPr>
          <w:rFonts w:ascii="Arial" w:eastAsia="Arial" w:hAnsi="Arial" w:cs="Arial"/>
          <w:color w:val="000000" w:themeColor="text1"/>
          <w:sz w:val="20"/>
          <w:szCs w:val="20"/>
          <w:lang w:val="en-GB"/>
        </w:rPr>
        <w:t>t</w:t>
      </w:r>
      <w:r w:rsidRPr="00306F4D">
        <w:rPr>
          <w:rFonts w:ascii="Arial" w:eastAsia="Arial" w:hAnsi="Arial" w:cs="Arial"/>
          <w:color w:val="000000" w:themeColor="text1"/>
          <w:sz w:val="20"/>
          <w:szCs w:val="20"/>
          <w:lang w:val="en-GB"/>
        </w:rPr>
        <w:t>hematic focus on finance, gender, nature-based solutions, etc.</w:t>
      </w:r>
    </w:p>
    <w:p w14:paraId="1B569298" w14:textId="0B27778D" w:rsidR="677D472A" w:rsidRPr="00306F4D" w:rsidRDefault="677D472A" w:rsidP="00413459">
      <w:pPr>
        <w:pStyle w:val="ListParagraph"/>
        <w:numPr>
          <w:ilvl w:val="0"/>
          <w:numId w:val="18"/>
        </w:numPr>
        <w:spacing w:before="240" w:after="240"/>
        <w:jc w:val="both"/>
        <w:rPr>
          <w:rFonts w:ascii="Arial" w:eastAsia="Arial" w:hAnsi="Arial" w:cs="Arial"/>
          <w:color w:val="000000" w:themeColor="text1"/>
          <w:sz w:val="20"/>
          <w:szCs w:val="20"/>
          <w:lang w:val="en-GB"/>
        </w:rPr>
      </w:pPr>
      <w:r w:rsidRPr="00306F4D">
        <w:rPr>
          <w:rFonts w:ascii="Arial" w:eastAsia="Arial" w:hAnsi="Arial" w:cs="Arial"/>
          <w:b/>
          <w:color w:val="000000" w:themeColor="text1"/>
          <w:sz w:val="20"/>
          <w:szCs w:val="20"/>
          <w:lang w:val="en-GB"/>
        </w:rPr>
        <w:t xml:space="preserve">Develop a </w:t>
      </w:r>
      <w:r w:rsidR="2C16EB68" w:rsidRPr="00306F4D">
        <w:rPr>
          <w:rFonts w:ascii="Arial" w:eastAsia="Arial" w:hAnsi="Arial" w:cs="Arial"/>
          <w:b/>
          <w:color w:val="000000" w:themeColor="text1"/>
          <w:sz w:val="20"/>
          <w:szCs w:val="20"/>
          <w:lang w:val="en-GB"/>
        </w:rPr>
        <w:t>r</w:t>
      </w:r>
      <w:r w:rsidRPr="00306F4D">
        <w:rPr>
          <w:rFonts w:ascii="Arial" w:eastAsia="Arial" w:hAnsi="Arial" w:cs="Arial"/>
          <w:b/>
          <w:color w:val="000000" w:themeColor="text1"/>
          <w:sz w:val="20"/>
          <w:szCs w:val="20"/>
          <w:lang w:val="en-GB"/>
        </w:rPr>
        <w:t xml:space="preserve">egional </w:t>
      </w:r>
      <w:r w:rsidR="5EA6E6E9" w:rsidRPr="00306F4D">
        <w:rPr>
          <w:rFonts w:ascii="Arial" w:eastAsia="Arial" w:hAnsi="Arial" w:cs="Arial"/>
          <w:b/>
          <w:color w:val="000000" w:themeColor="text1"/>
          <w:sz w:val="20"/>
          <w:szCs w:val="20"/>
          <w:lang w:val="en-GB"/>
        </w:rPr>
        <w:t>k</w:t>
      </w:r>
      <w:r w:rsidRPr="00306F4D">
        <w:rPr>
          <w:rFonts w:ascii="Arial" w:eastAsia="Arial" w:hAnsi="Arial" w:cs="Arial"/>
          <w:b/>
          <w:color w:val="000000" w:themeColor="text1"/>
          <w:sz w:val="20"/>
          <w:szCs w:val="20"/>
          <w:lang w:val="en-GB"/>
        </w:rPr>
        <w:t xml:space="preserve">nowledge </w:t>
      </w:r>
      <w:r w:rsidR="1FA4D1E3" w:rsidRPr="00306F4D">
        <w:rPr>
          <w:rFonts w:ascii="Arial" w:eastAsia="Arial" w:hAnsi="Arial" w:cs="Arial"/>
          <w:b/>
          <w:color w:val="000000" w:themeColor="text1"/>
          <w:sz w:val="20"/>
          <w:szCs w:val="20"/>
          <w:lang w:val="en-GB"/>
        </w:rPr>
        <w:t>d</w:t>
      </w:r>
      <w:r w:rsidRPr="00306F4D">
        <w:rPr>
          <w:rFonts w:ascii="Arial" w:eastAsia="Arial" w:hAnsi="Arial" w:cs="Arial"/>
          <w:b/>
          <w:color w:val="000000" w:themeColor="text1"/>
          <w:sz w:val="20"/>
          <w:szCs w:val="20"/>
          <w:lang w:val="en-GB"/>
        </w:rPr>
        <w:t xml:space="preserve">issemination </w:t>
      </w:r>
      <w:r w:rsidR="00677C84" w:rsidRPr="00306F4D">
        <w:rPr>
          <w:rFonts w:ascii="Arial" w:eastAsia="Arial" w:hAnsi="Arial" w:cs="Arial"/>
          <w:b/>
          <w:color w:val="000000" w:themeColor="text1"/>
          <w:sz w:val="20"/>
          <w:szCs w:val="20"/>
          <w:lang w:val="en-GB"/>
        </w:rPr>
        <w:t>t</w:t>
      </w:r>
      <w:r w:rsidRPr="00306F4D">
        <w:rPr>
          <w:rFonts w:ascii="Arial" w:eastAsia="Arial" w:hAnsi="Arial" w:cs="Arial"/>
          <w:b/>
          <w:color w:val="000000" w:themeColor="text1"/>
          <w:sz w:val="20"/>
          <w:szCs w:val="20"/>
          <w:lang w:val="en-GB"/>
        </w:rPr>
        <w:t>oolkit</w:t>
      </w:r>
      <w:r w:rsidR="5974F17B" w:rsidRPr="00306F4D">
        <w:rPr>
          <w:rFonts w:ascii="Arial" w:eastAsia="Arial" w:hAnsi="Arial" w:cs="Arial"/>
          <w:b/>
          <w:color w:val="000000" w:themeColor="text1"/>
          <w:sz w:val="20"/>
          <w:szCs w:val="20"/>
          <w:lang w:val="en-GB"/>
        </w:rPr>
        <w:t xml:space="preserve">, </w:t>
      </w:r>
      <w:r w:rsidR="5974F17B" w:rsidRPr="00306F4D">
        <w:rPr>
          <w:rFonts w:ascii="Arial" w:eastAsia="Arial" w:hAnsi="Arial" w:cs="Arial"/>
          <w:color w:val="000000" w:themeColor="text1"/>
          <w:sz w:val="20"/>
          <w:szCs w:val="20"/>
          <w:lang w:val="en-GB"/>
        </w:rPr>
        <w:t>i</w:t>
      </w:r>
      <w:r w:rsidRPr="00306F4D">
        <w:rPr>
          <w:rFonts w:ascii="Arial" w:eastAsia="Arial" w:hAnsi="Arial" w:cs="Arial"/>
          <w:color w:val="000000" w:themeColor="text1"/>
          <w:sz w:val="20"/>
          <w:szCs w:val="20"/>
          <w:lang w:val="en-GB"/>
        </w:rPr>
        <w:t>ncludes templates, translation support, and dissemination channels.</w:t>
      </w:r>
    </w:p>
    <w:p w14:paraId="775186CF" w14:textId="13692A81" w:rsidR="677D472A" w:rsidRPr="00306F4D" w:rsidRDefault="677D472A" w:rsidP="00413459">
      <w:pPr>
        <w:pStyle w:val="ListParagraph"/>
        <w:numPr>
          <w:ilvl w:val="0"/>
          <w:numId w:val="18"/>
        </w:numPr>
        <w:spacing w:before="240" w:after="240"/>
        <w:jc w:val="both"/>
        <w:rPr>
          <w:rFonts w:ascii="Arial" w:eastAsia="Arial" w:hAnsi="Arial" w:cs="Arial"/>
          <w:color w:val="000000" w:themeColor="text1"/>
          <w:sz w:val="20"/>
          <w:szCs w:val="20"/>
          <w:lang w:val="en-GB"/>
        </w:rPr>
      </w:pPr>
      <w:r w:rsidRPr="00306F4D">
        <w:rPr>
          <w:rFonts w:ascii="Arial" w:eastAsia="Arial" w:hAnsi="Arial" w:cs="Arial"/>
          <w:b/>
          <w:color w:val="000000" w:themeColor="text1"/>
          <w:sz w:val="20"/>
          <w:szCs w:val="20"/>
          <w:lang w:val="en-GB"/>
        </w:rPr>
        <w:t xml:space="preserve">Conduct </w:t>
      </w:r>
      <w:r w:rsidR="59A155C8" w:rsidRPr="00306F4D">
        <w:rPr>
          <w:rFonts w:ascii="Arial" w:eastAsia="Arial" w:hAnsi="Arial" w:cs="Arial"/>
          <w:b/>
          <w:color w:val="000000" w:themeColor="text1"/>
          <w:sz w:val="20"/>
          <w:szCs w:val="20"/>
          <w:lang w:val="en-GB"/>
        </w:rPr>
        <w:t>i</w:t>
      </w:r>
      <w:r w:rsidRPr="00306F4D">
        <w:rPr>
          <w:rFonts w:ascii="Arial" w:eastAsia="Arial" w:hAnsi="Arial" w:cs="Arial"/>
          <w:b/>
          <w:color w:val="000000" w:themeColor="text1"/>
          <w:sz w:val="20"/>
          <w:szCs w:val="20"/>
          <w:lang w:val="en-GB"/>
        </w:rPr>
        <w:t xml:space="preserve">mpact </w:t>
      </w:r>
      <w:r w:rsidR="2DCFD8E8" w:rsidRPr="00306F4D">
        <w:rPr>
          <w:rFonts w:ascii="Arial" w:eastAsia="Arial" w:hAnsi="Arial" w:cs="Arial"/>
          <w:b/>
          <w:color w:val="000000" w:themeColor="text1"/>
          <w:sz w:val="20"/>
          <w:szCs w:val="20"/>
          <w:lang w:val="en-GB"/>
        </w:rPr>
        <w:t>a</w:t>
      </w:r>
      <w:r w:rsidRPr="00306F4D">
        <w:rPr>
          <w:rFonts w:ascii="Arial" w:eastAsia="Arial" w:hAnsi="Arial" w:cs="Arial"/>
          <w:b/>
          <w:color w:val="000000" w:themeColor="text1"/>
          <w:sz w:val="20"/>
          <w:szCs w:val="20"/>
          <w:lang w:val="en-GB"/>
        </w:rPr>
        <w:t xml:space="preserve">ssessments and </w:t>
      </w:r>
      <w:r w:rsidR="30998358" w:rsidRPr="00306F4D">
        <w:rPr>
          <w:rFonts w:ascii="Arial" w:eastAsia="Arial" w:hAnsi="Arial" w:cs="Arial"/>
          <w:b/>
          <w:color w:val="000000" w:themeColor="text1"/>
          <w:sz w:val="20"/>
          <w:szCs w:val="20"/>
          <w:lang w:val="en-GB"/>
        </w:rPr>
        <w:t>l</w:t>
      </w:r>
      <w:r w:rsidRPr="00306F4D">
        <w:rPr>
          <w:rFonts w:ascii="Arial" w:eastAsia="Arial" w:hAnsi="Arial" w:cs="Arial"/>
          <w:b/>
          <w:color w:val="000000" w:themeColor="text1"/>
          <w:sz w:val="20"/>
          <w:szCs w:val="20"/>
          <w:lang w:val="en-GB"/>
        </w:rPr>
        <w:t xml:space="preserve">earning </w:t>
      </w:r>
      <w:r w:rsidR="1DC4CD8D" w:rsidRPr="00306F4D">
        <w:rPr>
          <w:rFonts w:ascii="Arial" w:eastAsia="Arial" w:hAnsi="Arial" w:cs="Arial"/>
          <w:b/>
          <w:color w:val="000000" w:themeColor="text1"/>
          <w:sz w:val="20"/>
          <w:szCs w:val="20"/>
          <w:lang w:val="en-GB"/>
        </w:rPr>
        <w:t>r</w:t>
      </w:r>
      <w:r w:rsidRPr="00306F4D">
        <w:rPr>
          <w:rFonts w:ascii="Arial" w:eastAsia="Arial" w:hAnsi="Arial" w:cs="Arial"/>
          <w:b/>
          <w:color w:val="000000" w:themeColor="text1"/>
          <w:sz w:val="20"/>
          <w:szCs w:val="20"/>
          <w:lang w:val="en-GB"/>
        </w:rPr>
        <w:t>eviews</w:t>
      </w:r>
      <w:r w:rsidR="6FD7BE70" w:rsidRPr="00306F4D">
        <w:rPr>
          <w:rFonts w:ascii="Arial" w:eastAsia="Arial" w:hAnsi="Arial" w:cs="Arial"/>
          <w:b/>
          <w:color w:val="000000" w:themeColor="text1"/>
          <w:sz w:val="20"/>
          <w:szCs w:val="20"/>
          <w:lang w:val="en-GB"/>
        </w:rPr>
        <w:t xml:space="preserve">, </w:t>
      </w:r>
      <w:r w:rsidR="377571E5" w:rsidRPr="00306F4D">
        <w:rPr>
          <w:rFonts w:ascii="Arial" w:eastAsia="Arial" w:hAnsi="Arial" w:cs="Arial"/>
          <w:color w:val="000000" w:themeColor="text1"/>
          <w:sz w:val="20"/>
          <w:szCs w:val="20"/>
          <w:lang w:val="en-GB"/>
        </w:rPr>
        <w:t>fe</w:t>
      </w:r>
      <w:r w:rsidRPr="00306F4D">
        <w:rPr>
          <w:rFonts w:ascii="Arial" w:eastAsia="Arial" w:hAnsi="Arial" w:cs="Arial"/>
          <w:color w:val="000000" w:themeColor="text1"/>
          <w:sz w:val="20"/>
          <w:szCs w:val="20"/>
          <w:lang w:val="en-GB"/>
        </w:rPr>
        <w:t>ed into adaptive management and future programming.</w:t>
      </w:r>
    </w:p>
    <w:p w14:paraId="56A26416" w14:textId="7B6CA657" w:rsidR="26102D1E" w:rsidRPr="00306F4D" w:rsidRDefault="677D472A" w:rsidP="00413459">
      <w:pPr>
        <w:pStyle w:val="ListParagraph"/>
        <w:numPr>
          <w:ilvl w:val="0"/>
          <w:numId w:val="18"/>
        </w:numPr>
        <w:spacing w:before="240" w:after="240"/>
        <w:jc w:val="both"/>
        <w:rPr>
          <w:rFonts w:ascii="Arial" w:eastAsia="Arial" w:hAnsi="Arial" w:cs="Arial"/>
          <w:color w:val="000000" w:themeColor="text1"/>
          <w:sz w:val="20"/>
          <w:szCs w:val="20"/>
          <w:lang w:val="en-GB"/>
        </w:rPr>
      </w:pPr>
      <w:r w:rsidRPr="00306F4D">
        <w:rPr>
          <w:rFonts w:ascii="Arial" w:eastAsia="Arial" w:hAnsi="Arial" w:cs="Arial"/>
          <w:b/>
          <w:color w:val="000000" w:themeColor="text1"/>
          <w:sz w:val="20"/>
          <w:szCs w:val="20"/>
          <w:lang w:val="en-GB"/>
        </w:rPr>
        <w:t xml:space="preserve">Support </w:t>
      </w:r>
      <w:r w:rsidR="68FA545A" w:rsidRPr="00306F4D">
        <w:rPr>
          <w:rFonts w:ascii="Arial" w:eastAsia="Arial" w:hAnsi="Arial" w:cs="Arial"/>
          <w:b/>
          <w:color w:val="000000" w:themeColor="text1"/>
          <w:sz w:val="20"/>
          <w:szCs w:val="20"/>
          <w:lang w:val="en-GB"/>
        </w:rPr>
        <w:t>j</w:t>
      </w:r>
      <w:r w:rsidRPr="00306F4D">
        <w:rPr>
          <w:rFonts w:ascii="Arial" w:eastAsia="Arial" w:hAnsi="Arial" w:cs="Arial"/>
          <w:b/>
          <w:color w:val="000000" w:themeColor="text1"/>
          <w:sz w:val="20"/>
          <w:szCs w:val="20"/>
          <w:lang w:val="en-GB"/>
        </w:rPr>
        <w:t xml:space="preserve">oint </w:t>
      </w:r>
      <w:r w:rsidR="5F0C2C70" w:rsidRPr="00306F4D">
        <w:rPr>
          <w:rFonts w:ascii="Arial" w:eastAsia="Arial" w:hAnsi="Arial" w:cs="Arial"/>
          <w:b/>
          <w:color w:val="000000" w:themeColor="text1"/>
          <w:sz w:val="20"/>
          <w:szCs w:val="20"/>
          <w:lang w:val="en-GB"/>
        </w:rPr>
        <w:t>p</w:t>
      </w:r>
      <w:r w:rsidRPr="00306F4D">
        <w:rPr>
          <w:rFonts w:ascii="Arial" w:eastAsia="Arial" w:hAnsi="Arial" w:cs="Arial"/>
          <w:b/>
          <w:color w:val="000000" w:themeColor="text1"/>
          <w:sz w:val="20"/>
          <w:szCs w:val="20"/>
          <w:lang w:val="en-GB"/>
        </w:rPr>
        <w:t xml:space="preserve">ublications and </w:t>
      </w:r>
      <w:r w:rsidR="20D2E424" w:rsidRPr="00306F4D">
        <w:rPr>
          <w:rFonts w:ascii="Arial" w:eastAsia="Arial" w:hAnsi="Arial" w:cs="Arial"/>
          <w:b/>
          <w:color w:val="000000" w:themeColor="text1"/>
          <w:sz w:val="20"/>
          <w:szCs w:val="20"/>
          <w:lang w:val="en-GB"/>
        </w:rPr>
        <w:t>r</w:t>
      </w:r>
      <w:r w:rsidRPr="00306F4D">
        <w:rPr>
          <w:rFonts w:ascii="Arial" w:eastAsia="Arial" w:hAnsi="Arial" w:cs="Arial"/>
          <w:b/>
          <w:color w:val="000000" w:themeColor="text1"/>
          <w:sz w:val="20"/>
          <w:szCs w:val="20"/>
          <w:lang w:val="en-GB"/>
        </w:rPr>
        <w:t xml:space="preserve">esearch with </w:t>
      </w:r>
      <w:r w:rsidR="6A538FBD" w:rsidRPr="00306F4D">
        <w:rPr>
          <w:rFonts w:ascii="Arial" w:eastAsia="Arial" w:hAnsi="Arial" w:cs="Arial"/>
          <w:b/>
          <w:color w:val="000000" w:themeColor="text1"/>
          <w:sz w:val="20"/>
          <w:szCs w:val="20"/>
          <w:lang w:val="en-GB"/>
        </w:rPr>
        <w:t>a</w:t>
      </w:r>
      <w:r w:rsidRPr="00306F4D">
        <w:rPr>
          <w:rFonts w:ascii="Arial" w:eastAsia="Arial" w:hAnsi="Arial" w:cs="Arial"/>
          <w:b/>
          <w:color w:val="000000" w:themeColor="text1"/>
          <w:sz w:val="20"/>
          <w:szCs w:val="20"/>
          <w:lang w:val="en-GB"/>
        </w:rPr>
        <w:t xml:space="preserve">cademic </w:t>
      </w:r>
      <w:r w:rsidR="73C41282" w:rsidRPr="00306F4D">
        <w:rPr>
          <w:rFonts w:ascii="Arial" w:eastAsia="Arial" w:hAnsi="Arial" w:cs="Arial"/>
          <w:b/>
          <w:color w:val="000000" w:themeColor="text1"/>
          <w:sz w:val="20"/>
          <w:szCs w:val="20"/>
          <w:lang w:val="en-GB"/>
        </w:rPr>
        <w:t>i</w:t>
      </w:r>
      <w:r w:rsidRPr="00306F4D">
        <w:rPr>
          <w:rFonts w:ascii="Arial" w:eastAsia="Arial" w:hAnsi="Arial" w:cs="Arial"/>
          <w:b/>
          <w:color w:val="000000" w:themeColor="text1"/>
          <w:sz w:val="20"/>
          <w:szCs w:val="20"/>
          <w:lang w:val="en-GB"/>
        </w:rPr>
        <w:t>nstitutions</w:t>
      </w:r>
      <w:r w:rsidR="4BAB4A7F" w:rsidRPr="00306F4D">
        <w:rPr>
          <w:rFonts w:ascii="Arial" w:eastAsia="Arial" w:hAnsi="Arial" w:cs="Arial"/>
          <w:b/>
          <w:color w:val="000000" w:themeColor="text1"/>
          <w:sz w:val="20"/>
          <w:szCs w:val="20"/>
          <w:lang w:val="en-GB"/>
        </w:rPr>
        <w:t xml:space="preserve">, </w:t>
      </w:r>
      <w:r w:rsidR="4BAB4A7F" w:rsidRPr="00306F4D">
        <w:rPr>
          <w:rFonts w:ascii="Arial" w:eastAsia="Arial" w:hAnsi="Arial" w:cs="Arial"/>
          <w:color w:val="000000" w:themeColor="text1"/>
          <w:sz w:val="20"/>
          <w:szCs w:val="20"/>
          <w:lang w:val="en-GB"/>
        </w:rPr>
        <w:t>p</w:t>
      </w:r>
      <w:r w:rsidRPr="00306F4D">
        <w:rPr>
          <w:rFonts w:ascii="Arial" w:eastAsia="Arial" w:hAnsi="Arial" w:cs="Arial"/>
          <w:color w:val="000000" w:themeColor="text1"/>
          <w:sz w:val="20"/>
          <w:szCs w:val="20"/>
          <w:lang w:val="en-GB"/>
        </w:rPr>
        <w:t>romote evidence-based scaling and policy influence.</w:t>
      </w:r>
    </w:p>
    <w:p w14:paraId="1D5E9819" w14:textId="1C8E7A33" w:rsidR="409C03B5" w:rsidRPr="00306F4D" w:rsidRDefault="409C03B5" w:rsidP="409C03B5">
      <w:pPr>
        <w:pStyle w:val="whitespace-normal"/>
        <w:jc w:val="both"/>
        <w:rPr>
          <w:rFonts w:ascii="Arial" w:eastAsia="Arial" w:hAnsi="Arial" w:cs="Arial"/>
          <w:color w:val="000000" w:themeColor="text1"/>
          <w:sz w:val="20"/>
          <w:szCs w:val="20"/>
        </w:rPr>
      </w:pPr>
    </w:p>
    <w:p w14:paraId="497664BB" w14:textId="77777777" w:rsidR="000F3317" w:rsidRPr="00306F4D" w:rsidRDefault="000F3317" w:rsidP="000F3317">
      <w:pPr>
        <w:pStyle w:val="Footer"/>
        <w:numPr>
          <w:ilvl w:val="0"/>
          <w:numId w:val="23"/>
        </w:numPr>
        <w:tabs>
          <w:tab w:val="clear" w:pos="720"/>
          <w:tab w:val="clear" w:pos="4680"/>
          <w:tab w:val="clear" w:pos="9360"/>
        </w:tabs>
        <w:spacing w:line="276" w:lineRule="auto"/>
        <w:ind w:left="360"/>
        <w:rPr>
          <w:rFonts w:ascii="Arial" w:eastAsia="Arial" w:hAnsi="Arial" w:cs="Arial"/>
          <w:color w:val="AEAAAA" w:themeColor="background2" w:themeShade="BF"/>
          <w:lang w:val="en-GB"/>
        </w:rPr>
      </w:pPr>
      <w:r w:rsidRPr="00306F4D">
        <w:rPr>
          <w:rFonts w:ascii="Arial" w:eastAsia="Arial" w:hAnsi="Arial" w:cs="Arial"/>
          <w:color w:val="AEAAAA" w:themeColor="background2" w:themeShade="BF"/>
          <w:lang w:val="en-GB"/>
        </w:rPr>
        <w:t>Describe how the project /programme would promote new and innovative solutions to climate change adaptation, such as new approaches, technologies, and mechanisms.</w:t>
      </w:r>
    </w:p>
    <w:p w14:paraId="45DA4430" w14:textId="79F9033B" w:rsidR="098B30EA" w:rsidRPr="00306F4D" w:rsidRDefault="6D6A0EB5" w:rsidP="58D8FBEF">
      <w:pPr>
        <w:pStyle w:val="Heading2"/>
        <w:spacing w:line="276" w:lineRule="auto"/>
        <w:rPr>
          <w:rFonts w:ascii="Arial" w:eastAsia="Arial" w:hAnsi="Arial" w:cs="Arial"/>
          <w:b/>
          <w:sz w:val="20"/>
          <w:szCs w:val="20"/>
          <w:lang w:val="en-GB"/>
        </w:rPr>
      </w:pPr>
      <w:bookmarkStart w:id="76" w:name="_Toc669439476"/>
      <w:bookmarkStart w:id="77" w:name="_Toc442326206"/>
      <w:bookmarkStart w:id="78" w:name="_Toc202165708"/>
      <w:bookmarkStart w:id="79" w:name="_Toc202893739"/>
      <w:r w:rsidRPr="00306F4D">
        <w:rPr>
          <w:rFonts w:ascii="Arial" w:eastAsia="Arial" w:hAnsi="Arial" w:cs="Arial"/>
          <w:sz w:val="20"/>
          <w:szCs w:val="20"/>
          <w:lang w:val="en-GB"/>
        </w:rPr>
        <w:t>Promoting New and Innovative Solutions to Climate Change Adaptation</w:t>
      </w:r>
      <w:bookmarkEnd w:id="76"/>
      <w:bookmarkEnd w:id="77"/>
      <w:bookmarkEnd w:id="78"/>
      <w:bookmarkEnd w:id="79"/>
    </w:p>
    <w:p w14:paraId="477EDFE6" w14:textId="476DFC26" w:rsidR="098B30EA" w:rsidRPr="00306F4D" w:rsidRDefault="098B30EA" w:rsidP="003078CB">
      <w:p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 xml:space="preserve">The Regional Project is designed to identify, support, and advance </w:t>
      </w:r>
      <w:proofErr w:type="gramStart"/>
      <w:r w:rsidRPr="00306F4D">
        <w:rPr>
          <w:rFonts w:ascii="Arial" w:eastAsia="Arial" w:hAnsi="Arial" w:cs="Arial"/>
          <w:b/>
          <w:sz w:val="20"/>
          <w:szCs w:val="20"/>
          <w:lang w:val="en-GB"/>
        </w:rPr>
        <w:t>locally-led</w:t>
      </w:r>
      <w:proofErr w:type="gramEnd"/>
      <w:r w:rsidRPr="00306F4D">
        <w:rPr>
          <w:rFonts w:ascii="Arial" w:eastAsia="Arial" w:hAnsi="Arial" w:cs="Arial"/>
          <w:b/>
          <w:sz w:val="20"/>
          <w:szCs w:val="20"/>
          <w:lang w:val="en-GB"/>
        </w:rPr>
        <w:t>, innovative adaptation solutions</w:t>
      </w:r>
      <w:r w:rsidRPr="00306F4D">
        <w:rPr>
          <w:rFonts w:ascii="Arial" w:eastAsia="Arial" w:hAnsi="Arial" w:cs="Arial"/>
          <w:sz w:val="20"/>
          <w:szCs w:val="20"/>
          <w:lang w:val="en-GB"/>
        </w:rPr>
        <w:t xml:space="preserve"> that respond directly to the climate vulnerabilities of Bosnia and Herzegovina, Montenegro, North Macedonia, and Serbia. Drawing on lessons learned from the </w:t>
      </w:r>
      <w:hyperlink r:id="rId61">
        <w:r w:rsidRPr="00306F4D">
          <w:rPr>
            <w:rStyle w:val="Hyperlink"/>
            <w:rFonts w:ascii="Arial" w:eastAsia="Arial" w:hAnsi="Arial" w:cs="Arial"/>
            <w:i/>
            <w:sz w:val="20"/>
            <w:szCs w:val="20"/>
            <w:lang w:val="en-GB"/>
          </w:rPr>
          <w:t>UNDP-Adaptation Fund Climate Innovation Accelerator (AFCIA)</w:t>
        </w:r>
      </w:hyperlink>
      <w:r w:rsidRPr="00306F4D">
        <w:rPr>
          <w:rFonts w:ascii="Arial" w:eastAsia="Arial" w:hAnsi="Arial" w:cs="Arial"/>
          <w:sz w:val="20"/>
          <w:szCs w:val="20"/>
          <w:lang w:val="en-GB"/>
        </w:rPr>
        <w:t xml:space="preserve">, the project introduces a </w:t>
      </w:r>
      <w:r w:rsidRPr="00306F4D">
        <w:rPr>
          <w:rFonts w:ascii="Arial" w:eastAsia="Arial" w:hAnsi="Arial" w:cs="Arial"/>
          <w:b/>
          <w:sz w:val="20"/>
          <w:szCs w:val="20"/>
          <w:lang w:val="en-GB"/>
        </w:rPr>
        <w:t>challenge fund model</w:t>
      </w:r>
      <w:r w:rsidRPr="00306F4D">
        <w:rPr>
          <w:rFonts w:ascii="Arial" w:eastAsia="Arial" w:hAnsi="Arial" w:cs="Arial"/>
          <w:sz w:val="20"/>
          <w:szCs w:val="20"/>
          <w:lang w:val="en-GB"/>
        </w:rPr>
        <w:t>, a relatively new mechanism in the adaptation landscape that empowers non-traditional actors—such as grassroots organizations, social enterprises, cooperatives, and local innovators—to drive change.</w:t>
      </w:r>
    </w:p>
    <w:p w14:paraId="07542ACF" w14:textId="3CA08F28" w:rsidR="098B30EA" w:rsidRPr="00306F4D" w:rsidRDefault="098B30EA" w:rsidP="003078CB">
      <w:p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lastRenderedPageBreak/>
        <w:t xml:space="preserve">Unlike conventional adaptation projects, innovation under this initiative is not limited to technological invention. It includes any improved or adapted solution that offers </w:t>
      </w:r>
      <w:r w:rsidRPr="00306F4D">
        <w:rPr>
          <w:rFonts w:ascii="Arial" w:eastAsia="Arial" w:hAnsi="Arial" w:cs="Arial"/>
          <w:b/>
          <w:sz w:val="20"/>
          <w:szCs w:val="20"/>
          <w:lang w:val="en-GB"/>
        </w:rPr>
        <w:t>greater efficiency, effectiveness, equity, or sustainability</w:t>
      </w:r>
      <w:r w:rsidRPr="00306F4D">
        <w:rPr>
          <w:rFonts w:ascii="Arial" w:eastAsia="Arial" w:hAnsi="Arial" w:cs="Arial"/>
          <w:sz w:val="20"/>
          <w:szCs w:val="20"/>
          <w:lang w:val="en-GB"/>
        </w:rPr>
        <w:t xml:space="preserve">. These principles are operationalized through a competitive grant process and structured support system, ensuring that innovations are both </w:t>
      </w:r>
      <w:r w:rsidRPr="00306F4D">
        <w:rPr>
          <w:rFonts w:ascii="Arial" w:eastAsia="Arial" w:hAnsi="Arial" w:cs="Arial"/>
          <w:b/>
          <w:sz w:val="20"/>
          <w:szCs w:val="20"/>
          <w:lang w:val="en-GB"/>
        </w:rPr>
        <w:t>bold and grounded in local realities</w:t>
      </w:r>
      <w:r w:rsidRPr="00306F4D">
        <w:rPr>
          <w:rFonts w:ascii="Arial" w:eastAsia="Arial" w:hAnsi="Arial" w:cs="Arial"/>
          <w:sz w:val="20"/>
          <w:szCs w:val="20"/>
          <w:lang w:val="en-GB"/>
        </w:rPr>
        <w:t>.</w:t>
      </w:r>
    </w:p>
    <w:p w14:paraId="7A49D431" w14:textId="48204BFF" w:rsidR="0078045C" w:rsidRPr="00306F4D" w:rsidRDefault="0078045C" w:rsidP="003078CB">
      <w:p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 xml:space="preserve">The project fosters innovation </w:t>
      </w:r>
      <w:r w:rsidR="00B479FE" w:rsidRPr="00306F4D">
        <w:rPr>
          <w:rFonts w:ascii="Arial" w:eastAsia="Arial" w:hAnsi="Arial" w:cs="Arial"/>
          <w:sz w:val="20"/>
          <w:szCs w:val="20"/>
          <w:lang w:val="en-GB"/>
        </w:rPr>
        <w:t>for adaptation</w:t>
      </w:r>
      <w:r w:rsidRPr="00306F4D">
        <w:rPr>
          <w:rFonts w:ascii="Arial" w:eastAsia="Arial" w:hAnsi="Arial" w:cs="Arial"/>
          <w:sz w:val="20"/>
          <w:szCs w:val="20"/>
          <w:lang w:val="en-GB"/>
        </w:rPr>
        <w:t xml:space="preserve"> </w:t>
      </w:r>
      <w:r w:rsidR="00880C5C" w:rsidRPr="00306F4D">
        <w:rPr>
          <w:rFonts w:ascii="Arial" w:eastAsia="Arial" w:hAnsi="Arial" w:cs="Arial"/>
          <w:sz w:val="20"/>
          <w:szCs w:val="20"/>
          <w:lang w:val="en-GB"/>
        </w:rPr>
        <w:t>considering</w:t>
      </w:r>
      <w:r w:rsidRPr="00306F4D">
        <w:rPr>
          <w:rFonts w:ascii="Arial" w:eastAsia="Arial" w:hAnsi="Arial" w:cs="Arial"/>
          <w:sz w:val="20"/>
          <w:szCs w:val="20"/>
          <w:lang w:val="en-GB"/>
        </w:rPr>
        <w:t>:</w:t>
      </w:r>
    </w:p>
    <w:p w14:paraId="7D5E5FF9" w14:textId="77777777" w:rsidR="0078045C" w:rsidRPr="00306F4D" w:rsidRDefault="0078045C" w:rsidP="003078CB">
      <w:pPr>
        <w:pStyle w:val="ListParagraph"/>
        <w:numPr>
          <w:ilvl w:val="0"/>
          <w:numId w:val="15"/>
        </w:numPr>
        <w:spacing w:before="240" w:after="240" w:line="276" w:lineRule="auto"/>
        <w:jc w:val="both"/>
        <w:rPr>
          <w:rFonts w:ascii="Arial" w:eastAsia="Arial" w:hAnsi="Arial" w:cs="Arial"/>
          <w:sz w:val="20"/>
          <w:szCs w:val="20"/>
          <w:lang w:val="en-GB"/>
        </w:rPr>
      </w:pPr>
      <w:r w:rsidRPr="00306F4D">
        <w:rPr>
          <w:rFonts w:ascii="Arial" w:eastAsia="Arial" w:hAnsi="Arial" w:cs="Arial"/>
          <w:b/>
          <w:sz w:val="20"/>
          <w:szCs w:val="20"/>
          <w:lang w:val="en-GB"/>
        </w:rPr>
        <w:t>New approaches and technologies</w:t>
      </w:r>
      <w:r w:rsidRPr="00306F4D">
        <w:rPr>
          <w:rFonts w:ascii="Arial" w:eastAsia="Arial" w:hAnsi="Arial" w:cs="Arial"/>
          <w:sz w:val="20"/>
          <w:szCs w:val="20"/>
          <w:lang w:val="en-GB"/>
        </w:rPr>
        <w:t xml:space="preserve"> tailored to local socio-ecological </w:t>
      </w:r>
      <w:proofErr w:type="gramStart"/>
      <w:r w:rsidRPr="00306F4D">
        <w:rPr>
          <w:rFonts w:ascii="Arial" w:eastAsia="Arial" w:hAnsi="Arial" w:cs="Arial"/>
          <w:sz w:val="20"/>
          <w:szCs w:val="20"/>
          <w:lang w:val="en-GB"/>
        </w:rPr>
        <w:t>realities;</w:t>
      </w:r>
      <w:proofErr w:type="gramEnd"/>
    </w:p>
    <w:p w14:paraId="2894BD2F" w14:textId="77777777" w:rsidR="0078045C" w:rsidRPr="00306F4D" w:rsidRDefault="0078045C" w:rsidP="003078CB">
      <w:pPr>
        <w:pStyle w:val="ListParagraph"/>
        <w:numPr>
          <w:ilvl w:val="0"/>
          <w:numId w:val="15"/>
        </w:numPr>
        <w:spacing w:before="240" w:after="240" w:line="276" w:lineRule="auto"/>
        <w:jc w:val="both"/>
        <w:rPr>
          <w:rFonts w:ascii="Arial" w:eastAsia="Arial" w:hAnsi="Arial" w:cs="Arial"/>
          <w:color w:val="000000" w:themeColor="text1"/>
          <w:sz w:val="20"/>
          <w:szCs w:val="20"/>
          <w:lang w:val="en-GB"/>
        </w:rPr>
      </w:pPr>
      <w:r w:rsidRPr="00306F4D">
        <w:rPr>
          <w:rFonts w:ascii="Arial" w:eastAsia="Arial" w:hAnsi="Arial" w:cs="Arial"/>
          <w:b/>
          <w:sz w:val="20"/>
          <w:szCs w:val="20"/>
          <w:lang w:val="en-GB"/>
        </w:rPr>
        <w:t>Revived and contextualized knowledge of social, economic, and political marginalized communities</w:t>
      </w:r>
      <w:r w:rsidRPr="00306F4D">
        <w:rPr>
          <w:rFonts w:ascii="Arial" w:eastAsia="Arial" w:hAnsi="Arial" w:cs="Arial"/>
          <w:sz w:val="20"/>
          <w:szCs w:val="20"/>
          <w:lang w:val="en-GB"/>
        </w:rPr>
        <w:t xml:space="preserve"> </w:t>
      </w:r>
      <w:r w:rsidRPr="00306F4D">
        <w:rPr>
          <w:rFonts w:ascii="Arial" w:eastAsia="Arial" w:hAnsi="Arial" w:cs="Arial"/>
          <w:b/>
          <w:sz w:val="20"/>
          <w:szCs w:val="20"/>
          <w:lang w:val="en-GB"/>
        </w:rPr>
        <w:t>and traditional knowledge</w:t>
      </w:r>
      <w:r w:rsidRPr="00306F4D">
        <w:rPr>
          <w:rFonts w:ascii="Arial" w:eastAsia="Arial" w:hAnsi="Arial" w:cs="Arial"/>
          <w:sz w:val="20"/>
          <w:szCs w:val="20"/>
          <w:lang w:val="en-GB"/>
        </w:rPr>
        <w:t xml:space="preserve"> that supports </w:t>
      </w:r>
      <w:proofErr w:type="gramStart"/>
      <w:r w:rsidRPr="00306F4D">
        <w:rPr>
          <w:rFonts w:ascii="Arial" w:eastAsia="Arial" w:hAnsi="Arial" w:cs="Arial"/>
          <w:sz w:val="20"/>
          <w:szCs w:val="20"/>
          <w:lang w:val="en-GB"/>
        </w:rPr>
        <w:t>adaptation;</w:t>
      </w:r>
      <w:proofErr w:type="gramEnd"/>
    </w:p>
    <w:p w14:paraId="6D2A72F0" w14:textId="77777777" w:rsidR="0078045C" w:rsidRPr="00306F4D" w:rsidRDefault="0078045C" w:rsidP="003078CB">
      <w:pPr>
        <w:pStyle w:val="ListParagraph"/>
        <w:numPr>
          <w:ilvl w:val="0"/>
          <w:numId w:val="15"/>
        </w:numPr>
        <w:spacing w:before="240" w:after="240" w:line="276" w:lineRule="auto"/>
        <w:jc w:val="both"/>
        <w:rPr>
          <w:rFonts w:ascii="Arial" w:eastAsia="Arial" w:hAnsi="Arial" w:cs="Arial"/>
          <w:sz w:val="20"/>
          <w:szCs w:val="20"/>
          <w:lang w:val="en-GB"/>
        </w:rPr>
      </w:pPr>
      <w:r w:rsidRPr="00306F4D">
        <w:rPr>
          <w:rFonts w:ascii="Arial" w:eastAsia="Arial" w:hAnsi="Arial" w:cs="Arial"/>
          <w:b/>
          <w:sz w:val="20"/>
          <w:szCs w:val="20"/>
          <w:lang w:val="en-GB"/>
        </w:rPr>
        <w:t>Enterprise-based solutions</w:t>
      </w:r>
      <w:r w:rsidRPr="00306F4D">
        <w:rPr>
          <w:rFonts w:ascii="Arial" w:eastAsia="Arial" w:hAnsi="Arial" w:cs="Arial"/>
          <w:sz w:val="20"/>
          <w:szCs w:val="20"/>
          <w:lang w:val="en-GB"/>
        </w:rPr>
        <w:t xml:space="preserve"> that integrate adaptation into sustainable business </w:t>
      </w:r>
      <w:proofErr w:type="gramStart"/>
      <w:r w:rsidRPr="00306F4D">
        <w:rPr>
          <w:rFonts w:ascii="Arial" w:eastAsia="Arial" w:hAnsi="Arial" w:cs="Arial"/>
          <w:sz w:val="20"/>
          <w:szCs w:val="20"/>
          <w:lang w:val="en-GB"/>
        </w:rPr>
        <w:t>models;</w:t>
      </w:r>
      <w:proofErr w:type="gramEnd"/>
    </w:p>
    <w:p w14:paraId="15019F52" w14:textId="22761190" w:rsidR="0078045C" w:rsidRPr="00306F4D" w:rsidRDefault="0078045C" w:rsidP="003078CB">
      <w:pPr>
        <w:pStyle w:val="ListParagraph"/>
        <w:numPr>
          <w:ilvl w:val="0"/>
          <w:numId w:val="15"/>
        </w:numPr>
        <w:spacing w:before="240" w:after="240" w:line="276" w:lineRule="auto"/>
        <w:jc w:val="both"/>
        <w:rPr>
          <w:rFonts w:ascii="Arial" w:eastAsia="Arial" w:hAnsi="Arial" w:cs="Arial"/>
          <w:sz w:val="20"/>
          <w:szCs w:val="20"/>
          <w:lang w:val="en-GB"/>
        </w:rPr>
      </w:pPr>
      <w:r w:rsidRPr="00306F4D">
        <w:rPr>
          <w:rFonts w:ascii="Arial" w:eastAsia="Arial" w:hAnsi="Arial" w:cs="Arial"/>
          <w:b/>
          <w:sz w:val="20"/>
          <w:szCs w:val="20"/>
          <w:lang w:val="en-GB"/>
        </w:rPr>
        <w:t>Social innovations</w:t>
      </w:r>
      <w:r w:rsidRPr="00306F4D">
        <w:rPr>
          <w:rFonts w:ascii="Arial" w:eastAsia="Arial" w:hAnsi="Arial" w:cs="Arial"/>
          <w:sz w:val="20"/>
          <w:szCs w:val="20"/>
          <w:lang w:val="en-GB"/>
        </w:rPr>
        <w:t xml:space="preserve"> that strengthen inclusion and climate leadership among women, youth, and marginalized groups.</w:t>
      </w:r>
    </w:p>
    <w:p w14:paraId="1AF6CD01" w14:textId="657A7F12" w:rsidR="098B30EA" w:rsidRPr="00306F4D" w:rsidRDefault="098B30EA" w:rsidP="003078CB">
      <w:p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All small grant proposals are screened against a rigorous set of innovation criteria, including:</w:t>
      </w:r>
    </w:p>
    <w:p w14:paraId="37E7A62A" w14:textId="31903C31" w:rsidR="098B30EA" w:rsidRPr="00306F4D" w:rsidRDefault="098B30EA" w:rsidP="003078CB">
      <w:pPr>
        <w:pStyle w:val="ListParagraph"/>
        <w:numPr>
          <w:ilvl w:val="0"/>
          <w:numId w:val="14"/>
        </w:numPr>
        <w:spacing w:before="240" w:after="240" w:line="276" w:lineRule="auto"/>
        <w:jc w:val="both"/>
        <w:rPr>
          <w:rFonts w:ascii="Arial" w:eastAsia="Arial" w:hAnsi="Arial" w:cs="Arial"/>
          <w:sz w:val="20"/>
          <w:szCs w:val="20"/>
          <w:lang w:val="en-GB"/>
        </w:rPr>
      </w:pPr>
      <w:r w:rsidRPr="00306F4D">
        <w:rPr>
          <w:rFonts w:ascii="Arial" w:eastAsia="Arial" w:hAnsi="Arial" w:cs="Arial"/>
          <w:b/>
          <w:sz w:val="20"/>
          <w:szCs w:val="20"/>
          <w:lang w:val="en-GB"/>
        </w:rPr>
        <w:t>"Different or Better"</w:t>
      </w:r>
      <w:r w:rsidRPr="00306F4D">
        <w:rPr>
          <w:rFonts w:ascii="Arial" w:eastAsia="Arial" w:hAnsi="Arial" w:cs="Arial"/>
          <w:sz w:val="20"/>
          <w:szCs w:val="20"/>
          <w:lang w:val="en-GB"/>
        </w:rPr>
        <w:t xml:space="preserve">: The solution must represent an improvement or alternative to existing </w:t>
      </w:r>
      <w:proofErr w:type="gramStart"/>
      <w:r w:rsidRPr="00306F4D">
        <w:rPr>
          <w:rFonts w:ascii="Arial" w:eastAsia="Arial" w:hAnsi="Arial" w:cs="Arial"/>
          <w:sz w:val="20"/>
          <w:szCs w:val="20"/>
          <w:lang w:val="en-GB"/>
        </w:rPr>
        <w:t>practices;</w:t>
      </w:r>
      <w:proofErr w:type="gramEnd"/>
    </w:p>
    <w:p w14:paraId="41F0DF61" w14:textId="2E75208D" w:rsidR="098B30EA" w:rsidRPr="00306F4D" w:rsidRDefault="098B30EA" w:rsidP="003078CB">
      <w:pPr>
        <w:pStyle w:val="ListParagraph"/>
        <w:numPr>
          <w:ilvl w:val="0"/>
          <w:numId w:val="14"/>
        </w:numPr>
        <w:spacing w:before="240" w:after="240" w:line="276" w:lineRule="auto"/>
        <w:jc w:val="both"/>
        <w:rPr>
          <w:rFonts w:ascii="Arial" w:eastAsia="Arial" w:hAnsi="Arial" w:cs="Arial"/>
          <w:sz w:val="20"/>
          <w:szCs w:val="20"/>
          <w:lang w:val="en-GB"/>
        </w:rPr>
      </w:pPr>
      <w:r w:rsidRPr="00306F4D">
        <w:rPr>
          <w:rFonts w:ascii="Arial" w:eastAsia="Arial" w:hAnsi="Arial" w:cs="Arial"/>
          <w:b/>
          <w:sz w:val="20"/>
          <w:szCs w:val="20"/>
          <w:lang w:val="en-GB"/>
        </w:rPr>
        <w:t>Value-Driven</w:t>
      </w:r>
      <w:r w:rsidRPr="00306F4D">
        <w:rPr>
          <w:rFonts w:ascii="Arial" w:eastAsia="Arial" w:hAnsi="Arial" w:cs="Arial"/>
          <w:sz w:val="20"/>
          <w:szCs w:val="20"/>
          <w:lang w:val="en-GB"/>
        </w:rPr>
        <w:t xml:space="preserve">: The innovation must address a specific, quantifiable adaptation </w:t>
      </w:r>
      <w:proofErr w:type="gramStart"/>
      <w:r w:rsidRPr="00306F4D">
        <w:rPr>
          <w:rFonts w:ascii="Arial" w:eastAsia="Arial" w:hAnsi="Arial" w:cs="Arial"/>
          <w:sz w:val="20"/>
          <w:szCs w:val="20"/>
          <w:lang w:val="en-GB"/>
        </w:rPr>
        <w:t>problem;</w:t>
      </w:r>
      <w:proofErr w:type="gramEnd"/>
    </w:p>
    <w:p w14:paraId="1B6930D1" w14:textId="0D93C8CC" w:rsidR="098B30EA" w:rsidRPr="00306F4D" w:rsidRDefault="098B30EA" w:rsidP="003078CB">
      <w:pPr>
        <w:pStyle w:val="ListParagraph"/>
        <w:numPr>
          <w:ilvl w:val="0"/>
          <w:numId w:val="14"/>
        </w:numPr>
        <w:spacing w:before="240" w:after="240" w:line="276" w:lineRule="auto"/>
        <w:jc w:val="both"/>
        <w:rPr>
          <w:rFonts w:ascii="Arial" w:eastAsia="Arial" w:hAnsi="Arial" w:cs="Arial"/>
          <w:sz w:val="20"/>
          <w:szCs w:val="20"/>
          <w:lang w:val="en-GB"/>
        </w:rPr>
      </w:pPr>
      <w:r w:rsidRPr="00306F4D">
        <w:rPr>
          <w:rFonts w:ascii="Arial" w:eastAsia="Arial" w:hAnsi="Arial" w:cs="Arial"/>
          <w:b/>
          <w:sz w:val="20"/>
          <w:szCs w:val="20"/>
          <w:lang w:val="en-GB"/>
        </w:rPr>
        <w:t>Scalability</w:t>
      </w:r>
      <w:r w:rsidRPr="00306F4D">
        <w:rPr>
          <w:rFonts w:ascii="Arial" w:eastAsia="Arial" w:hAnsi="Arial" w:cs="Arial"/>
          <w:sz w:val="20"/>
          <w:szCs w:val="20"/>
          <w:lang w:val="en-GB"/>
        </w:rPr>
        <w:t xml:space="preserve">: A clear strategy must exist for replication or policy </w:t>
      </w:r>
      <w:proofErr w:type="gramStart"/>
      <w:r w:rsidRPr="00306F4D">
        <w:rPr>
          <w:rFonts w:ascii="Arial" w:eastAsia="Arial" w:hAnsi="Arial" w:cs="Arial"/>
          <w:sz w:val="20"/>
          <w:szCs w:val="20"/>
          <w:lang w:val="en-GB"/>
        </w:rPr>
        <w:t>uptake;</w:t>
      </w:r>
      <w:proofErr w:type="gramEnd"/>
    </w:p>
    <w:p w14:paraId="212435E6" w14:textId="374CAB5F" w:rsidR="098B30EA" w:rsidRPr="00306F4D" w:rsidRDefault="098B30EA" w:rsidP="003078CB">
      <w:pPr>
        <w:pStyle w:val="ListParagraph"/>
        <w:numPr>
          <w:ilvl w:val="0"/>
          <w:numId w:val="14"/>
        </w:numPr>
        <w:spacing w:before="240" w:after="240" w:line="276" w:lineRule="auto"/>
        <w:jc w:val="both"/>
        <w:rPr>
          <w:rFonts w:ascii="Arial" w:eastAsia="Arial" w:hAnsi="Arial" w:cs="Arial"/>
          <w:sz w:val="20"/>
          <w:szCs w:val="20"/>
          <w:lang w:val="en-GB"/>
        </w:rPr>
      </w:pPr>
      <w:r w:rsidRPr="00306F4D">
        <w:rPr>
          <w:rFonts w:ascii="Arial" w:eastAsia="Arial" w:hAnsi="Arial" w:cs="Arial"/>
          <w:b/>
          <w:sz w:val="20"/>
          <w:szCs w:val="20"/>
          <w:lang w:val="en-GB"/>
        </w:rPr>
        <w:t>Feasibility</w:t>
      </w:r>
      <w:r w:rsidRPr="00306F4D">
        <w:rPr>
          <w:rFonts w:ascii="Arial" w:eastAsia="Arial" w:hAnsi="Arial" w:cs="Arial"/>
          <w:sz w:val="20"/>
          <w:szCs w:val="20"/>
          <w:lang w:val="en-GB"/>
        </w:rPr>
        <w:t>: Solutions must be viable within current capacities and resources.</w:t>
      </w:r>
    </w:p>
    <w:p w14:paraId="7059565B" w14:textId="659C6950" w:rsidR="098B30EA" w:rsidRPr="00306F4D" w:rsidRDefault="098B30EA" w:rsidP="003078CB">
      <w:p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 xml:space="preserve">Additionally, proposals must outline pathways for </w:t>
      </w:r>
      <w:r w:rsidRPr="00306F4D">
        <w:rPr>
          <w:rFonts w:ascii="Arial" w:eastAsia="Arial" w:hAnsi="Arial" w:cs="Arial"/>
          <w:b/>
          <w:sz w:val="20"/>
          <w:szCs w:val="20"/>
          <w:lang w:val="en-GB"/>
        </w:rPr>
        <w:t>financial, technical, and operational sustainability</w:t>
      </w:r>
      <w:r w:rsidRPr="00306F4D">
        <w:rPr>
          <w:rFonts w:ascii="Arial" w:eastAsia="Arial" w:hAnsi="Arial" w:cs="Arial"/>
          <w:sz w:val="20"/>
          <w:szCs w:val="20"/>
          <w:lang w:val="en-GB"/>
        </w:rPr>
        <w:t>, including co-financing strategies, risk management, and an exit plan. All proposals are reviewed through a gender equality lens and screened for environmental and social safeguards.</w:t>
      </w:r>
    </w:p>
    <w:p w14:paraId="19D5B674" w14:textId="005B2504" w:rsidR="00DA47E5" w:rsidRPr="00306F4D" w:rsidRDefault="6D130E89" w:rsidP="66E99D78">
      <w:pPr>
        <w:pStyle w:val="Heading3"/>
        <w:spacing w:before="240" w:after="240" w:line="276" w:lineRule="auto"/>
        <w:rPr>
          <w:rFonts w:ascii="Arial" w:eastAsia="Arial" w:hAnsi="Arial" w:cs="Arial"/>
          <w:b/>
          <w:sz w:val="20"/>
          <w:szCs w:val="20"/>
          <w:lang w:val="en-GB"/>
        </w:rPr>
      </w:pPr>
      <w:bookmarkStart w:id="80" w:name="_Toc425604825"/>
      <w:bookmarkStart w:id="81" w:name="_Toc1426552369"/>
      <w:r w:rsidRPr="00306F4D">
        <w:rPr>
          <w:rFonts w:ascii="Arial" w:eastAsia="Arial" w:hAnsi="Arial" w:cs="Arial"/>
          <w:sz w:val="20"/>
          <w:szCs w:val="20"/>
          <w:lang w:val="en-GB"/>
        </w:rPr>
        <w:t>Innovation for Adaptation Approach</w:t>
      </w:r>
      <w:bookmarkEnd w:id="80"/>
      <w:bookmarkEnd w:id="81"/>
    </w:p>
    <w:p w14:paraId="36C54BE5" w14:textId="77777777" w:rsidR="00DA47E5" w:rsidRPr="00306F4D" w:rsidRDefault="00DA47E5" w:rsidP="00DA47E5">
      <w:pPr>
        <w:tabs>
          <w:tab w:val="left" w:pos="360"/>
        </w:tabs>
        <w:spacing w:before="120" w:after="240" w:line="276" w:lineRule="auto"/>
        <w:jc w:val="both"/>
        <w:rPr>
          <w:rFonts w:ascii="Arial" w:eastAsia="Arial" w:hAnsi="Arial" w:cs="Arial"/>
          <w:color w:val="000000" w:themeColor="text1"/>
          <w:sz w:val="20"/>
          <w:szCs w:val="20"/>
          <w:lang w:val="en-GB"/>
        </w:rPr>
      </w:pPr>
      <w:r w:rsidRPr="00306F4D">
        <w:rPr>
          <w:rFonts w:ascii="Arial" w:eastAsia="Arial" w:hAnsi="Arial" w:cs="Arial"/>
          <w:color w:val="000000" w:themeColor="text1"/>
          <w:sz w:val="20"/>
          <w:szCs w:val="20"/>
        </w:rPr>
        <w:t xml:space="preserve">Through the three core technical components and dedicated project-management component, the Regional Project aims to foster, develop and accelerate </w:t>
      </w:r>
      <w:proofErr w:type="gramStart"/>
      <w:r w:rsidRPr="00306F4D">
        <w:rPr>
          <w:rFonts w:ascii="Arial" w:eastAsia="Arial" w:hAnsi="Arial" w:cs="Arial"/>
          <w:color w:val="000000" w:themeColor="text1"/>
          <w:sz w:val="20"/>
          <w:szCs w:val="20"/>
        </w:rPr>
        <w:t>locally-led</w:t>
      </w:r>
      <w:proofErr w:type="gramEnd"/>
      <w:r w:rsidRPr="00306F4D">
        <w:rPr>
          <w:rFonts w:ascii="Arial" w:eastAsia="Arial" w:hAnsi="Arial" w:cs="Arial"/>
          <w:color w:val="000000" w:themeColor="text1"/>
          <w:sz w:val="20"/>
          <w:szCs w:val="20"/>
        </w:rPr>
        <w:t xml:space="preserve"> adaptation innovation from local entrepreneurs and NGOs/CSOs, in each of the four partner countries, through three main avenues:</w:t>
      </w:r>
    </w:p>
    <w:p w14:paraId="49FD5C2B" w14:textId="77777777" w:rsidR="00DA47E5" w:rsidRPr="00306F4D" w:rsidRDefault="00DA47E5" w:rsidP="00093F5F">
      <w:pPr>
        <w:pStyle w:val="ListParagraph"/>
        <w:numPr>
          <w:ilvl w:val="0"/>
          <w:numId w:val="38"/>
        </w:numPr>
        <w:spacing w:after="120" w:line="276" w:lineRule="auto"/>
        <w:jc w:val="both"/>
        <w:rPr>
          <w:rFonts w:ascii="Arial" w:eastAsia="Arial" w:hAnsi="Arial" w:cs="Arial"/>
          <w:color w:val="000000" w:themeColor="text1"/>
          <w:sz w:val="20"/>
          <w:szCs w:val="20"/>
          <w:lang w:val="en-GB"/>
        </w:rPr>
      </w:pPr>
      <w:r w:rsidRPr="00306F4D">
        <w:rPr>
          <w:rFonts w:ascii="Arial" w:eastAsia="Arial" w:hAnsi="Arial" w:cs="Arial"/>
          <w:b/>
          <w:color w:val="000000" w:themeColor="text1"/>
          <w:sz w:val="20"/>
          <w:szCs w:val="20"/>
          <w:lang w:val="en-GB"/>
        </w:rPr>
        <w:t>Integration of climate change adaptation strategies with focus on vulnerable communities:</w:t>
      </w:r>
      <w:r w:rsidRPr="00306F4D">
        <w:rPr>
          <w:rFonts w:ascii="Arial" w:eastAsia="Arial" w:hAnsi="Arial" w:cs="Arial"/>
          <w:color w:val="000000" w:themeColor="text1"/>
          <w:sz w:val="20"/>
          <w:szCs w:val="20"/>
          <w:lang w:val="en-GB"/>
        </w:rPr>
        <w:t xml:space="preserve"> Finding and implementing adaptation solutions that address priority climate risks in the Western Balkan countries, which are developed contextually and with the inclusion of the communities most vulnerable to climate change, to enable those communities to become more resilient to climate change.</w:t>
      </w:r>
    </w:p>
    <w:p w14:paraId="17C5BE82" w14:textId="77777777" w:rsidR="00DA47E5" w:rsidRPr="00306F4D" w:rsidRDefault="00DA47E5" w:rsidP="00DA47E5">
      <w:pPr>
        <w:pStyle w:val="ListParagraph"/>
        <w:spacing w:after="120" w:line="276" w:lineRule="auto"/>
        <w:jc w:val="both"/>
        <w:rPr>
          <w:rFonts w:ascii="Arial" w:eastAsia="Arial" w:hAnsi="Arial" w:cs="Arial"/>
          <w:color w:val="000000" w:themeColor="text1"/>
          <w:sz w:val="20"/>
          <w:szCs w:val="20"/>
          <w:lang w:val="en-GB"/>
        </w:rPr>
      </w:pPr>
    </w:p>
    <w:p w14:paraId="182A2F63" w14:textId="452594F7" w:rsidR="00DA47E5" w:rsidRPr="00306F4D" w:rsidRDefault="1F31BEA4" w:rsidP="00093F5F">
      <w:pPr>
        <w:pStyle w:val="ListParagraph"/>
        <w:numPr>
          <w:ilvl w:val="0"/>
          <w:numId w:val="38"/>
        </w:numPr>
        <w:spacing w:after="120" w:line="276" w:lineRule="auto"/>
        <w:jc w:val="both"/>
        <w:rPr>
          <w:rFonts w:ascii="Arial" w:eastAsia="Arial" w:hAnsi="Arial" w:cs="Arial"/>
          <w:color w:val="000000" w:themeColor="text1"/>
          <w:sz w:val="20"/>
          <w:szCs w:val="20"/>
          <w:lang w:val="en-GB"/>
        </w:rPr>
      </w:pPr>
      <w:r w:rsidRPr="00306F4D">
        <w:rPr>
          <w:rFonts w:ascii="Arial" w:eastAsia="Arial" w:hAnsi="Arial" w:cs="Arial"/>
          <w:b/>
          <w:bCs/>
          <w:color w:val="000000" w:themeColor="text1"/>
          <w:sz w:val="20"/>
          <w:szCs w:val="20"/>
          <w:lang w:val="en-GB"/>
        </w:rPr>
        <w:t>Innovate with focus on adaptation:</w:t>
      </w:r>
      <w:r w:rsidRPr="00306F4D">
        <w:rPr>
          <w:rFonts w:ascii="Arial" w:eastAsia="Arial" w:hAnsi="Arial" w:cs="Arial"/>
          <w:color w:val="000000" w:themeColor="text1"/>
          <w:sz w:val="20"/>
          <w:szCs w:val="20"/>
          <w:lang w:val="en-GB"/>
        </w:rPr>
        <w:t xml:space="preserve"> Innovation for adaptation solutions may include approaches, technologies and mechanisms. Innovation for adaptation projects differ from concrete adaptation projects in their stakeholder engagement, including with unconventional actors, and in the emphasis on iterative deployment where change, learning, and new information is embraced and can take innovation projects in different directions (Definition of Innovation (AFB/B.36/8).</w:t>
      </w:r>
    </w:p>
    <w:p w14:paraId="2568983F" w14:textId="77777777" w:rsidR="00DA47E5" w:rsidRPr="00306F4D" w:rsidRDefault="00DA47E5" w:rsidP="00DA47E5">
      <w:pPr>
        <w:pStyle w:val="ListParagraph"/>
        <w:spacing w:after="120" w:line="276" w:lineRule="auto"/>
        <w:jc w:val="both"/>
        <w:rPr>
          <w:rFonts w:ascii="Arial" w:eastAsia="Arial" w:hAnsi="Arial" w:cs="Arial"/>
          <w:color w:val="000000" w:themeColor="text1"/>
          <w:sz w:val="20"/>
          <w:szCs w:val="20"/>
          <w:lang w:val="en-GB"/>
        </w:rPr>
      </w:pPr>
    </w:p>
    <w:p w14:paraId="38A573F7" w14:textId="4C8550A2" w:rsidR="00DA47E5" w:rsidRPr="00306F4D" w:rsidRDefault="00DA47E5" w:rsidP="00093F5F">
      <w:pPr>
        <w:pStyle w:val="ListParagraph"/>
        <w:numPr>
          <w:ilvl w:val="0"/>
          <w:numId w:val="38"/>
        </w:numPr>
        <w:spacing w:after="120" w:line="276" w:lineRule="auto"/>
        <w:jc w:val="both"/>
        <w:rPr>
          <w:rFonts w:ascii="Arial" w:eastAsia="Arial" w:hAnsi="Arial" w:cs="Arial"/>
          <w:color w:val="000000" w:themeColor="text1"/>
          <w:sz w:val="20"/>
          <w:szCs w:val="20"/>
          <w:lang w:val="en-GB"/>
        </w:rPr>
      </w:pPr>
      <w:r w:rsidRPr="00306F4D">
        <w:rPr>
          <w:rFonts w:ascii="Arial" w:eastAsia="Arial" w:hAnsi="Arial" w:cs="Arial"/>
          <w:b/>
          <w:color w:val="000000" w:themeColor="text1"/>
          <w:sz w:val="20"/>
          <w:szCs w:val="20"/>
          <w:lang w:val="en-GB"/>
        </w:rPr>
        <w:t>Embed SES and Gender:</w:t>
      </w:r>
      <w:r w:rsidRPr="00306F4D">
        <w:rPr>
          <w:rFonts w:ascii="Arial" w:eastAsia="Arial" w:hAnsi="Arial" w:cs="Arial"/>
          <w:color w:val="000000" w:themeColor="text1"/>
          <w:sz w:val="20"/>
          <w:szCs w:val="20"/>
          <w:lang w:val="en-GB"/>
        </w:rPr>
        <w:t xml:space="preserve"> Embed gender equality and social considerations into these innovative solutions, with measurable indicators and monitoring mechanisms to track progress, outcomes and impact.</w:t>
      </w:r>
    </w:p>
    <w:p w14:paraId="3E5EA4B8" w14:textId="77777777" w:rsidR="00DA47E5" w:rsidRPr="00306F4D" w:rsidRDefault="00DA47E5" w:rsidP="00DA47E5">
      <w:pPr>
        <w:spacing w:after="240" w:line="276" w:lineRule="auto"/>
        <w:jc w:val="both"/>
        <w:rPr>
          <w:rFonts w:ascii="Arial" w:eastAsia="Arial" w:hAnsi="Arial" w:cs="Arial"/>
          <w:color w:val="000000" w:themeColor="text1"/>
          <w:sz w:val="20"/>
          <w:szCs w:val="20"/>
          <w:lang w:val="en-GB"/>
        </w:rPr>
      </w:pPr>
      <w:r w:rsidRPr="00306F4D">
        <w:rPr>
          <w:rFonts w:ascii="Arial" w:eastAsia="Arial" w:hAnsi="Arial" w:cs="Arial"/>
          <w:color w:val="000000" w:themeColor="text1"/>
          <w:sz w:val="20"/>
          <w:szCs w:val="20"/>
          <w:lang w:val="en-GB"/>
        </w:rPr>
        <w:t>The following sections elaborate on each of these three essential innovation and scaling skills.</w:t>
      </w:r>
    </w:p>
    <w:p w14:paraId="4FE20674" w14:textId="77777777" w:rsidR="00DA47E5" w:rsidRPr="00306F4D" w:rsidRDefault="00DA47E5" w:rsidP="00DA47E5">
      <w:pPr>
        <w:tabs>
          <w:tab w:val="left" w:pos="360"/>
        </w:tabs>
        <w:spacing w:before="120" w:after="240" w:line="276" w:lineRule="auto"/>
        <w:jc w:val="both"/>
        <w:rPr>
          <w:rFonts w:ascii="Arial" w:eastAsia="Arial" w:hAnsi="Arial" w:cs="Arial"/>
          <w:b/>
          <w:color w:val="000000" w:themeColor="text1"/>
          <w:sz w:val="20"/>
          <w:szCs w:val="20"/>
        </w:rPr>
      </w:pPr>
      <w:r w:rsidRPr="00306F4D">
        <w:rPr>
          <w:rFonts w:ascii="Arial" w:eastAsia="Arial" w:hAnsi="Arial" w:cs="Arial"/>
          <w:b/>
          <w:color w:val="000000" w:themeColor="text1"/>
          <w:sz w:val="20"/>
          <w:szCs w:val="20"/>
        </w:rPr>
        <w:t xml:space="preserve">1. Integration of climate change adaptation strategies with focus on vulnerable communities </w:t>
      </w:r>
    </w:p>
    <w:p w14:paraId="2D1E614A" w14:textId="77777777" w:rsidR="00DA47E5" w:rsidRPr="00306F4D" w:rsidRDefault="00DA47E5" w:rsidP="00DA47E5">
      <w:pPr>
        <w:tabs>
          <w:tab w:val="left" w:pos="360"/>
        </w:tabs>
        <w:spacing w:before="120" w:after="240" w:line="276" w:lineRule="auto"/>
        <w:jc w:val="both"/>
        <w:rPr>
          <w:rFonts w:ascii="Arial" w:eastAsia="Arial" w:hAnsi="Arial" w:cs="Arial"/>
          <w:color w:val="000000" w:themeColor="text1"/>
          <w:sz w:val="20"/>
          <w:szCs w:val="20"/>
          <w:lang w:val="en-GB"/>
        </w:rPr>
      </w:pPr>
      <w:r w:rsidRPr="00306F4D">
        <w:rPr>
          <w:rFonts w:ascii="Arial" w:eastAsia="Arial" w:hAnsi="Arial" w:cs="Arial"/>
          <w:color w:val="000000" w:themeColor="text1"/>
          <w:sz w:val="20"/>
          <w:szCs w:val="20"/>
          <w:u w:val="single"/>
        </w:rPr>
        <w:lastRenderedPageBreak/>
        <w:t xml:space="preserve">1. Address Climate Change-induced Risks </w:t>
      </w:r>
    </w:p>
    <w:p w14:paraId="018722DD" w14:textId="77777777" w:rsidR="00DA47E5" w:rsidRPr="00306F4D" w:rsidRDefault="00DA47E5" w:rsidP="00DA47E5">
      <w:pPr>
        <w:tabs>
          <w:tab w:val="left" w:pos="360"/>
        </w:tabs>
        <w:spacing w:before="120" w:after="240" w:line="276" w:lineRule="auto"/>
        <w:jc w:val="both"/>
        <w:rPr>
          <w:rFonts w:ascii="Arial" w:eastAsia="Arial" w:hAnsi="Arial" w:cs="Arial"/>
          <w:color w:val="000000" w:themeColor="text1"/>
          <w:sz w:val="20"/>
          <w:szCs w:val="20"/>
        </w:rPr>
      </w:pPr>
      <w:r w:rsidRPr="00306F4D">
        <w:rPr>
          <w:rFonts w:ascii="Arial" w:eastAsia="Arial" w:hAnsi="Arial" w:cs="Arial"/>
          <w:color w:val="000000" w:themeColor="text1"/>
          <w:sz w:val="20"/>
          <w:szCs w:val="20"/>
        </w:rPr>
        <w:t>The grantee funding proposal should be clearly linked to a sector identified at the national level (i.e. through NDCs, NAPs or National Communications) that is particularly vulnerable to climate change and specify the climate risks that the grant will be addressing. Different types of solutions that could be considered are, for example:</w:t>
      </w:r>
    </w:p>
    <w:p w14:paraId="385116A2" w14:textId="77777777" w:rsidR="00DA47E5" w:rsidRPr="00306F4D" w:rsidRDefault="00DA47E5" w:rsidP="00093F5F">
      <w:pPr>
        <w:pStyle w:val="ListParagraph"/>
        <w:numPr>
          <w:ilvl w:val="0"/>
          <w:numId w:val="64"/>
        </w:numPr>
        <w:tabs>
          <w:tab w:val="left" w:pos="360"/>
        </w:tabs>
        <w:spacing w:before="120" w:after="240" w:line="276" w:lineRule="auto"/>
        <w:jc w:val="both"/>
        <w:rPr>
          <w:rFonts w:ascii="Arial" w:eastAsia="Arial" w:hAnsi="Arial" w:cs="Arial"/>
          <w:color w:val="000000" w:themeColor="text1"/>
          <w:sz w:val="20"/>
          <w:szCs w:val="20"/>
        </w:rPr>
      </w:pPr>
      <w:r w:rsidRPr="00306F4D">
        <w:rPr>
          <w:rFonts w:ascii="Arial" w:eastAsia="Arial" w:hAnsi="Arial" w:cs="Arial"/>
          <w:color w:val="000000" w:themeColor="text1"/>
          <w:sz w:val="20"/>
          <w:szCs w:val="20"/>
        </w:rPr>
        <w:t>Climate-resilient agriculture and food security</w:t>
      </w:r>
    </w:p>
    <w:p w14:paraId="19DE0DFC" w14:textId="77777777" w:rsidR="00DA47E5" w:rsidRPr="00306F4D" w:rsidRDefault="00DA47E5" w:rsidP="00093F5F">
      <w:pPr>
        <w:pStyle w:val="ListParagraph"/>
        <w:numPr>
          <w:ilvl w:val="0"/>
          <w:numId w:val="64"/>
        </w:numPr>
        <w:tabs>
          <w:tab w:val="left" w:pos="360"/>
        </w:tabs>
        <w:spacing w:before="120" w:after="240" w:line="276" w:lineRule="auto"/>
        <w:jc w:val="both"/>
        <w:rPr>
          <w:rFonts w:ascii="Arial" w:eastAsia="Arial" w:hAnsi="Arial" w:cs="Arial"/>
          <w:color w:val="000000" w:themeColor="text1"/>
          <w:sz w:val="20"/>
          <w:szCs w:val="20"/>
        </w:rPr>
      </w:pPr>
      <w:r w:rsidRPr="00306F4D">
        <w:rPr>
          <w:rFonts w:ascii="Arial" w:eastAsia="Arial" w:hAnsi="Arial" w:cs="Arial"/>
          <w:color w:val="000000" w:themeColor="text1"/>
          <w:sz w:val="20"/>
          <w:szCs w:val="20"/>
        </w:rPr>
        <w:t>Water management (harvesting, storage, recirculating water in areas or periods of drought).</w:t>
      </w:r>
    </w:p>
    <w:p w14:paraId="76CB4646" w14:textId="77777777" w:rsidR="00DA47E5" w:rsidRPr="00306F4D" w:rsidRDefault="00DA47E5" w:rsidP="00093F5F">
      <w:pPr>
        <w:pStyle w:val="ListParagraph"/>
        <w:numPr>
          <w:ilvl w:val="0"/>
          <w:numId w:val="64"/>
        </w:numPr>
        <w:tabs>
          <w:tab w:val="left" w:pos="360"/>
        </w:tabs>
        <w:spacing w:before="120" w:after="240" w:line="276" w:lineRule="auto"/>
        <w:jc w:val="both"/>
        <w:rPr>
          <w:rFonts w:ascii="Arial" w:eastAsia="Arial" w:hAnsi="Arial" w:cs="Arial"/>
          <w:color w:val="000000" w:themeColor="text1"/>
          <w:sz w:val="20"/>
          <w:szCs w:val="20"/>
        </w:rPr>
      </w:pPr>
      <w:r w:rsidRPr="00306F4D">
        <w:rPr>
          <w:rFonts w:ascii="Arial" w:eastAsia="Arial" w:hAnsi="Arial" w:cs="Arial"/>
          <w:color w:val="000000" w:themeColor="text1"/>
          <w:sz w:val="20"/>
          <w:szCs w:val="20"/>
        </w:rPr>
        <w:t>Flood risk management</w:t>
      </w:r>
    </w:p>
    <w:p w14:paraId="6F53E170" w14:textId="77777777" w:rsidR="00DA47E5" w:rsidRPr="00306F4D" w:rsidRDefault="00DA47E5" w:rsidP="00093F5F">
      <w:pPr>
        <w:pStyle w:val="ListParagraph"/>
        <w:numPr>
          <w:ilvl w:val="0"/>
          <w:numId w:val="64"/>
        </w:numPr>
        <w:tabs>
          <w:tab w:val="left" w:pos="360"/>
        </w:tabs>
        <w:spacing w:before="120" w:after="240" w:line="276" w:lineRule="auto"/>
        <w:jc w:val="both"/>
        <w:rPr>
          <w:rFonts w:ascii="Arial" w:eastAsia="Arial" w:hAnsi="Arial" w:cs="Arial"/>
          <w:color w:val="000000" w:themeColor="text1"/>
          <w:sz w:val="20"/>
          <w:szCs w:val="20"/>
        </w:rPr>
      </w:pPr>
      <w:r w:rsidRPr="00306F4D">
        <w:rPr>
          <w:rFonts w:ascii="Arial" w:eastAsia="Arial" w:hAnsi="Arial" w:cs="Arial"/>
          <w:color w:val="000000" w:themeColor="text1"/>
          <w:sz w:val="20"/>
          <w:szCs w:val="20"/>
        </w:rPr>
        <w:t>Nature-based solutions</w:t>
      </w:r>
    </w:p>
    <w:p w14:paraId="7FFC892F" w14:textId="77777777" w:rsidR="00DA47E5" w:rsidRPr="00306F4D" w:rsidRDefault="00DA47E5" w:rsidP="00093F5F">
      <w:pPr>
        <w:pStyle w:val="ListParagraph"/>
        <w:numPr>
          <w:ilvl w:val="0"/>
          <w:numId w:val="64"/>
        </w:numPr>
        <w:tabs>
          <w:tab w:val="left" w:pos="360"/>
        </w:tabs>
        <w:spacing w:before="120" w:after="240" w:line="276" w:lineRule="auto"/>
        <w:jc w:val="both"/>
        <w:rPr>
          <w:rFonts w:ascii="Arial" w:eastAsia="Arial" w:hAnsi="Arial" w:cs="Arial"/>
          <w:color w:val="000000" w:themeColor="text1"/>
          <w:sz w:val="20"/>
          <w:szCs w:val="20"/>
        </w:rPr>
      </w:pPr>
      <w:r w:rsidRPr="00306F4D">
        <w:rPr>
          <w:rFonts w:ascii="Arial" w:eastAsia="Arial" w:hAnsi="Arial" w:cs="Arial"/>
          <w:color w:val="000000" w:themeColor="text1"/>
          <w:sz w:val="20"/>
          <w:szCs w:val="20"/>
        </w:rPr>
        <w:t>Urban climate resilience (e.g. resilient housing, energy efficient cooking).</w:t>
      </w:r>
    </w:p>
    <w:p w14:paraId="1627C7E3" w14:textId="77777777" w:rsidR="00DA47E5" w:rsidRPr="00306F4D" w:rsidRDefault="00DA47E5" w:rsidP="00093F5F">
      <w:pPr>
        <w:pStyle w:val="ListParagraph"/>
        <w:numPr>
          <w:ilvl w:val="0"/>
          <w:numId w:val="64"/>
        </w:numPr>
        <w:tabs>
          <w:tab w:val="left" w:pos="360"/>
        </w:tabs>
        <w:spacing w:before="120" w:after="240" w:line="276" w:lineRule="auto"/>
        <w:jc w:val="both"/>
        <w:rPr>
          <w:rFonts w:ascii="Arial" w:eastAsia="Arial" w:hAnsi="Arial" w:cs="Arial"/>
          <w:color w:val="000000" w:themeColor="text1"/>
          <w:sz w:val="20"/>
          <w:szCs w:val="20"/>
        </w:rPr>
      </w:pPr>
      <w:r w:rsidRPr="00306F4D">
        <w:rPr>
          <w:rFonts w:ascii="Arial" w:eastAsia="Arial" w:hAnsi="Arial" w:cs="Arial"/>
          <w:color w:val="000000" w:themeColor="text1"/>
          <w:sz w:val="20"/>
          <w:szCs w:val="20"/>
        </w:rPr>
        <w:t>Disaster risk reduction (e.g. early warning systems, spatial risk mapping, wildfire prevention)</w:t>
      </w:r>
    </w:p>
    <w:p w14:paraId="0F2C1407" w14:textId="77777777" w:rsidR="00DA47E5" w:rsidRPr="00306F4D" w:rsidRDefault="00DA47E5" w:rsidP="00093F5F">
      <w:pPr>
        <w:pStyle w:val="ListParagraph"/>
        <w:numPr>
          <w:ilvl w:val="0"/>
          <w:numId w:val="64"/>
        </w:numPr>
        <w:tabs>
          <w:tab w:val="left" w:pos="360"/>
        </w:tabs>
        <w:spacing w:before="120" w:after="240" w:line="276" w:lineRule="auto"/>
        <w:jc w:val="both"/>
        <w:rPr>
          <w:rFonts w:ascii="Arial" w:eastAsia="Arial" w:hAnsi="Arial" w:cs="Arial"/>
          <w:color w:val="000000" w:themeColor="text1"/>
          <w:sz w:val="20"/>
          <w:szCs w:val="20"/>
        </w:rPr>
      </w:pPr>
      <w:r w:rsidRPr="00306F4D">
        <w:rPr>
          <w:rFonts w:ascii="Arial" w:eastAsia="Arial" w:hAnsi="Arial" w:cs="Arial"/>
          <w:color w:val="000000" w:themeColor="text1"/>
          <w:sz w:val="20"/>
          <w:szCs w:val="20"/>
        </w:rPr>
        <w:t>Integrated coastal zone management practices</w:t>
      </w:r>
    </w:p>
    <w:p w14:paraId="29090BBD" w14:textId="2F14B5D7" w:rsidR="00DA47E5" w:rsidRPr="00306F4D" w:rsidRDefault="00DA47E5" w:rsidP="00093F5F">
      <w:pPr>
        <w:pStyle w:val="ListParagraph"/>
        <w:numPr>
          <w:ilvl w:val="0"/>
          <w:numId w:val="64"/>
        </w:numPr>
        <w:tabs>
          <w:tab w:val="left" w:pos="360"/>
        </w:tabs>
        <w:spacing w:before="120" w:after="240" w:line="276" w:lineRule="auto"/>
        <w:jc w:val="both"/>
        <w:rPr>
          <w:rFonts w:ascii="Arial" w:eastAsia="Arial" w:hAnsi="Arial" w:cs="Arial"/>
          <w:color w:val="000000" w:themeColor="text1"/>
          <w:sz w:val="20"/>
          <w:szCs w:val="20"/>
          <w:lang w:val="en-GB"/>
        </w:rPr>
      </w:pPr>
      <w:r w:rsidRPr="00306F4D">
        <w:rPr>
          <w:rFonts w:ascii="Arial" w:eastAsia="Arial" w:hAnsi="Arial" w:cs="Arial"/>
          <w:color w:val="000000" w:themeColor="text1"/>
          <w:sz w:val="20"/>
          <w:szCs w:val="20"/>
        </w:rPr>
        <w:t>Climate-Health Integrated Management</w:t>
      </w:r>
    </w:p>
    <w:p w14:paraId="5B14182B" w14:textId="77777777" w:rsidR="00DA47E5" w:rsidRPr="00306F4D" w:rsidRDefault="00DA47E5" w:rsidP="00413459">
      <w:pPr>
        <w:spacing w:before="240" w:after="240" w:line="276" w:lineRule="auto"/>
        <w:jc w:val="both"/>
        <w:rPr>
          <w:rFonts w:ascii="Arial" w:eastAsia="Arial" w:hAnsi="Arial" w:cs="Arial"/>
          <w:color w:val="000000" w:themeColor="text1"/>
          <w:sz w:val="20"/>
          <w:szCs w:val="20"/>
          <w:u w:val="single"/>
          <w:lang w:val="en-GB"/>
        </w:rPr>
      </w:pPr>
      <w:r w:rsidRPr="00306F4D">
        <w:rPr>
          <w:rFonts w:ascii="Arial" w:eastAsia="Arial" w:hAnsi="Arial" w:cs="Arial"/>
          <w:color w:val="000000" w:themeColor="text1"/>
          <w:sz w:val="20"/>
          <w:szCs w:val="20"/>
          <w:u w:val="single"/>
          <w:lang w:val="en-GB"/>
        </w:rPr>
        <w:t>2. Measurable adaptation impacts</w:t>
      </w:r>
    </w:p>
    <w:p w14:paraId="2CF0008A" w14:textId="77777777" w:rsidR="00DA47E5" w:rsidRPr="00306F4D" w:rsidRDefault="00DA47E5" w:rsidP="00413459">
      <w:p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The project components will deliver measurable improvements in climate resilience by:</w:t>
      </w:r>
    </w:p>
    <w:p w14:paraId="0E517C96" w14:textId="77777777" w:rsidR="00DA47E5" w:rsidRPr="00306F4D" w:rsidRDefault="00DA47E5" w:rsidP="00413459">
      <w:pPr>
        <w:pStyle w:val="ListParagraph"/>
        <w:numPr>
          <w:ilvl w:val="0"/>
          <w:numId w:val="17"/>
        </w:num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 xml:space="preserve">Reducing exposure to climate hazards across agriculture, water, land, and urban </w:t>
      </w:r>
      <w:proofErr w:type="gramStart"/>
      <w:r w:rsidRPr="00306F4D">
        <w:rPr>
          <w:rFonts w:ascii="Arial" w:eastAsia="Arial" w:hAnsi="Arial" w:cs="Arial"/>
          <w:sz w:val="20"/>
          <w:szCs w:val="20"/>
          <w:lang w:val="en-GB"/>
        </w:rPr>
        <w:t>systems;</w:t>
      </w:r>
      <w:proofErr w:type="gramEnd"/>
    </w:p>
    <w:p w14:paraId="672540C9" w14:textId="77777777" w:rsidR="00DA47E5" w:rsidRPr="00306F4D" w:rsidRDefault="00DA47E5" w:rsidP="00413459">
      <w:pPr>
        <w:pStyle w:val="ListParagraph"/>
        <w:numPr>
          <w:ilvl w:val="0"/>
          <w:numId w:val="17"/>
        </w:num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 xml:space="preserve">Enhancing the adaptive capacity of vulnerable communities and </w:t>
      </w:r>
      <w:proofErr w:type="gramStart"/>
      <w:r w:rsidRPr="00306F4D">
        <w:rPr>
          <w:rFonts w:ascii="Arial" w:eastAsia="Arial" w:hAnsi="Arial" w:cs="Arial"/>
          <w:sz w:val="20"/>
          <w:szCs w:val="20"/>
          <w:lang w:val="en-GB"/>
        </w:rPr>
        <w:t>ecosystems;</w:t>
      </w:r>
      <w:proofErr w:type="gramEnd"/>
    </w:p>
    <w:p w14:paraId="1B334500" w14:textId="77777777" w:rsidR="00DA47E5" w:rsidRPr="00306F4D" w:rsidRDefault="00DA47E5" w:rsidP="00413459">
      <w:pPr>
        <w:pStyle w:val="ListParagraph"/>
        <w:numPr>
          <w:ilvl w:val="0"/>
          <w:numId w:val="17"/>
        </w:num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 xml:space="preserve">Fostering inclusive, gender-equitable innovation ecosystems that amplify the voices and leadership of women, youth, and marginalized </w:t>
      </w:r>
      <w:proofErr w:type="gramStart"/>
      <w:r w:rsidRPr="00306F4D">
        <w:rPr>
          <w:rFonts w:ascii="Arial" w:eastAsia="Arial" w:hAnsi="Arial" w:cs="Arial"/>
          <w:sz w:val="20"/>
          <w:szCs w:val="20"/>
          <w:lang w:val="en-GB"/>
        </w:rPr>
        <w:t>groups;</w:t>
      </w:r>
      <w:proofErr w:type="gramEnd"/>
    </w:p>
    <w:p w14:paraId="18EACCA5" w14:textId="77777777" w:rsidR="00DA47E5" w:rsidRPr="00306F4D" w:rsidRDefault="00DA47E5" w:rsidP="00413459">
      <w:pPr>
        <w:pStyle w:val="ListParagraph"/>
        <w:numPr>
          <w:ilvl w:val="0"/>
          <w:numId w:val="17"/>
        </w:num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Building financially sustainable models for adaptation enterprises and solutions.</w:t>
      </w:r>
    </w:p>
    <w:p w14:paraId="02B99FE6" w14:textId="77777777" w:rsidR="00DA47E5" w:rsidRPr="00306F4D" w:rsidRDefault="00DA47E5" w:rsidP="00DA47E5">
      <w:pPr>
        <w:tabs>
          <w:tab w:val="left" w:pos="360"/>
        </w:tabs>
        <w:spacing w:before="240" w:after="240" w:line="276" w:lineRule="auto"/>
        <w:jc w:val="both"/>
        <w:rPr>
          <w:rFonts w:ascii="Arial" w:eastAsia="Arial" w:hAnsi="Arial" w:cs="Arial"/>
          <w:color w:val="000000" w:themeColor="text1"/>
          <w:sz w:val="20"/>
          <w:szCs w:val="20"/>
          <w:u w:val="single"/>
        </w:rPr>
      </w:pPr>
      <w:r w:rsidRPr="00306F4D">
        <w:rPr>
          <w:rFonts w:ascii="Arial" w:eastAsia="Arial" w:hAnsi="Arial" w:cs="Arial"/>
          <w:color w:val="000000" w:themeColor="text1"/>
          <w:sz w:val="20"/>
          <w:szCs w:val="20"/>
          <w:u w:val="single"/>
        </w:rPr>
        <w:t>3. Address the Adaptive Capacity or Resilience of a Community to Climate Change, including Vulnerable and Marginalized Peoples</w:t>
      </w:r>
    </w:p>
    <w:p w14:paraId="2637F8BF" w14:textId="4890C659" w:rsidR="00DA47E5" w:rsidRPr="00306F4D" w:rsidRDefault="00DA47E5" w:rsidP="00DA47E5">
      <w:pPr>
        <w:tabs>
          <w:tab w:val="left" w:pos="360"/>
        </w:tabs>
        <w:spacing w:before="120" w:after="240" w:line="276" w:lineRule="auto"/>
        <w:jc w:val="both"/>
        <w:rPr>
          <w:rFonts w:ascii="Arial" w:eastAsia="Arial" w:hAnsi="Arial" w:cs="Arial"/>
          <w:color w:val="000000" w:themeColor="text1"/>
          <w:sz w:val="20"/>
          <w:szCs w:val="20"/>
        </w:rPr>
      </w:pPr>
      <w:r w:rsidRPr="00306F4D">
        <w:rPr>
          <w:rFonts w:ascii="Arial" w:eastAsia="Arial" w:hAnsi="Arial" w:cs="Arial"/>
          <w:color w:val="000000" w:themeColor="text1"/>
          <w:sz w:val="20"/>
          <w:szCs w:val="20"/>
        </w:rPr>
        <w:t>The project will support solutions that increase the adaptive capacity of a community and/or increase their resilience (including, for example, by increasing the resilience of the natural systems on which they depend) to climate change, including climate variability, as well as in the formation of resilient social networks. All proposed solutions will be required to address gender and vulnerability aspects of the target beneficiaries such as how to enhance adaptive capacity of women and girls, youth, peoples with disabilities, elders, ethnic minorities (e.g. Roma, Vlachs, Gorani, Egyptians in Montenegro), all of whom are particularly vulnerable to climate risks.</w:t>
      </w:r>
    </w:p>
    <w:p w14:paraId="24B34036" w14:textId="4A5653C8" w:rsidR="54F5769B" w:rsidRPr="00306F4D" w:rsidRDefault="00DA47E5" w:rsidP="4186447D">
      <w:pPr>
        <w:tabs>
          <w:tab w:val="left" w:pos="360"/>
        </w:tabs>
        <w:spacing w:before="120" w:after="240" w:line="276" w:lineRule="auto"/>
        <w:jc w:val="both"/>
        <w:rPr>
          <w:rFonts w:ascii="Arial" w:eastAsia="Arial" w:hAnsi="Arial" w:cs="Arial"/>
          <w:color w:val="000000" w:themeColor="text1"/>
          <w:sz w:val="20"/>
          <w:szCs w:val="20"/>
          <w:lang w:val="en-GB"/>
        </w:rPr>
      </w:pPr>
      <w:r w:rsidRPr="00306F4D">
        <w:rPr>
          <w:rFonts w:ascii="Arial" w:eastAsia="Arial" w:hAnsi="Arial" w:cs="Arial"/>
          <w:color w:val="000000" w:themeColor="text1"/>
          <w:sz w:val="20"/>
          <w:szCs w:val="20"/>
        </w:rPr>
        <w:t>Proposed grantee solutions will be based on the application of the innovation-assessment methodologies and will describe the characteristics of community vulnerability and options considered to accelerate tried-and-tested and innovative solutions to climate change risks.</w:t>
      </w:r>
    </w:p>
    <w:p w14:paraId="7BC79685" w14:textId="77777777" w:rsidR="00DA47E5" w:rsidRPr="00306F4D" w:rsidRDefault="00DA47E5" w:rsidP="00093F5F">
      <w:pPr>
        <w:pStyle w:val="ListParagraph"/>
        <w:numPr>
          <w:ilvl w:val="0"/>
          <w:numId w:val="38"/>
        </w:numPr>
        <w:tabs>
          <w:tab w:val="left" w:pos="360"/>
        </w:tabs>
        <w:spacing w:before="240" w:after="240" w:line="276" w:lineRule="auto"/>
        <w:jc w:val="both"/>
        <w:rPr>
          <w:rFonts w:ascii="Arial" w:eastAsia="Arial" w:hAnsi="Arial" w:cs="Arial"/>
          <w:color w:val="000000" w:themeColor="text1"/>
          <w:sz w:val="20"/>
          <w:szCs w:val="20"/>
          <w:lang w:val="en-GB"/>
        </w:rPr>
      </w:pPr>
      <w:r w:rsidRPr="00306F4D">
        <w:rPr>
          <w:rFonts w:ascii="Arial" w:eastAsia="Arial" w:hAnsi="Arial" w:cs="Arial"/>
          <w:color w:val="000000" w:themeColor="text1"/>
          <w:sz w:val="20"/>
          <w:szCs w:val="20"/>
          <w:u w:val="single"/>
        </w:rPr>
        <w:t xml:space="preserve">Scale-up and Replicate Successful </w:t>
      </w:r>
      <w:proofErr w:type="gramStart"/>
      <w:r w:rsidRPr="00306F4D">
        <w:rPr>
          <w:rFonts w:ascii="Arial" w:eastAsia="Arial" w:hAnsi="Arial" w:cs="Arial"/>
          <w:color w:val="000000" w:themeColor="text1"/>
          <w:sz w:val="20"/>
          <w:szCs w:val="20"/>
          <w:u w:val="single"/>
        </w:rPr>
        <w:t>Locally-Led</w:t>
      </w:r>
      <w:proofErr w:type="gramEnd"/>
      <w:r w:rsidRPr="00306F4D">
        <w:rPr>
          <w:rFonts w:ascii="Arial" w:eastAsia="Arial" w:hAnsi="Arial" w:cs="Arial"/>
          <w:color w:val="000000" w:themeColor="text1"/>
          <w:sz w:val="20"/>
          <w:szCs w:val="20"/>
          <w:u w:val="single"/>
        </w:rPr>
        <w:t xml:space="preserve"> Adaptation-Innovation Results</w:t>
      </w:r>
    </w:p>
    <w:p w14:paraId="6D2EC99E" w14:textId="17F1D459" w:rsidR="1E618CE8" w:rsidRPr="00306F4D" w:rsidRDefault="1E618CE8" w:rsidP="5962A971">
      <w:pPr>
        <w:tabs>
          <w:tab w:val="left" w:pos="360"/>
        </w:tabs>
        <w:spacing w:before="120" w:after="240" w:line="276" w:lineRule="auto"/>
        <w:jc w:val="both"/>
        <w:rPr>
          <w:rFonts w:ascii="Arial" w:eastAsia="Arial" w:hAnsi="Arial" w:cs="Arial"/>
          <w:sz w:val="20"/>
          <w:szCs w:val="20"/>
        </w:rPr>
      </w:pPr>
      <w:r w:rsidRPr="00306F4D">
        <w:rPr>
          <w:rFonts w:ascii="Arial" w:eastAsia="Arial" w:hAnsi="Arial" w:cs="Arial"/>
          <w:color w:val="000000" w:themeColor="text1"/>
          <w:sz w:val="20"/>
          <w:szCs w:val="20"/>
        </w:rPr>
        <w:t>With UNDP’s regional and global network and partners, successful adaptation-innovation technologies, practices and business models from the Regional Project</w:t>
      </w:r>
      <w:r w:rsidR="23B76F37" w:rsidRPr="00306F4D">
        <w:rPr>
          <w:rFonts w:ascii="Arial" w:eastAsia="Arial" w:hAnsi="Arial" w:cs="Arial"/>
          <w:color w:val="000000" w:themeColor="text1"/>
          <w:sz w:val="20"/>
          <w:szCs w:val="20"/>
        </w:rPr>
        <w:t>,</w:t>
      </w:r>
      <w:r w:rsidRPr="00306F4D">
        <w:rPr>
          <w:rFonts w:ascii="Arial" w:eastAsia="Arial" w:hAnsi="Arial" w:cs="Arial"/>
          <w:color w:val="000000" w:themeColor="text1"/>
          <w:sz w:val="20"/>
          <w:szCs w:val="20"/>
        </w:rPr>
        <w:t xml:space="preserve"> scaling up or replication of solutions will be explored through either public or private channels. Public channels include UNDP’s adaptation projects supported by AF, EU, GEF and GCF. Private channels include UNDP’s partners network and innovation ecosystem.</w:t>
      </w:r>
      <w:r w:rsidR="389DDDE3" w:rsidRPr="00306F4D">
        <w:rPr>
          <w:rFonts w:ascii="Arial" w:eastAsia="Arial" w:hAnsi="Arial" w:cs="Arial"/>
          <w:color w:val="000000" w:themeColor="text1"/>
          <w:sz w:val="20"/>
          <w:szCs w:val="20"/>
        </w:rPr>
        <w:t xml:space="preserve"> </w:t>
      </w:r>
      <w:r w:rsidR="389DDDE3" w:rsidRPr="00306F4D">
        <w:rPr>
          <w:rFonts w:ascii="Arial" w:eastAsia="Arial" w:hAnsi="Arial" w:cs="Arial"/>
          <w:sz w:val="20"/>
          <w:szCs w:val="20"/>
        </w:rPr>
        <w:t>These pathways will help expand the reach and impact of effective solutions, facilitating their adoption across a broader region.</w:t>
      </w:r>
    </w:p>
    <w:p w14:paraId="79C6F4E3" w14:textId="719BDCAA" w:rsidR="5962A971" w:rsidRPr="00306F4D" w:rsidRDefault="389DDDE3" w:rsidP="2864B373">
      <w:pPr>
        <w:spacing w:before="240" w:after="240"/>
        <w:jc w:val="both"/>
        <w:rPr>
          <w:rFonts w:ascii="Arial" w:eastAsia="Arial" w:hAnsi="Arial" w:cs="Arial"/>
          <w:sz w:val="20"/>
          <w:szCs w:val="20"/>
        </w:rPr>
      </w:pPr>
      <w:r w:rsidRPr="00306F4D">
        <w:rPr>
          <w:rFonts w:ascii="Arial" w:eastAsia="Arial" w:hAnsi="Arial" w:cs="Arial"/>
          <w:sz w:val="20"/>
          <w:szCs w:val="20"/>
        </w:rPr>
        <w:t xml:space="preserve">While the project can play an important role in </w:t>
      </w:r>
      <w:r w:rsidRPr="00306F4D">
        <w:rPr>
          <w:rFonts w:ascii="Arial" w:eastAsia="Arial" w:hAnsi="Arial" w:cs="Arial"/>
          <w:b/>
          <w:sz w:val="20"/>
          <w:szCs w:val="20"/>
        </w:rPr>
        <w:t>investment brokering</w:t>
      </w:r>
      <w:r w:rsidRPr="00306F4D">
        <w:rPr>
          <w:rFonts w:ascii="Arial" w:eastAsia="Arial" w:hAnsi="Arial" w:cs="Arial"/>
          <w:sz w:val="20"/>
          <w:szCs w:val="20"/>
        </w:rPr>
        <w:t xml:space="preserve"> by facilitating connections and supporting the development of a strong pipeline of investable projects, it will not engage in the extensive matchmaking </w:t>
      </w:r>
      <w:r w:rsidRPr="00306F4D">
        <w:rPr>
          <w:rFonts w:ascii="Arial" w:eastAsia="Arial" w:hAnsi="Arial" w:cs="Arial"/>
          <w:sz w:val="20"/>
          <w:szCs w:val="20"/>
        </w:rPr>
        <w:lastRenderedPageBreak/>
        <w:t>process. The complexities of due diligence and the high level of engagement required to secure deals—especially between investors and grantees—are beyond the scope of the project. UNDP is positioned to provide strategic support but will not act as a dedicated intermediary to close investment deals. Instead, the focus will be on creating an enabling environment for scaling successful solutions and ensuring that projects are better positioned for future investment opportunities.</w:t>
      </w:r>
    </w:p>
    <w:p w14:paraId="4C0C2594" w14:textId="77777777" w:rsidR="00DA47E5" w:rsidRPr="00306F4D" w:rsidRDefault="00DA47E5" w:rsidP="00DA47E5">
      <w:pPr>
        <w:tabs>
          <w:tab w:val="left" w:pos="360"/>
        </w:tabs>
        <w:spacing w:before="120" w:after="240" w:line="276" w:lineRule="auto"/>
        <w:jc w:val="both"/>
        <w:rPr>
          <w:rFonts w:ascii="Arial" w:eastAsia="Arial" w:hAnsi="Arial" w:cs="Arial"/>
          <w:color w:val="000000" w:themeColor="text1"/>
          <w:sz w:val="20"/>
          <w:szCs w:val="20"/>
          <w:lang w:val="en-GB"/>
        </w:rPr>
      </w:pPr>
      <w:r w:rsidRPr="00306F4D">
        <w:rPr>
          <w:rFonts w:ascii="Arial" w:eastAsia="Arial" w:hAnsi="Arial" w:cs="Arial"/>
          <w:b/>
          <w:color w:val="000000" w:themeColor="text1"/>
          <w:sz w:val="20"/>
          <w:szCs w:val="20"/>
        </w:rPr>
        <w:t xml:space="preserve">2. </w:t>
      </w:r>
      <w:r w:rsidRPr="00306F4D">
        <w:rPr>
          <w:rFonts w:ascii="Arial" w:eastAsia="Arial" w:hAnsi="Arial" w:cs="Arial"/>
          <w:b/>
          <w:color w:val="000000" w:themeColor="text1"/>
          <w:sz w:val="20"/>
          <w:szCs w:val="20"/>
          <w:lang w:val="en-GB"/>
        </w:rPr>
        <w:t>Innovate</w:t>
      </w:r>
      <w:r w:rsidRPr="00306F4D">
        <w:rPr>
          <w:rFonts w:ascii="Arial" w:eastAsia="Arial" w:hAnsi="Arial" w:cs="Arial"/>
          <w:b/>
          <w:color w:val="000000" w:themeColor="text1"/>
          <w:sz w:val="20"/>
          <w:szCs w:val="20"/>
        </w:rPr>
        <w:t xml:space="preserve"> with focus on adaptation</w:t>
      </w:r>
    </w:p>
    <w:p w14:paraId="72DE372D" w14:textId="092854B8" w:rsidR="00DA47E5" w:rsidRPr="00306F4D" w:rsidRDefault="1F31BEA4" w:rsidP="02E2BB75">
      <w:pPr>
        <w:tabs>
          <w:tab w:val="left" w:pos="360"/>
        </w:tabs>
        <w:spacing w:before="120" w:after="240" w:line="276" w:lineRule="auto"/>
        <w:jc w:val="both"/>
        <w:rPr>
          <w:rFonts w:ascii="Arial" w:eastAsia="Arial" w:hAnsi="Arial" w:cs="Arial"/>
          <w:color w:val="000000" w:themeColor="text1"/>
          <w:sz w:val="20"/>
          <w:szCs w:val="20"/>
          <w:lang w:val="en-GB"/>
        </w:rPr>
      </w:pPr>
      <w:r w:rsidRPr="00306F4D">
        <w:rPr>
          <w:rFonts w:ascii="Arial" w:eastAsia="Arial" w:hAnsi="Arial" w:cs="Arial"/>
          <w:color w:val="000000" w:themeColor="text1"/>
          <w:sz w:val="20"/>
          <w:szCs w:val="20"/>
        </w:rPr>
        <w:t>The Adaptation Fund describes innovation for adaptation as:</w:t>
      </w:r>
    </w:p>
    <w:p w14:paraId="51F7A0BF" w14:textId="77777777" w:rsidR="00DA47E5" w:rsidRPr="00306F4D" w:rsidRDefault="00DA47E5" w:rsidP="00DA47E5">
      <w:pPr>
        <w:tabs>
          <w:tab w:val="left" w:pos="360"/>
        </w:tabs>
        <w:spacing w:before="120" w:after="240" w:line="276" w:lineRule="auto"/>
        <w:ind w:left="630" w:right="540"/>
        <w:jc w:val="both"/>
        <w:rPr>
          <w:rFonts w:ascii="Arial" w:eastAsia="Arial" w:hAnsi="Arial" w:cs="Arial"/>
          <w:color w:val="000000" w:themeColor="text1"/>
          <w:sz w:val="20"/>
          <w:szCs w:val="20"/>
          <w:lang w:val="en-GB"/>
        </w:rPr>
      </w:pPr>
      <w:r w:rsidRPr="00306F4D">
        <w:rPr>
          <w:rFonts w:ascii="Arial" w:eastAsia="Arial" w:hAnsi="Arial" w:cs="Arial"/>
          <w:i/>
          <w:color w:val="000000" w:themeColor="text1"/>
          <w:sz w:val="20"/>
          <w:szCs w:val="20"/>
        </w:rPr>
        <w:t xml:space="preserve">“The creating, testing, deployment or diffusion of new, adapted or improved adaptation solutions, developed contextually and with the inclusion of the communities most vulnerable to climate change, to enable those communities to become more resilient to climate change. Innovation solutions may include approaches, technologies and mechanisms. Innovation projects and </w:t>
      </w:r>
      <w:proofErr w:type="spellStart"/>
      <w:r w:rsidRPr="00306F4D">
        <w:rPr>
          <w:rFonts w:ascii="Arial" w:eastAsia="Arial" w:hAnsi="Arial" w:cs="Arial"/>
          <w:i/>
          <w:color w:val="000000" w:themeColor="text1"/>
          <w:sz w:val="20"/>
          <w:szCs w:val="20"/>
        </w:rPr>
        <w:t>programmes</w:t>
      </w:r>
      <w:proofErr w:type="spellEnd"/>
      <w:r w:rsidRPr="00306F4D">
        <w:rPr>
          <w:rFonts w:ascii="Arial" w:eastAsia="Arial" w:hAnsi="Arial" w:cs="Arial"/>
          <w:i/>
          <w:color w:val="000000" w:themeColor="text1"/>
          <w:sz w:val="20"/>
          <w:szCs w:val="20"/>
        </w:rPr>
        <w:t xml:space="preserve"> differ from concrete adaptation projects and </w:t>
      </w:r>
      <w:proofErr w:type="spellStart"/>
      <w:r w:rsidRPr="00306F4D">
        <w:rPr>
          <w:rFonts w:ascii="Arial" w:eastAsia="Arial" w:hAnsi="Arial" w:cs="Arial"/>
          <w:i/>
          <w:color w:val="000000" w:themeColor="text1"/>
          <w:sz w:val="20"/>
          <w:szCs w:val="20"/>
        </w:rPr>
        <w:t>programmes</w:t>
      </w:r>
      <w:proofErr w:type="spellEnd"/>
      <w:r w:rsidRPr="00306F4D">
        <w:rPr>
          <w:rFonts w:ascii="Arial" w:eastAsia="Arial" w:hAnsi="Arial" w:cs="Arial"/>
          <w:i/>
          <w:color w:val="000000" w:themeColor="text1"/>
          <w:sz w:val="20"/>
          <w:szCs w:val="20"/>
        </w:rPr>
        <w:t xml:space="preserve"> </w:t>
      </w:r>
      <w:proofErr w:type="gramStart"/>
      <w:r w:rsidRPr="00306F4D">
        <w:rPr>
          <w:rFonts w:ascii="Arial" w:eastAsia="Arial" w:hAnsi="Arial" w:cs="Arial"/>
          <w:i/>
          <w:color w:val="000000" w:themeColor="text1"/>
          <w:sz w:val="20"/>
          <w:szCs w:val="20"/>
        </w:rPr>
        <w:t>in the nature of their</w:t>
      </w:r>
      <w:proofErr w:type="gramEnd"/>
      <w:r w:rsidRPr="00306F4D">
        <w:rPr>
          <w:rFonts w:ascii="Arial" w:eastAsia="Arial" w:hAnsi="Arial" w:cs="Arial"/>
          <w:i/>
          <w:color w:val="000000" w:themeColor="text1"/>
          <w:sz w:val="20"/>
          <w:szCs w:val="20"/>
        </w:rPr>
        <w:t xml:space="preserve"> stakeholder engagement, including with unconventional actors, and in the emphasis on iterative deployment where change, learning, and new information is embraced and can take innovation projects and </w:t>
      </w:r>
      <w:proofErr w:type="spellStart"/>
      <w:r w:rsidRPr="00306F4D">
        <w:rPr>
          <w:rFonts w:ascii="Arial" w:eastAsia="Arial" w:hAnsi="Arial" w:cs="Arial"/>
          <w:i/>
          <w:color w:val="000000" w:themeColor="text1"/>
          <w:sz w:val="20"/>
          <w:szCs w:val="20"/>
        </w:rPr>
        <w:t>programmes</w:t>
      </w:r>
      <w:proofErr w:type="spellEnd"/>
      <w:r w:rsidRPr="00306F4D">
        <w:rPr>
          <w:rFonts w:ascii="Arial" w:eastAsia="Arial" w:hAnsi="Arial" w:cs="Arial"/>
          <w:i/>
          <w:color w:val="000000" w:themeColor="text1"/>
          <w:sz w:val="20"/>
          <w:szCs w:val="20"/>
        </w:rPr>
        <w:t xml:space="preserve"> in different directions.”</w:t>
      </w:r>
    </w:p>
    <w:p w14:paraId="23DEB2B4" w14:textId="567E90AB" w:rsidR="00DA47E5" w:rsidRPr="00306F4D" w:rsidRDefault="00DA47E5" w:rsidP="00DA47E5">
      <w:pPr>
        <w:spacing w:after="0" w:line="276" w:lineRule="auto"/>
        <w:jc w:val="both"/>
        <w:rPr>
          <w:rFonts w:ascii="Arial" w:eastAsia="Arial" w:hAnsi="Arial" w:cs="Arial"/>
          <w:color w:val="000000" w:themeColor="text1"/>
          <w:sz w:val="20"/>
          <w:szCs w:val="20"/>
        </w:rPr>
      </w:pPr>
      <w:r w:rsidRPr="00306F4D">
        <w:rPr>
          <w:rFonts w:ascii="Arial" w:eastAsia="Arial" w:hAnsi="Arial" w:cs="Arial"/>
          <w:color w:val="000000" w:themeColor="text1"/>
          <w:sz w:val="20"/>
          <w:szCs w:val="20"/>
        </w:rPr>
        <w:t>The Regional Project will directly support the Adaptation Fund’s innovation for adaptation agenda by supporting initiatives that demonstrate strong potential to enable the most vulnerable communities to adapt to climate change impacts. Through this support, a diverse portfolio of locally appropriate, community-driven innovation activities has taken shape, each contributing uniquely to a broader ecosystem of learning, testing, replicating and/ or scaling.</w:t>
      </w:r>
    </w:p>
    <w:p w14:paraId="317A6BC6" w14:textId="77777777" w:rsidR="00DA47E5" w:rsidRPr="00306F4D" w:rsidRDefault="00DA47E5" w:rsidP="00DA47E5">
      <w:pPr>
        <w:tabs>
          <w:tab w:val="left" w:pos="360"/>
        </w:tabs>
        <w:spacing w:before="120" w:after="240" w:line="276" w:lineRule="auto"/>
        <w:jc w:val="both"/>
        <w:rPr>
          <w:rFonts w:ascii="Arial" w:eastAsia="Arial" w:hAnsi="Arial" w:cs="Arial"/>
          <w:color w:val="000000" w:themeColor="text1"/>
          <w:sz w:val="20"/>
          <w:szCs w:val="20"/>
          <w:lang w:val="en-GB"/>
        </w:rPr>
      </w:pPr>
      <w:r w:rsidRPr="00306F4D">
        <w:rPr>
          <w:rFonts w:ascii="Arial" w:eastAsia="Arial" w:hAnsi="Arial" w:cs="Arial"/>
          <w:color w:val="000000" w:themeColor="text1"/>
          <w:sz w:val="20"/>
          <w:szCs w:val="20"/>
        </w:rPr>
        <w:t>The critical aspects to select strong, scalable and self-sustainable innovation for adaptation solutions are:</w:t>
      </w:r>
    </w:p>
    <w:p w14:paraId="4085503D" w14:textId="77777777" w:rsidR="00DA47E5" w:rsidRPr="00306F4D" w:rsidRDefault="00DA47E5" w:rsidP="00093F5F">
      <w:pPr>
        <w:pStyle w:val="ListParagraph"/>
        <w:numPr>
          <w:ilvl w:val="0"/>
          <w:numId w:val="37"/>
        </w:numPr>
        <w:tabs>
          <w:tab w:val="left" w:pos="360"/>
        </w:tabs>
        <w:spacing w:before="240" w:after="240" w:line="276" w:lineRule="auto"/>
        <w:ind w:left="360"/>
        <w:jc w:val="both"/>
        <w:rPr>
          <w:rFonts w:ascii="Arial" w:eastAsia="Arial" w:hAnsi="Arial" w:cs="Arial"/>
          <w:color w:val="000000" w:themeColor="text1"/>
          <w:sz w:val="20"/>
          <w:szCs w:val="20"/>
          <w:lang w:val="en-GB"/>
        </w:rPr>
      </w:pPr>
      <w:r w:rsidRPr="00306F4D">
        <w:rPr>
          <w:rFonts w:ascii="Arial" w:eastAsia="Arial" w:hAnsi="Arial" w:cs="Arial"/>
          <w:color w:val="000000" w:themeColor="text1"/>
          <w:sz w:val="20"/>
          <w:szCs w:val="20"/>
          <w:u w:val="single"/>
        </w:rPr>
        <w:t>Different or Better Solutions</w:t>
      </w:r>
    </w:p>
    <w:p w14:paraId="08F0FFF7" w14:textId="3A677C25" w:rsidR="338C5E83" w:rsidRPr="00306F4D" w:rsidRDefault="095A4425" w:rsidP="338C5E83">
      <w:pPr>
        <w:tabs>
          <w:tab w:val="left" w:pos="360"/>
        </w:tabs>
        <w:spacing w:before="120" w:after="240" w:line="276" w:lineRule="auto"/>
        <w:jc w:val="both"/>
        <w:rPr>
          <w:rFonts w:ascii="Arial" w:eastAsia="Arial" w:hAnsi="Arial" w:cs="Arial"/>
          <w:color w:val="000000" w:themeColor="text1"/>
          <w:sz w:val="20"/>
          <w:szCs w:val="20"/>
          <w:lang w:val="en-GB"/>
        </w:rPr>
      </w:pPr>
      <w:r w:rsidRPr="00306F4D">
        <w:rPr>
          <w:rFonts w:ascii="Arial" w:eastAsia="Arial" w:hAnsi="Arial" w:cs="Arial"/>
          <w:color w:val="000000" w:themeColor="text1"/>
          <w:sz w:val="20"/>
          <w:szCs w:val="20"/>
        </w:rPr>
        <w:t xml:space="preserve">The proposed idea must be an improvement over existing practices or solutions or a new solution that is meaningfully different than existing adaptation solutions. It must have added value over and above what the target beneficiary is currently using/practicing to address the adaptation problem that they are facing. These innovative solutions could be not only new technologies and </w:t>
      </w:r>
      <w:proofErr w:type="gramStart"/>
      <w:r w:rsidRPr="00306F4D">
        <w:rPr>
          <w:rFonts w:ascii="Arial" w:eastAsia="Arial" w:hAnsi="Arial" w:cs="Arial"/>
          <w:color w:val="000000" w:themeColor="text1"/>
          <w:sz w:val="20"/>
          <w:szCs w:val="20"/>
        </w:rPr>
        <w:t>approaches, but</w:t>
      </w:r>
      <w:proofErr w:type="gramEnd"/>
      <w:r w:rsidRPr="00306F4D">
        <w:rPr>
          <w:rFonts w:ascii="Arial" w:eastAsia="Arial" w:hAnsi="Arial" w:cs="Arial"/>
          <w:color w:val="000000" w:themeColor="text1"/>
          <w:sz w:val="20"/>
          <w:szCs w:val="20"/>
        </w:rPr>
        <w:t xml:space="preserve"> also building on and/or reviving and integrating traditional knowledge of </w:t>
      </w:r>
      <w:r w:rsidRPr="00306F4D">
        <w:rPr>
          <w:rFonts w:ascii="Arial" w:eastAsia="Arial" w:hAnsi="Arial" w:cs="Arial"/>
          <w:sz w:val="20"/>
          <w:szCs w:val="20"/>
        </w:rPr>
        <w:t xml:space="preserve">social, economic, and political marginalized communities </w:t>
      </w:r>
      <w:r w:rsidRPr="00306F4D">
        <w:rPr>
          <w:rFonts w:ascii="Arial" w:eastAsia="Arial" w:hAnsi="Arial" w:cs="Arial"/>
          <w:color w:val="000000" w:themeColor="text1"/>
          <w:sz w:val="20"/>
          <w:szCs w:val="20"/>
        </w:rPr>
        <w:t xml:space="preserve">and local communities into the solutions. The grantee proposal should also show potential for systemic and sustained improvement of such practices or </w:t>
      </w:r>
      <w:proofErr w:type="gramStart"/>
      <w:r w:rsidRPr="00306F4D">
        <w:rPr>
          <w:rFonts w:ascii="Arial" w:eastAsia="Arial" w:hAnsi="Arial" w:cs="Arial"/>
          <w:color w:val="000000" w:themeColor="text1"/>
          <w:sz w:val="20"/>
          <w:szCs w:val="20"/>
        </w:rPr>
        <w:t>approaches, and</w:t>
      </w:r>
      <w:proofErr w:type="gramEnd"/>
      <w:r w:rsidRPr="00306F4D">
        <w:rPr>
          <w:rFonts w:ascii="Arial" w:eastAsia="Arial" w:hAnsi="Arial" w:cs="Arial"/>
          <w:color w:val="000000" w:themeColor="text1"/>
          <w:sz w:val="20"/>
          <w:szCs w:val="20"/>
        </w:rPr>
        <w:t xml:space="preserve"> even engaging with uncommon stakeholders.</w:t>
      </w:r>
    </w:p>
    <w:p w14:paraId="7A93C681" w14:textId="77777777" w:rsidR="00DA47E5" w:rsidRPr="00306F4D" w:rsidRDefault="00DA47E5" w:rsidP="00093F5F">
      <w:pPr>
        <w:pStyle w:val="ListParagraph"/>
        <w:numPr>
          <w:ilvl w:val="0"/>
          <w:numId w:val="37"/>
        </w:numPr>
        <w:tabs>
          <w:tab w:val="left" w:pos="360"/>
        </w:tabs>
        <w:spacing w:before="240" w:after="240" w:line="276" w:lineRule="auto"/>
        <w:ind w:left="360"/>
        <w:jc w:val="both"/>
        <w:rPr>
          <w:rFonts w:ascii="Arial" w:eastAsia="Arial" w:hAnsi="Arial" w:cs="Arial"/>
          <w:color w:val="000000" w:themeColor="text1"/>
          <w:sz w:val="20"/>
          <w:szCs w:val="20"/>
          <w:lang w:val="en-GB"/>
        </w:rPr>
      </w:pPr>
      <w:r w:rsidRPr="00306F4D">
        <w:rPr>
          <w:rFonts w:ascii="Arial" w:eastAsia="Arial" w:hAnsi="Arial" w:cs="Arial"/>
          <w:color w:val="000000" w:themeColor="text1"/>
          <w:sz w:val="20"/>
          <w:szCs w:val="20"/>
          <w:u w:val="single"/>
        </w:rPr>
        <w:t xml:space="preserve">Delivers Value/Solves an Adaptation Problem </w:t>
      </w:r>
    </w:p>
    <w:p w14:paraId="123343E5" w14:textId="77777777" w:rsidR="00DA47E5" w:rsidRPr="00306F4D" w:rsidRDefault="00DA47E5" w:rsidP="00DA47E5">
      <w:pPr>
        <w:tabs>
          <w:tab w:val="left" w:pos="360"/>
        </w:tabs>
        <w:spacing w:before="120" w:after="240" w:line="276" w:lineRule="auto"/>
        <w:jc w:val="both"/>
        <w:rPr>
          <w:rFonts w:ascii="Arial" w:eastAsia="Arial" w:hAnsi="Arial" w:cs="Arial"/>
          <w:color w:val="000000" w:themeColor="text1"/>
          <w:sz w:val="20"/>
          <w:szCs w:val="20"/>
          <w:lang w:val="en-GB"/>
        </w:rPr>
      </w:pPr>
      <w:r w:rsidRPr="00306F4D">
        <w:rPr>
          <w:rFonts w:ascii="Arial" w:eastAsia="Arial" w:hAnsi="Arial" w:cs="Arial"/>
          <w:color w:val="000000" w:themeColor="text1"/>
          <w:sz w:val="20"/>
          <w:szCs w:val="20"/>
        </w:rPr>
        <w:t xml:space="preserve">The proposed idea must address a specific and sizable adaptation problem that is incurring a cost (either in cash or in kind) to the target beneficiaries. For example, a revival of indigenous technology could be proposed to increase access to water during </w:t>
      </w:r>
      <w:proofErr w:type="gramStart"/>
      <w:r w:rsidRPr="00306F4D">
        <w:rPr>
          <w:rFonts w:ascii="Arial" w:eastAsia="Arial" w:hAnsi="Arial" w:cs="Arial"/>
          <w:color w:val="000000" w:themeColor="text1"/>
          <w:sz w:val="20"/>
          <w:szCs w:val="20"/>
        </w:rPr>
        <w:t>dry-spell</w:t>
      </w:r>
      <w:proofErr w:type="gramEnd"/>
      <w:r w:rsidRPr="00306F4D">
        <w:rPr>
          <w:rFonts w:ascii="Arial" w:eastAsia="Arial" w:hAnsi="Arial" w:cs="Arial"/>
          <w:color w:val="000000" w:themeColor="text1"/>
          <w:sz w:val="20"/>
          <w:szCs w:val="20"/>
        </w:rPr>
        <w:t xml:space="preserve"> resulting in reduction of multiple planting costs. It must deliver value and impact that can be quantified. Although, it is not required that the target beneficiaries </w:t>
      </w:r>
      <w:proofErr w:type="gramStart"/>
      <w:r w:rsidRPr="00306F4D">
        <w:rPr>
          <w:rFonts w:ascii="Arial" w:eastAsia="Arial" w:hAnsi="Arial" w:cs="Arial"/>
          <w:color w:val="000000" w:themeColor="text1"/>
          <w:sz w:val="20"/>
          <w:szCs w:val="20"/>
        </w:rPr>
        <w:t>have to</w:t>
      </w:r>
      <w:proofErr w:type="gramEnd"/>
      <w:r w:rsidRPr="00306F4D">
        <w:rPr>
          <w:rFonts w:ascii="Arial" w:eastAsia="Arial" w:hAnsi="Arial" w:cs="Arial"/>
          <w:color w:val="000000" w:themeColor="text1"/>
          <w:sz w:val="20"/>
          <w:szCs w:val="20"/>
        </w:rPr>
        <w:t xml:space="preserve"> pay (in-kind or in-cash) for such solution, it is crucial that project proponents articulate how the project would be operationally sustainable.</w:t>
      </w:r>
    </w:p>
    <w:p w14:paraId="53C05393" w14:textId="77777777" w:rsidR="00DA47E5" w:rsidRPr="00306F4D" w:rsidRDefault="00DA47E5" w:rsidP="00093F5F">
      <w:pPr>
        <w:pStyle w:val="ListParagraph"/>
        <w:numPr>
          <w:ilvl w:val="0"/>
          <w:numId w:val="37"/>
        </w:numPr>
        <w:tabs>
          <w:tab w:val="left" w:pos="360"/>
        </w:tabs>
        <w:spacing w:before="240" w:after="240" w:line="276" w:lineRule="auto"/>
        <w:ind w:left="360"/>
        <w:jc w:val="both"/>
        <w:rPr>
          <w:rFonts w:ascii="Arial" w:eastAsia="Arial" w:hAnsi="Arial" w:cs="Arial"/>
          <w:color w:val="000000" w:themeColor="text1"/>
          <w:sz w:val="20"/>
          <w:szCs w:val="20"/>
          <w:lang w:val="en-GB"/>
        </w:rPr>
      </w:pPr>
      <w:r w:rsidRPr="00306F4D">
        <w:rPr>
          <w:rFonts w:ascii="Arial" w:eastAsia="Arial" w:hAnsi="Arial" w:cs="Arial"/>
          <w:color w:val="000000" w:themeColor="text1"/>
          <w:sz w:val="20"/>
          <w:szCs w:val="20"/>
          <w:u w:val="single"/>
        </w:rPr>
        <w:t xml:space="preserve">Cross-scale Policy and Acceleration Potential </w:t>
      </w:r>
    </w:p>
    <w:p w14:paraId="14530EC3" w14:textId="77777777" w:rsidR="00DA47E5" w:rsidRPr="00306F4D" w:rsidRDefault="00DA47E5" w:rsidP="00DA47E5">
      <w:pPr>
        <w:tabs>
          <w:tab w:val="left" w:pos="360"/>
        </w:tabs>
        <w:spacing w:before="120" w:after="240" w:line="276" w:lineRule="auto"/>
        <w:jc w:val="both"/>
        <w:rPr>
          <w:rFonts w:ascii="Arial" w:eastAsia="Arial" w:hAnsi="Arial" w:cs="Arial"/>
          <w:color w:val="000000" w:themeColor="text1"/>
          <w:sz w:val="20"/>
          <w:szCs w:val="20"/>
          <w:lang w:val="en-GB"/>
        </w:rPr>
      </w:pPr>
      <w:r w:rsidRPr="00306F4D">
        <w:rPr>
          <w:rFonts w:ascii="Arial" w:eastAsia="Arial" w:hAnsi="Arial" w:cs="Arial"/>
          <w:color w:val="000000" w:themeColor="text1"/>
          <w:sz w:val="20"/>
          <w:szCs w:val="20"/>
        </w:rPr>
        <w:t xml:space="preserve">It is critical that replication and scale up potential are embedded in a project design from the beginning to increase the likelihood of project replicability and scalability. Therefore, all proposed grantee solutions will identify and engage tested solutions for potential replication, up-scaling, or integrating of the innovations to be supported, and </w:t>
      </w:r>
      <w:r w:rsidRPr="00306F4D">
        <w:rPr>
          <w:rFonts w:ascii="Arial" w:eastAsia="Arial" w:hAnsi="Arial" w:cs="Arial"/>
          <w:color w:val="000000" w:themeColor="text1"/>
          <w:sz w:val="20"/>
          <w:szCs w:val="20"/>
        </w:rPr>
        <w:lastRenderedPageBreak/>
        <w:t>describe a process to support such processes (e.g. holding knowledge fairs to promote replication, engagement of social impact investors etc.).</w:t>
      </w:r>
    </w:p>
    <w:p w14:paraId="516A18F1" w14:textId="77777777" w:rsidR="00DA47E5" w:rsidRPr="00306F4D" w:rsidRDefault="00DA47E5" w:rsidP="00093F5F">
      <w:pPr>
        <w:pStyle w:val="ListParagraph"/>
        <w:numPr>
          <w:ilvl w:val="0"/>
          <w:numId w:val="37"/>
        </w:numPr>
        <w:tabs>
          <w:tab w:val="left" w:pos="360"/>
        </w:tabs>
        <w:spacing w:before="240" w:after="240" w:line="276" w:lineRule="auto"/>
        <w:ind w:left="360"/>
        <w:jc w:val="both"/>
        <w:rPr>
          <w:rFonts w:ascii="Arial" w:eastAsia="Arial" w:hAnsi="Arial" w:cs="Arial"/>
          <w:color w:val="000000" w:themeColor="text1"/>
          <w:sz w:val="20"/>
          <w:szCs w:val="20"/>
          <w:lang w:val="en-GB"/>
        </w:rPr>
      </w:pPr>
      <w:r w:rsidRPr="00306F4D">
        <w:rPr>
          <w:rFonts w:ascii="Arial" w:eastAsia="Arial" w:hAnsi="Arial" w:cs="Arial"/>
          <w:color w:val="000000" w:themeColor="text1"/>
          <w:sz w:val="20"/>
          <w:szCs w:val="20"/>
          <w:u w:val="single"/>
        </w:rPr>
        <w:t xml:space="preserve">Doable/Practical </w:t>
      </w:r>
    </w:p>
    <w:p w14:paraId="6E4BC80A" w14:textId="23D89703" w:rsidR="00DA47E5" w:rsidRPr="00306F4D" w:rsidRDefault="095A4425" w:rsidP="00DA47E5">
      <w:pPr>
        <w:tabs>
          <w:tab w:val="left" w:pos="360"/>
        </w:tabs>
        <w:spacing w:before="120" w:after="240" w:line="276" w:lineRule="auto"/>
        <w:jc w:val="both"/>
        <w:rPr>
          <w:rFonts w:ascii="Arial" w:eastAsia="Arial" w:hAnsi="Arial" w:cs="Arial"/>
          <w:sz w:val="20"/>
          <w:szCs w:val="20"/>
        </w:rPr>
      </w:pPr>
      <w:r w:rsidRPr="00306F4D">
        <w:rPr>
          <w:rFonts w:ascii="Arial" w:eastAsia="Arial" w:hAnsi="Arial" w:cs="Arial"/>
          <w:color w:val="000000" w:themeColor="text1"/>
          <w:sz w:val="20"/>
          <w:szCs w:val="20"/>
        </w:rPr>
        <w:t xml:space="preserve">Most markets value proven technologies that provide potential solutions that are also testable. Capacity, commitment, and track record of the proposal developers are also crucial in determining whether the idea can be realized and further developed into a successful venture. </w:t>
      </w:r>
      <w:r w:rsidRPr="00306F4D">
        <w:rPr>
          <w:rFonts w:ascii="Arial" w:eastAsia="Arial" w:hAnsi="Arial" w:cs="Arial"/>
          <w:sz w:val="20"/>
          <w:szCs w:val="20"/>
        </w:rPr>
        <w:t>To support this, the project will offer targeted technical assistance to help strengthen promising ideas, ensuring they are feasible, viable, desirable, grounded in local realities, and designed for practical implementation and sustainability.</w:t>
      </w:r>
    </w:p>
    <w:p w14:paraId="6C461673" w14:textId="77777777" w:rsidR="00DA47E5" w:rsidRPr="00306F4D" w:rsidRDefault="00DA47E5" w:rsidP="00DA47E5">
      <w:pPr>
        <w:spacing w:after="0" w:line="276" w:lineRule="auto"/>
        <w:jc w:val="both"/>
        <w:rPr>
          <w:rFonts w:ascii="Arial" w:eastAsia="Arial" w:hAnsi="Arial" w:cs="Arial"/>
          <w:sz w:val="20"/>
          <w:szCs w:val="20"/>
          <w:u w:val="single"/>
        </w:rPr>
      </w:pPr>
      <w:r w:rsidRPr="00306F4D">
        <w:rPr>
          <w:rFonts w:ascii="Arial" w:eastAsia="Arial" w:hAnsi="Arial" w:cs="Arial"/>
          <w:sz w:val="20"/>
          <w:szCs w:val="20"/>
          <w:u w:val="single"/>
        </w:rPr>
        <w:t>5. Evolves and Strengthens Through Innovation Practices</w:t>
      </w:r>
    </w:p>
    <w:p w14:paraId="57D82C7E" w14:textId="77777777" w:rsidR="00DA47E5" w:rsidRPr="00306F4D" w:rsidRDefault="00DA47E5" w:rsidP="00DA47E5">
      <w:pPr>
        <w:spacing w:after="0" w:line="276" w:lineRule="auto"/>
        <w:jc w:val="both"/>
        <w:rPr>
          <w:rFonts w:ascii="Arial" w:eastAsia="Arial" w:hAnsi="Arial" w:cs="Arial"/>
          <w:sz w:val="20"/>
          <w:szCs w:val="20"/>
        </w:rPr>
      </w:pPr>
    </w:p>
    <w:p w14:paraId="2080202C" w14:textId="77777777" w:rsidR="00366836" w:rsidRPr="00306F4D" w:rsidRDefault="00DA47E5" w:rsidP="00DA47E5">
      <w:pPr>
        <w:spacing w:after="0" w:line="276" w:lineRule="auto"/>
        <w:jc w:val="both"/>
        <w:rPr>
          <w:rFonts w:ascii="Arial" w:eastAsia="Arial" w:hAnsi="Arial" w:cs="Arial"/>
          <w:sz w:val="20"/>
          <w:szCs w:val="20"/>
        </w:rPr>
      </w:pPr>
      <w:r w:rsidRPr="00306F4D">
        <w:rPr>
          <w:rFonts w:ascii="Arial" w:eastAsia="Arial" w:hAnsi="Arial" w:cs="Arial"/>
          <w:sz w:val="20"/>
          <w:szCs w:val="20"/>
        </w:rPr>
        <w:t>The proposed ideas should demonstrate the potential to evolve over time, incorporating learning, feedback, and the use of innovation tools and frameworks to improve design and delivery. This includes being open to refining solutions through testing, community engagement, and technical support.</w:t>
      </w:r>
      <w:r w:rsidRPr="00306F4D">
        <w:rPr>
          <w:rFonts w:ascii="Arial" w:hAnsi="Arial" w:cs="Arial"/>
          <w:sz w:val="20"/>
          <w:szCs w:val="20"/>
        </w:rPr>
        <w:br/>
      </w:r>
      <w:r w:rsidRPr="00306F4D">
        <w:rPr>
          <w:rFonts w:ascii="Arial" w:hAnsi="Arial" w:cs="Arial"/>
          <w:sz w:val="20"/>
          <w:szCs w:val="20"/>
        </w:rPr>
        <w:br/>
      </w:r>
      <w:r w:rsidRPr="00306F4D">
        <w:rPr>
          <w:rFonts w:ascii="Arial" w:eastAsia="Arial" w:hAnsi="Arial" w:cs="Arial"/>
          <w:sz w:val="20"/>
          <w:szCs w:val="20"/>
        </w:rPr>
        <w:t>To support this process, the project will draw on the expertise and experience of UNDP’s Istanbul Regional Hub. Through its innovation practice, IRH will provide technical assistance and design support at two key stages.</w:t>
      </w:r>
      <w:r w:rsidRPr="00306F4D">
        <w:rPr>
          <w:rFonts w:ascii="Arial" w:hAnsi="Arial" w:cs="Arial"/>
          <w:sz w:val="20"/>
          <w:szCs w:val="20"/>
        </w:rPr>
        <w:br/>
      </w:r>
      <w:r w:rsidRPr="00306F4D">
        <w:rPr>
          <w:rFonts w:ascii="Arial" w:eastAsia="Arial" w:hAnsi="Arial" w:cs="Arial"/>
          <w:sz w:val="20"/>
          <w:szCs w:val="20"/>
        </w:rPr>
        <w:t xml:space="preserve"> </w:t>
      </w:r>
      <w:r w:rsidRPr="00306F4D">
        <w:rPr>
          <w:rFonts w:ascii="Arial" w:hAnsi="Arial" w:cs="Arial"/>
          <w:sz w:val="20"/>
          <w:szCs w:val="20"/>
        </w:rPr>
        <w:br/>
      </w:r>
      <w:r w:rsidRPr="00306F4D">
        <w:rPr>
          <w:rFonts w:ascii="Arial" w:eastAsia="Arial" w:hAnsi="Arial" w:cs="Arial"/>
          <w:sz w:val="20"/>
          <w:szCs w:val="20"/>
        </w:rPr>
        <w:t>First, during the expression of interest stage, a broad pool of applicants will receive support to strengthen their understanding of the problem at hand and refine their proposals. This includes applying tools such as the portfolio approach, community listening, and foresight to help applicants unpack the problem, explore system dynamics, and improve the design and relevance of their ideas.</w:t>
      </w:r>
    </w:p>
    <w:p w14:paraId="75284458" w14:textId="49168A6F" w:rsidR="00366836" w:rsidRPr="00306F4D" w:rsidRDefault="00DA47E5" w:rsidP="00DA47E5">
      <w:pPr>
        <w:spacing w:after="0" w:line="276" w:lineRule="auto"/>
        <w:jc w:val="both"/>
        <w:rPr>
          <w:rFonts w:ascii="Arial" w:eastAsia="Arial" w:hAnsi="Arial" w:cs="Arial"/>
          <w:sz w:val="20"/>
          <w:szCs w:val="20"/>
        </w:rPr>
      </w:pPr>
      <w:r w:rsidRPr="00306F4D">
        <w:rPr>
          <w:rFonts w:ascii="Arial" w:eastAsia="Arial" w:hAnsi="Arial" w:cs="Arial"/>
          <w:sz w:val="20"/>
          <w:szCs w:val="20"/>
        </w:rPr>
        <w:t xml:space="preserve"> </w:t>
      </w:r>
      <w:r w:rsidRPr="00306F4D">
        <w:rPr>
          <w:rFonts w:ascii="Arial" w:hAnsi="Arial" w:cs="Arial"/>
          <w:sz w:val="20"/>
          <w:szCs w:val="20"/>
        </w:rPr>
        <w:br/>
      </w:r>
      <w:r w:rsidRPr="00306F4D">
        <w:rPr>
          <w:rFonts w:ascii="Arial" w:eastAsia="Arial" w:hAnsi="Arial" w:cs="Arial"/>
          <w:sz w:val="20"/>
          <w:szCs w:val="20"/>
        </w:rPr>
        <w:t xml:space="preserve">For shortlisted applicants, the project will offer more tailored, in-depth support through a structured accelerator </w:t>
      </w:r>
      <w:proofErr w:type="spellStart"/>
      <w:r w:rsidRPr="00306F4D">
        <w:rPr>
          <w:rFonts w:ascii="Arial" w:eastAsia="Arial" w:hAnsi="Arial" w:cs="Arial"/>
          <w:sz w:val="20"/>
          <w:szCs w:val="20"/>
        </w:rPr>
        <w:t>programme</w:t>
      </w:r>
      <w:proofErr w:type="spellEnd"/>
      <w:r w:rsidRPr="00306F4D">
        <w:rPr>
          <w:rFonts w:ascii="Arial" w:eastAsia="Arial" w:hAnsi="Arial" w:cs="Arial"/>
          <w:sz w:val="20"/>
          <w:szCs w:val="20"/>
        </w:rPr>
        <w:t xml:space="preserve">. Drawing on tested initiatives such as BOOST, </w:t>
      </w:r>
      <w:proofErr w:type="spellStart"/>
      <w:r w:rsidRPr="00306F4D">
        <w:rPr>
          <w:rFonts w:ascii="Arial" w:eastAsia="Arial" w:hAnsi="Arial" w:cs="Arial"/>
          <w:sz w:val="20"/>
          <w:szCs w:val="20"/>
        </w:rPr>
        <w:t>Tadamon</w:t>
      </w:r>
      <w:proofErr w:type="spellEnd"/>
      <w:r w:rsidR="5C9C62B4" w:rsidRPr="00306F4D">
        <w:rPr>
          <w:rFonts w:ascii="Arial" w:eastAsia="Arial" w:hAnsi="Arial" w:cs="Arial"/>
          <w:sz w:val="20"/>
          <w:szCs w:val="20"/>
        </w:rPr>
        <w:t xml:space="preserve"> NGO </w:t>
      </w:r>
      <w:r w:rsidR="3587A4AA" w:rsidRPr="00306F4D">
        <w:rPr>
          <w:rFonts w:ascii="Arial" w:eastAsia="Arial" w:hAnsi="Arial" w:cs="Arial"/>
          <w:sz w:val="20"/>
          <w:szCs w:val="20"/>
        </w:rPr>
        <w:t>Empowerment</w:t>
      </w:r>
      <w:r w:rsidR="5C9C62B4" w:rsidRPr="00306F4D">
        <w:rPr>
          <w:rFonts w:ascii="Arial" w:eastAsia="Arial" w:hAnsi="Arial" w:cs="Arial"/>
          <w:sz w:val="20"/>
          <w:szCs w:val="20"/>
        </w:rPr>
        <w:t xml:space="preserve"> Project</w:t>
      </w:r>
      <w:r w:rsidRPr="00306F4D">
        <w:rPr>
          <w:rFonts w:ascii="Arial" w:eastAsia="Arial" w:hAnsi="Arial" w:cs="Arial"/>
          <w:sz w:val="20"/>
          <w:szCs w:val="20"/>
        </w:rPr>
        <w:t>, and other regional initiatives, this phase will provide practical tools, mentorship, and business development support to help selected grantees further develop their solutions and build the capabilities needed for effective implementation, scale, and long-term sustainability.</w:t>
      </w:r>
    </w:p>
    <w:p w14:paraId="1B2FBB36" w14:textId="6BCA59D7" w:rsidR="00DA47E5" w:rsidRPr="00306F4D" w:rsidRDefault="00DA47E5" w:rsidP="00DA47E5">
      <w:pPr>
        <w:spacing w:after="0" w:line="276" w:lineRule="auto"/>
        <w:jc w:val="both"/>
        <w:rPr>
          <w:rFonts w:ascii="Arial" w:eastAsia="Arial" w:hAnsi="Arial" w:cs="Arial"/>
          <w:sz w:val="20"/>
          <w:szCs w:val="20"/>
        </w:rPr>
      </w:pPr>
    </w:p>
    <w:p w14:paraId="112DCD81" w14:textId="77777777" w:rsidR="00DA47E5" w:rsidRPr="00306F4D" w:rsidRDefault="00DA47E5" w:rsidP="00DA47E5">
      <w:pPr>
        <w:spacing w:after="0" w:line="276" w:lineRule="auto"/>
        <w:jc w:val="both"/>
        <w:rPr>
          <w:rFonts w:ascii="Arial" w:eastAsia="Arial" w:hAnsi="Arial" w:cs="Arial"/>
          <w:sz w:val="20"/>
          <w:szCs w:val="20"/>
        </w:rPr>
      </w:pPr>
      <w:r w:rsidRPr="00306F4D">
        <w:rPr>
          <w:rFonts w:ascii="Arial" w:eastAsia="Arial" w:hAnsi="Arial" w:cs="Arial"/>
          <w:sz w:val="20"/>
          <w:szCs w:val="20"/>
        </w:rPr>
        <w:t>Together, this two-fold process not only strengthens individual proposals but also helps build a stronger, more investable pipeline of innovative, locally relevant adaptation projects for the region.</w:t>
      </w:r>
    </w:p>
    <w:p w14:paraId="25317AE6" w14:textId="77777777" w:rsidR="00DA47E5" w:rsidRPr="00306F4D" w:rsidRDefault="00DA47E5" w:rsidP="00DA47E5">
      <w:pPr>
        <w:spacing w:after="0" w:line="276" w:lineRule="auto"/>
        <w:jc w:val="both"/>
        <w:rPr>
          <w:rFonts w:ascii="Arial" w:eastAsia="Arial" w:hAnsi="Arial" w:cs="Arial"/>
          <w:sz w:val="20"/>
          <w:szCs w:val="20"/>
        </w:rPr>
      </w:pPr>
    </w:p>
    <w:p w14:paraId="76448365" w14:textId="3B0BAA4E" w:rsidR="00DA47E5" w:rsidRPr="00306F4D" w:rsidRDefault="00DA47E5" w:rsidP="00DA47E5">
      <w:pPr>
        <w:tabs>
          <w:tab w:val="left" w:pos="360"/>
        </w:tabs>
        <w:spacing w:before="120" w:after="240" w:line="276" w:lineRule="auto"/>
        <w:jc w:val="both"/>
        <w:rPr>
          <w:rFonts w:ascii="Arial" w:eastAsia="Arial" w:hAnsi="Arial" w:cs="Arial"/>
          <w:color w:val="000000" w:themeColor="text1"/>
          <w:sz w:val="20"/>
          <w:szCs w:val="20"/>
          <w:lang w:val="en-GB"/>
        </w:rPr>
      </w:pPr>
      <w:r w:rsidRPr="00306F4D">
        <w:rPr>
          <w:rFonts w:ascii="Arial" w:eastAsia="Arial" w:hAnsi="Arial" w:cs="Arial"/>
          <w:b/>
          <w:color w:val="000000" w:themeColor="text1"/>
          <w:sz w:val="20"/>
          <w:szCs w:val="20"/>
        </w:rPr>
        <w:t>3. Embed Gender</w:t>
      </w:r>
      <w:r w:rsidR="00435CA2" w:rsidRPr="00306F4D">
        <w:rPr>
          <w:rFonts w:ascii="Arial" w:eastAsia="Arial" w:hAnsi="Arial" w:cs="Arial"/>
          <w:b/>
          <w:color w:val="000000" w:themeColor="text1"/>
          <w:sz w:val="20"/>
          <w:szCs w:val="20"/>
        </w:rPr>
        <w:t xml:space="preserve"> Equality</w:t>
      </w:r>
      <w:r w:rsidRPr="00306F4D">
        <w:rPr>
          <w:rFonts w:ascii="Arial" w:eastAsia="Arial" w:hAnsi="Arial" w:cs="Arial"/>
          <w:b/>
          <w:color w:val="000000" w:themeColor="text1"/>
          <w:sz w:val="20"/>
          <w:szCs w:val="20"/>
        </w:rPr>
        <w:t xml:space="preserve"> and Social Considerations into Business Operations </w:t>
      </w:r>
    </w:p>
    <w:p w14:paraId="3D71C296" w14:textId="341C60AE" w:rsidR="00DA47E5" w:rsidRPr="00306F4D" w:rsidRDefault="0023772E" w:rsidP="00DA47E5">
      <w:pPr>
        <w:tabs>
          <w:tab w:val="left" w:pos="360"/>
        </w:tabs>
        <w:spacing w:before="120" w:after="240" w:line="276" w:lineRule="auto"/>
        <w:jc w:val="both"/>
        <w:rPr>
          <w:rFonts w:ascii="Arial" w:eastAsia="Arial" w:hAnsi="Arial" w:cs="Arial"/>
          <w:color w:val="000000" w:themeColor="text1"/>
          <w:sz w:val="20"/>
          <w:szCs w:val="20"/>
          <w:lang w:val="en-GB"/>
        </w:rPr>
      </w:pPr>
      <w:r w:rsidRPr="00306F4D">
        <w:rPr>
          <w:rFonts w:ascii="Arial" w:eastAsia="Arial" w:hAnsi="Arial" w:cs="Arial"/>
          <w:color w:val="000000" w:themeColor="text1"/>
          <w:sz w:val="20"/>
          <w:szCs w:val="20"/>
          <w:lang w:val="en-GB"/>
        </w:rPr>
        <w:t>Q</w:t>
      </w:r>
      <w:proofErr w:type="spellStart"/>
      <w:r w:rsidR="00DA47E5" w:rsidRPr="00306F4D">
        <w:rPr>
          <w:rFonts w:ascii="Arial" w:eastAsia="Arial" w:hAnsi="Arial" w:cs="Arial"/>
          <w:color w:val="000000" w:themeColor="text1"/>
          <w:sz w:val="20"/>
          <w:szCs w:val="20"/>
        </w:rPr>
        <w:t>uantitatively</w:t>
      </w:r>
      <w:proofErr w:type="spellEnd"/>
      <w:r w:rsidR="00DA47E5" w:rsidRPr="00306F4D">
        <w:rPr>
          <w:rFonts w:ascii="Arial" w:eastAsia="Arial" w:hAnsi="Arial" w:cs="Arial"/>
          <w:color w:val="000000" w:themeColor="text1"/>
          <w:sz w:val="20"/>
          <w:szCs w:val="20"/>
        </w:rPr>
        <w:t xml:space="preserve"> (as much as possible) assess both direct and indirect costs and economic and financial, social and environmental benefits, with preference to work with women and the most </w:t>
      </w:r>
      <w:r w:rsidR="2D6B6230" w:rsidRPr="00306F4D">
        <w:rPr>
          <w:rFonts w:ascii="Arial" w:eastAsia="Arial" w:hAnsi="Arial" w:cs="Arial"/>
          <w:color w:val="000000" w:themeColor="text1"/>
          <w:sz w:val="20"/>
          <w:szCs w:val="20"/>
        </w:rPr>
        <w:t>vul</w:t>
      </w:r>
      <w:r w:rsidR="4FEE34F9" w:rsidRPr="00306F4D">
        <w:rPr>
          <w:rFonts w:ascii="Arial" w:eastAsia="Arial" w:hAnsi="Arial" w:cs="Arial"/>
          <w:color w:val="000000" w:themeColor="text1"/>
          <w:sz w:val="20"/>
          <w:szCs w:val="20"/>
        </w:rPr>
        <w:t>nerable</w:t>
      </w:r>
      <w:r w:rsidR="185CEBAC" w:rsidRPr="00306F4D">
        <w:rPr>
          <w:rFonts w:ascii="Arial" w:eastAsia="Arial" w:hAnsi="Arial" w:cs="Arial"/>
          <w:color w:val="000000" w:themeColor="text1"/>
          <w:sz w:val="20"/>
          <w:szCs w:val="20"/>
        </w:rPr>
        <w:t>.</w:t>
      </w:r>
      <w:r w:rsidR="20BAA477" w:rsidRPr="00306F4D">
        <w:rPr>
          <w:rFonts w:ascii="Arial" w:eastAsia="Arial" w:hAnsi="Arial" w:cs="Arial"/>
          <w:color w:val="000000" w:themeColor="text1"/>
          <w:sz w:val="20"/>
          <w:szCs w:val="20"/>
        </w:rPr>
        <w:t xml:space="preserve"> </w:t>
      </w:r>
      <w:r w:rsidR="00DA47E5" w:rsidRPr="00306F4D">
        <w:rPr>
          <w:rFonts w:ascii="Arial" w:eastAsia="Arial" w:hAnsi="Arial" w:cs="Arial"/>
          <w:color w:val="000000" w:themeColor="text1"/>
          <w:sz w:val="20"/>
          <w:szCs w:val="20"/>
        </w:rPr>
        <w:t xml:space="preserve">The Regional Project´s screening criteria will address economic and financial viability criteria by describing value proposition and an economic/financial benefit and cost analysis to clearly and </w:t>
      </w:r>
      <w:r w:rsidR="4FEE34F9" w:rsidRPr="00306F4D">
        <w:rPr>
          <w:rFonts w:ascii="Arial" w:eastAsia="Arial" w:hAnsi="Arial" w:cs="Arial"/>
          <w:color w:val="000000" w:themeColor="text1"/>
          <w:sz w:val="20"/>
          <w:szCs w:val="20"/>
        </w:rPr>
        <w:t>vulnerable</w:t>
      </w:r>
      <w:r w:rsidR="00DA47E5" w:rsidRPr="00306F4D">
        <w:rPr>
          <w:rFonts w:ascii="Arial" w:eastAsia="Arial" w:hAnsi="Arial" w:cs="Arial"/>
          <w:color w:val="000000" w:themeColor="text1"/>
          <w:sz w:val="20"/>
          <w:szCs w:val="20"/>
        </w:rPr>
        <w:t xml:space="preserve"> communities, and vulnerable groups within communities, including gender considerations. Additionally, the proposal will have to compare the benefit/cost of its innovation against the existing baseline and/or current practices to demonstrate its innovative aspects as well as its cost effectiveness of the proposed innovation. All the projects will need to meet the GENDER Marker 2 at least, which means projects that have gender equality as a significant objective.</w:t>
      </w:r>
    </w:p>
    <w:p w14:paraId="5042C8F0" w14:textId="77777777" w:rsidR="00DA47E5" w:rsidRPr="00306F4D" w:rsidRDefault="00DA47E5" w:rsidP="00DA47E5">
      <w:pPr>
        <w:tabs>
          <w:tab w:val="left" w:pos="360"/>
        </w:tabs>
        <w:spacing w:before="120" w:after="240" w:line="276" w:lineRule="auto"/>
        <w:jc w:val="both"/>
        <w:rPr>
          <w:rFonts w:ascii="Arial" w:eastAsia="Arial" w:hAnsi="Arial" w:cs="Arial"/>
          <w:color w:val="000000" w:themeColor="text1"/>
          <w:sz w:val="20"/>
          <w:szCs w:val="20"/>
          <w:lang w:val="en-GB"/>
        </w:rPr>
      </w:pPr>
      <w:r w:rsidRPr="00306F4D">
        <w:rPr>
          <w:rFonts w:ascii="Arial" w:eastAsia="Arial" w:hAnsi="Arial" w:cs="Arial"/>
          <w:color w:val="000000" w:themeColor="text1"/>
          <w:sz w:val="20"/>
          <w:szCs w:val="20"/>
        </w:rPr>
        <w:t>Potential environment and social impacts and their management will also be an essential part of the screening criteria, in alignment with the Adaptation Fund´s and UNDP´s Environmental and Social Policy. The project proponent will provide a brief environmental and social impact assessment and the corresponding management and monitoring and evaluation plan, as required according to the AF and UNDP relevant policies.</w:t>
      </w:r>
    </w:p>
    <w:p w14:paraId="4D409830" w14:textId="12B52552" w:rsidR="0023772E" w:rsidRPr="00306F4D" w:rsidRDefault="2154AA12" w:rsidP="49C6F20D">
      <w:pPr>
        <w:tabs>
          <w:tab w:val="left" w:pos="360"/>
        </w:tabs>
        <w:spacing w:before="120" w:after="240" w:line="276" w:lineRule="auto"/>
        <w:jc w:val="both"/>
        <w:rPr>
          <w:rFonts w:ascii="Arial" w:eastAsia="Arial" w:hAnsi="Arial" w:cs="Arial"/>
          <w:color w:val="000000" w:themeColor="text1"/>
          <w:sz w:val="20"/>
          <w:szCs w:val="20"/>
        </w:rPr>
      </w:pPr>
      <w:r w:rsidRPr="00306F4D">
        <w:rPr>
          <w:rFonts w:ascii="Arial" w:eastAsia="Arial" w:hAnsi="Arial" w:cs="Arial"/>
          <w:color w:val="000000" w:themeColor="text1"/>
          <w:sz w:val="20"/>
          <w:szCs w:val="20"/>
        </w:rPr>
        <w:lastRenderedPageBreak/>
        <w:t xml:space="preserve">Furthermore, the small-grant proposal will integrate a simplified gender analysis to understand and meaningfully address the specific needs, priorities, structural and systemic barriers, status and roles of men and women. Proposals will detail how the project will advance gender equality and women’s </w:t>
      </w:r>
      <w:proofErr w:type="gramStart"/>
      <w:r w:rsidRPr="00306F4D">
        <w:rPr>
          <w:rFonts w:ascii="Arial" w:eastAsia="Arial" w:hAnsi="Arial" w:cs="Arial"/>
          <w:color w:val="000000" w:themeColor="text1"/>
          <w:sz w:val="20"/>
          <w:szCs w:val="20"/>
        </w:rPr>
        <w:t>empowerment, and</w:t>
      </w:r>
      <w:proofErr w:type="gramEnd"/>
      <w:r w:rsidRPr="00306F4D">
        <w:rPr>
          <w:rFonts w:ascii="Arial" w:eastAsia="Arial" w:hAnsi="Arial" w:cs="Arial"/>
          <w:color w:val="000000" w:themeColor="text1"/>
          <w:sz w:val="20"/>
          <w:szCs w:val="20"/>
        </w:rPr>
        <w:t xml:space="preserve"> must adhere to the Adaptation Fund´s and UNDP´s policies and requirements on gender. The proposal will demonstrate how the grantee project intends to build resilience, address their differentiated vulnerabilities and increase their capability to adapt to climate change impacts with a gender-responsive approach. The proposal will illustrate how gender equality is embedded in the project design, consultation, implementation, monitoring, reporting, and evaluation and how the project has adequate budget to deliver on these objectives. Existing gender inequalities should not be exacerbated by any activities or innovative solutions of grantee. </w:t>
      </w:r>
    </w:p>
    <w:p w14:paraId="4B03C46E" w14:textId="77777777" w:rsidR="007204C4" w:rsidRPr="00306F4D" w:rsidRDefault="007204C4" w:rsidP="007204C4">
      <w:pPr>
        <w:pStyle w:val="Footer"/>
        <w:numPr>
          <w:ilvl w:val="0"/>
          <w:numId w:val="23"/>
        </w:numPr>
        <w:tabs>
          <w:tab w:val="clear" w:pos="720"/>
          <w:tab w:val="clear" w:pos="4680"/>
          <w:tab w:val="clear" w:pos="9360"/>
        </w:tabs>
        <w:spacing w:line="276" w:lineRule="auto"/>
        <w:ind w:left="360"/>
        <w:rPr>
          <w:rFonts w:ascii="Arial" w:eastAsia="Arial" w:hAnsi="Arial" w:cs="Arial"/>
          <w:color w:val="AEAAAA" w:themeColor="background2" w:themeShade="BF"/>
          <w:lang w:val="en-GB"/>
        </w:rPr>
      </w:pPr>
      <w:bookmarkStart w:id="82" w:name="_Hlk66700702"/>
      <w:r w:rsidRPr="00306F4D">
        <w:rPr>
          <w:rFonts w:ascii="Arial" w:eastAsia="Arial" w:hAnsi="Arial" w:cs="Arial"/>
          <w:color w:val="AEAAAA" w:themeColor="background2" w:themeShade="BF"/>
          <w:lang w:val="en-GB"/>
        </w:rPr>
        <w:t>Describe how the project/programme aims to roll out successful innovative adaptation practices, tools, and technologies and/or describe how the project aims to scale up viable innovative adaptation practices, tools, and technologies</w:t>
      </w:r>
      <w:bookmarkEnd w:id="82"/>
      <w:r w:rsidRPr="00306F4D">
        <w:rPr>
          <w:rFonts w:ascii="Arial" w:eastAsia="Arial" w:hAnsi="Arial" w:cs="Arial"/>
          <w:color w:val="AEAAAA" w:themeColor="background2" w:themeShade="BF"/>
          <w:lang w:val="en-GB"/>
        </w:rPr>
        <w:t>.</w:t>
      </w:r>
    </w:p>
    <w:p w14:paraId="25E490FD" w14:textId="148C4548" w:rsidR="25ACAAF7" w:rsidRPr="00306F4D" w:rsidRDefault="00654214" w:rsidP="4186447D">
      <w:pPr>
        <w:pStyle w:val="Heading2"/>
        <w:spacing w:line="276" w:lineRule="auto"/>
        <w:jc w:val="both"/>
        <w:rPr>
          <w:rFonts w:ascii="Arial" w:eastAsia="Arial" w:hAnsi="Arial" w:cs="Arial"/>
          <w:b/>
          <w:sz w:val="20"/>
          <w:szCs w:val="20"/>
          <w:lang w:val="en-GB"/>
        </w:rPr>
      </w:pPr>
      <w:bookmarkStart w:id="83" w:name="_Toc1671715555"/>
      <w:bookmarkStart w:id="84" w:name="_Toc738970818"/>
      <w:bookmarkStart w:id="85" w:name="_Toc202165709"/>
      <w:bookmarkStart w:id="86" w:name="_Toc202893740"/>
      <w:r w:rsidRPr="00306F4D">
        <w:rPr>
          <w:rFonts w:ascii="Arial" w:eastAsia="Arial" w:hAnsi="Arial" w:cs="Arial"/>
          <w:sz w:val="20"/>
          <w:szCs w:val="20"/>
          <w:lang w:val="en-GB"/>
        </w:rPr>
        <w:t>Scaling Up and Rolling Out Successful Adaptation Innovations</w:t>
      </w:r>
      <w:bookmarkEnd w:id="83"/>
      <w:bookmarkEnd w:id="84"/>
      <w:bookmarkEnd w:id="85"/>
      <w:bookmarkEnd w:id="86"/>
    </w:p>
    <w:p w14:paraId="6F724D9B" w14:textId="36630185" w:rsidR="25ACAAF7" w:rsidRPr="00306F4D" w:rsidRDefault="25ACAAF7" w:rsidP="4186447D">
      <w:p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 xml:space="preserve">A key objective of the project is to ensure that </w:t>
      </w:r>
      <w:r w:rsidRPr="00306F4D">
        <w:rPr>
          <w:rFonts w:ascii="Arial" w:eastAsia="Arial" w:hAnsi="Arial" w:cs="Arial"/>
          <w:b/>
          <w:sz w:val="20"/>
          <w:szCs w:val="20"/>
          <w:lang w:val="en-GB"/>
        </w:rPr>
        <w:t xml:space="preserve">successful adaptation innovations do not remain isolated </w:t>
      </w:r>
      <w:r w:rsidRPr="00306F4D">
        <w:rPr>
          <w:rFonts w:ascii="Arial" w:eastAsia="Arial" w:hAnsi="Arial" w:cs="Arial"/>
          <w:sz w:val="20"/>
          <w:szCs w:val="20"/>
          <w:lang w:val="en-GB"/>
        </w:rPr>
        <w:t>pilots but instead evolve into scalable and replicable models. To this end, the project integrates a multi-pronged strategy for scaling:</w:t>
      </w:r>
    </w:p>
    <w:p w14:paraId="281C8CD5" w14:textId="5AAAF4E1" w:rsidR="25ACAAF7" w:rsidRPr="00306F4D" w:rsidRDefault="25ACAAF7" w:rsidP="4186447D">
      <w:pPr>
        <w:pStyle w:val="ListParagraph"/>
        <w:numPr>
          <w:ilvl w:val="0"/>
          <w:numId w:val="13"/>
        </w:numPr>
        <w:spacing w:before="240" w:after="240" w:line="276" w:lineRule="auto"/>
        <w:jc w:val="both"/>
        <w:rPr>
          <w:rFonts w:ascii="Arial" w:eastAsia="Arial" w:hAnsi="Arial" w:cs="Arial"/>
          <w:sz w:val="20"/>
          <w:szCs w:val="20"/>
          <w:lang w:val="en-GB"/>
        </w:rPr>
      </w:pPr>
      <w:r w:rsidRPr="00306F4D">
        <w:rPr>
          <w:rFonts w:ascii="Arial" w:eastAsia="Arial" w:hAnsi="Arial" w:cs="Arial"/>
          <w:b/>
          <w:sz w:val="20"/>
          <w:szCs w:val="20"/>
          <w:lang w:val="en-GB"/>
        </w:rPr>
        <w:t>Built-in Scalability Criteria</w:t>
      </w:r>
      <w:r w:rsidRPr="00306F4D">
        <w:rPr>
          <w:rFonts w:ascii="Arial" w:eastAsia="Arial" w:hAnsi="Arial" w:cs="Arial"/>
          <w:sz w:val="20"/>
          <w:szCs w:val="20"/>
          <w:lang w:val="en-GB"/>
        </w:rPr>
        <w:t>: Proposals must demonstrate how their innovation could be scaled within or beyond their immediate context, including potential policy linkages and market channels.</w:t>
      </w:r>
    </w:p>
    <w:p w14:paraId="091D637F" w14:textId="77777777" w:rsidR="00691A1D" w:rsidRPr="00306F4D" w:rsidRDefault="00691A1D" w:rsidP="4186447D">
      <w:pPr>
        <w:pStyle w:val="ListParagraph"/>
        <w:spacing w:before="240" w:after="240" w:line="276" w:lineRule="auto"/>
        <w:jc w:val="both"/>
        <w:rPr>
          <w:rFonts w:ascii="Arial" w:eastAsia="Arial" w:hAnsi="Arial" w:cs="Arial"/>
          <w:sz w:val="20"/>
          <w:szCs w:val="20"/>
          <w:lang w:val="en-GB"/>
        </w:rPr>
      </w:pPr>
    </w:p>
    <w:p w14:paraId="5B6B6B7E" w14:textId="54FEC769" w:rsidR="25ACAAF7" w:rsidRPr="00306F4D" w:rsidRDefault="25ACAAF7" w:rsidP="4186447D">
      <w:pPr>
        <w:pStyle w:val="ListParagraph"/>
        <w:numPr>
          <w:ilvl w:val="0"/>
          <w:numId w:val="13"/>
        </w:numPr>
        <w:spacing w:before="240" w:after="240" w:line="276" w:lineRule="auto"/>
        <w:jc w:val="both"/>
        <w:rPr>
          <w:rFonts w:ascii="Arial" w:eastAsia="Arial" w:hAnsi="Arial" w:cs="Arial"/>
          <w:sz w:val="20"/>
          <w:szCs w:val="20"/>
          <w:lang w:val="en-GB"/>
        </w:rPr>
      </w:pPr>
      <w:r w:rsidRPr="00306F4D">
        <w:rPr>
          <w:rFonts w:ascii="Arial" w:eastAsia="Arial" w:hAnsi="Arial" w:cs="Arial"/>
          <w:b/>
          <w:sz w:val="20"/>
          <w:szCs w:val="20"/>
          <w:lang w:val="en-GB"/>
        </w:rPr>
        <w:t>Dedicated Technical Support</w:t>
      </w:r>
      <w:r w:rsidRPr="00306F4D">
        <w:rPr>
          <w:rFonts w:ascii="Arial" w:eastAsia="Arial" w:hAnsi="Arial" w:cs="Arial"/>
          <w:sz w:val="20"/>
          <w:szCs w:val="20"/>
          <w:lang w:val="en-GB"/>
        </w:rPr>
        <w:t>: A portion of the technical assistance facility is reserved specifically to support grantees in refining their scale-up strategies. This includes:</w:t>
      </w:r>
    </w:p>
    <w:p w14:paraId="3E95B8C3" w14:textId="77777777" w:rsidR="00691A1D" w:rsidRPr="00306F4D" w:rsidRDefault="00691A1D" w:rsidP="4186447D">
      <w:pPr>
        <w:pStyle w:val="ListParagraph"/>
        <w:numPr>
          <w:ilvl w:val="1"/>
          <w:numId w:val="13"/>
        </w:num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Technical advisory support in climate change adaptation</w:t>
      </w:r>
    </w:p>
    <w:p w14:paraId="10DDDCBF" w14:textId="77777777" w:rsidR="00691A1D" w:rsidRPr="00306F4D" w:rsidRDefault="00691A1D" w:rsidP="4186447D">
      <w:pPr>
        <w:pStyle w:val="ListParagraph"/>
        <w:numPr>
          <w:ilvl w:val="1"/>
          <w:numId w:val="13"/>
        </w:num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Technical advisory support in innovation processes</w:t>
      </w:r>
    </w:p>
    <w:p w14:paraId="6B615901" w14:textId="01D43664" w:rsidR="25ACAAF7" w:rsidRPr="00306F4D" w:rsidRDefault="25ACAAF7" w:rsidP="4186447D">
      <w:pPr>
        <w:pStyle w:val="ListParagraph"/>
        <w:numPr>
          <w:ilvl w:val="1"/>
          <w:numId w:val="13"/>
        </w:num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 xml:space="preserve">Business development and investment-readiness </w:t>
      </w:r>
      <w:proofErr w:type="gramStart"/>
      <w:r w:rsidRPr="00306F4D">
        <w:rPr>
          <w:rFonts w:ascii="Arial" w:eastAsia="Arial" w:hAnsi="Arial" w:cs="Arial"/>
          <w:sz w:val="20"/>
          <w:szCs w:val="20"/>
          <w:lang w:val="en-GB"/>
        </w:rPr>
        <w:t>training;</w:t>
      </w:r>
      <w:proofErr w:type="gramEnd"/>
    </w:p>
    <w:p w14:paraId="63CC23E0" w14:textId="495B6F5B" w:rsidR="25ACAAF7" w:rsidRPr="00306F4D" w:rsidRDefault="25ACAAF7" w:rsidP="4186447D">
      <w:pPr>
        <w:pStyle w:val="ListParagraph"/>
        <w:numPr>
          <w:ilvl w:val="1"/>
          <w:numId w:val="13"/>
        </w:num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 xml:space="preserve">Tailored incubation and acceleration </w:t>
      </w:r>
      <w:proofErr w:type="gramStart"/>
      <w:r w:rsidRPr="00306F4D">
        <w:rPr>
          <w:rFonts w:ascii="Arial" w:eastAsia="Arial" w:hAnsi="Arial" w:cs="Arial"/>
          <w:sz w:val="20"/>
          <w:szCs w:val="20"/>
          <w:lang w:val="en-GB"/>
        </w:rPr>
        <w:t>services;</w:t>
      </w:r>
      <w:proofErr w:type="gramEnd"/>
    </w:p>
    <w:p w14:paraId="46B99A2D" w14:textId="364802D0" w:rsidR="25ACAAF7" w:rsidRPr="00306F4D" w:rsidRDefault="25ACAAF7" w:rsidP="4186447D">
      <w:pPr>
        <w:pStyle w:val="ListParagraph"/>
        <w:numPr>
          <w:ilvl w:val="1"/>
          <w:numId w:val="13"/>
        </w:num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Support for implementing exit and sustainability strategies.</w:t>
      </w:r>
    </w:p>
    <w:p w14:paraId="632C7BFB" w14:textId="77777777" w:rsidR="00691A1D" w:rsidRPr="00306F4D" w:rsidRDefault="00691A1D" w:rsidP="4186447D">
      <w:pPr>
        <w:pStyle w:val="ListParagraph"/>
        <w:spacing w:before="240" w:after="240" w:line="276" w:lineRule="auto"/>
        <w:ind w:left="1440"/>
        <w:jc w:val="both"/>
        <w:rPr>
          <w:rFonts w:ascii="Arial" w:eastAsia="Arial" w:hAnsi="Arial" w:cs="Arial"/>
          <w:sz w:val="20"/>
          <w:szCs w:val="20"/>
          <w:lang w:val="en-GB"/>
        </w:rPr>
      </w:pPr>
    </w:p>
    <w:p w14:paraId="0E1B84C4" w14:textId="571E5C99" w:rsidR="25ACAAF7" w:rsidRPr="00306F4D" w:rsidRDefault="25ACAAF7" w:rsidP="4186447D">
      <w:pPr>
        <w:pStyle w:val="ListParagraph"/>
        <w:numPr>
          <w:ilvl w:val="0"/>
          <w:numId w:val="13"/>
        </w:numPr>
        <w:spacing w:before="240" w:after="240" w:line="276" w:lineRule="auto"/>
        <w:jc w:val="both"/>
        <w:rPr>
          <w:rFonts w:ascii="Arial" w:eastAsia="Arial" w:hAnsi="Arial" w:cs="Arial"/>
          <w:sz w:val="20"/>
          <w:szCs w:val="20"/>
          <w:lang w:val="en-GB"/>
        </w:rPr>
      </w:pPr>
      <w:r w:rsidRPr="00306F4D">
        <w:rPr>
          <w:rFonts w:ascii="Arial" w:eastAsia="Arial" w:hAnsi="Arial" w:cs="Arial"/>
          <w:b/>
          <w:sz w:val="20"/>
          <w:szCs w:val="20"/>
          <w:lang w:val="en-GB"/>
        </w:rPr>
        <w:t>Investment Brokering</w:t>
      </w:r>
      <w:r w:rsidRPr="00306F4D">
        <w:rPr>
          <w:rFonts w:ascii="Arial" w:eastAsia="Arial" w:hAnsi="Arial" w:cs="Arial"/>
          <w:sz w:val="20"/>
          <w:szCs w:val="20"/>
          <w:lang w:val="en-GB"/>
        </w:rPr>
        <w:t>: The project</w:t>
      </w:r>
      <w:r w:rsidR="6B0DBD04" w:rsidRPr="00306F4D">
        <w:rPr>
          <w:rFonts w:ascii="Arial" w:eastAsia="Arial" w:hAnsi="Arial" w:cs="Arial"/>
          <w:sz w:val="20"/>
          <w:szCs w:val="20"/>
          <w:lang w:val="en-GB"/>
        </w:rPr>
        <w:t xml:space="preserve"> through UNDP network of partners</w:t>
      </w:r>
      <w:r w:rsidRPr="00306F4D">
        <w:rPr>
          <w:rFonts w:ascii="Arial" w:eastAsia="Arial" w:hAnsi="Arial" w:cs="Arial"/>
          <w:sz w:val="20"/>
          <w:szCs w:val="20"/>
          <w:lang w:val="en-GB"/>
        </w:rPr>
        <w:t xml:space="preserve"> facilitates connections with public finance mechanisms (e.g., GEF, GCF, national funds) and private sector partners to unlock follow-on investment. Each grantee is encouraged to identify pipeline funding and partnerships from the outset.</w:t>
      </w:r>
    </w:p>
    <w:p w14:paraId="7618AB35" w14:textId="77777777" w:rsidR="00691A1D" w:rsidRPr="00306F4D" w:rsidRDefault="00691A1D" w:rsidP="4186447D">
      <w:pPr>
        <w:pStyle w:val="ListParagraph"/>
        <w:spacing w:before="240" w:after="240" w:line="276" w:lineRule="auto"/>
        <w:jc w:val="both"/>
        <w:rPr>
          <w:rFonts w:ascii="Arial" w:eastAsia="Arial" w:hAnsi="Arial" w:cs="Arial"/>
          <w:sz w:val="20"/>
          <w:szCs w:val="20"/>
          <w:lang w:val="en-GB"/>
        </w:rPr>
      </w:pPr>
    </w:p>
    <w:p w14:paraId="12FD7846" w14:textId="61DED58D" w:rsidR="000452A1" w:rsidRPr="00306F4D" w:rsidRDefault="25ACAAF7" w:rsidP="4186447D">
      <w:pPr>
        <w:pStyle w:val="ListParagraph"/>
        <w:numPr>
          <w:ilvl w:val="0"/>
          <w:numId w:val="13"/>
        </w:numPr>
        <w:spacing w:before="240" w:after="240" w:line="276" w:lineRule="auto"/>
        <w:jc w:val="both"/>
        <w:rPr>
          <w:rFonts w:ascii="Arial" w:eastAsia="Arial" w:hAnsi="Arial" w:cs="Arial"/>
          <w:sz w:val="20"/>
          <w:szCs w:val="20"/>
          <w:lang w:val="en-GB"/>
        </w:rPr>
      </w:pPr>
      <w:r w:rsidRPr="00306F4D">
        <w:rPr>
          <w:rFonts w:ascii="Arial" w:eastAsia="Arial" w:hAnsi="Arial" w:cs="Arial"/>
          <w:b/>
          <w:sz w:val="20"/>
          <w:szCs w:val="20"/>
          <w:lang w:val="en-GB"/>
        </w:rPr>
        <w:t>Knowledge Sharing and Peer Learning</w:t>
      </w:r>
      <w:r w:rsidRPr="00306F4D">
        <w:rPr>
          <w:rFonts w:ascii="Arial" w:eastAsia="Arial" w:hAnsi="Arial" w:cs="Arial"/>
          <w:sz w:val="20"/>
          <w:szCs w:val="20"/>
          <w:lang w:val="en-GB"/>
        </w:rPr>
        <w:t>: Through regional innovation fairs, peer-to-peer exchanges, and learning platforms, successful innovations are showcased and shared across the four countries, enabling replication by other actors facing similar challenges.</w:t>
      </w:r>
    </w:p>
    <w:p w14:paraId="1D834D41" w14:textId="54EE722C" w:rsidR="4E744A35" w:rsidRPr="00306F4D" w:rsidRDefault="4E744A35" w:rsidP="4186447D">
      <w:pPr>
        <w:pStyle w:val="ListParagraph"/>
        <w:spacing w:before="240" w:after="240" w:line="276" w:lineRule="auto"/>
        <w:jc w:val="both"/>
        <w:rPr>
          <w:rFonts w:ascii="Arial" w:eastAsia="Arial" w:hAnsi="Arial" w:cs="Arial"/>
          <w:sz w:val="20"/>
          <w:szCs w:val="20"/>
          <w:lang w:val="en-GB"/>
        </w:rPr>
      </w:pPr>
    </w:p>
    <w:p w14:paraId="6639E941" w14:textId="5AA77BF4" w:rsidR="25ACAAF7" w:rsidRPr="00306F4D" w:rsidRDefault="25ACAAF7" w:rsidP="4186447D">
      <w:pPr>
        <w:pStyle w:val="ListParagraph"/>
        <w:numPr>
          <w:ilvl w:val="0"/>
          <w:numId w:val="13"/>
        </w:numPr>
        <w:spacing w:before="240" w:after="240" w:line="276" w:lineRule="auto"/>
        <w:jc w:val="both"/>
        <w:rPr>
          <w:rFonts w:ascii="Arial" w:eastAsia="Arial" w:hAnsi="Arial" w:cs="Arial"/>
          <w:sz w:val="20"/>
          <w:szCs w:val="20"/>
          <w:lang w:val="en-GB"/>
        </w:rPr>
      </w:pPr>
      <w:r w:rsidRPr="00306F4D">
        <w:rPr>
          <w:rFonts w:ascii="Arial" w:eastAsia="Arial" w:hAnsi="Arial" w:cs="Arial"/>
          <w:b/>
          <w:sz w:val="20"/>
          <w:szCs w:val="20"/>
          <w:lang w:val="en-GB"/>
        </w:rPr>
        <w:t>Global Networks and Visibility</w:t>
      </w:r>
      <w:r w:rsidRPr="00306F4D">
        <w:rPr>
          <w:rFonts w:ascii="Arial" w:eastAsia="Arial" w:hAnsi="Arial" w:cs="Arial"/>
          <w:sz w:val="20"/>
          <w:szCs w:val="20"/>
          <w:lang w:val="en-GB"/>
        </w:rPr>
        <w:t>: Innovations supported by the project are integrated into UNDP’s Adaptation Innovation Marketplace (AIM</w:t>
      </w:r>
      <w:r w:rsidR="3A2B190E" w:rsidRPr="00306F4D">
        <w:rPr>
          <w:rFonts w:ascii="Arial" w:eastAsia="Arial" w:hAnsi="Arial" w:cs="Arial"/>
          <w:sz w:val="20"/>
          <w:szCs w:val="20"/>
          <w:lang w:val="en-GB"/>
        </w:rPr>
        <w:t>)</w:t>
      </w:r>
      <w:r w:rsidR="61905BDE" w:rsidRPr="00306F4D">
        <w:rPr>
          <w:rFonts w:ascii="Arial" w:eastAsia="Arial" w:hAnsi="Arial" w:cs="Arial"/>
          <w:sz w:val="20"/>
          <w:szCs w:val="20"/>
          <w:lang w:val="en-GB"/>
        </w:rPr>
        <w:t xml:space="preserve"> networks of partners (e.g. Adaptation Innovation Marketplace/AFCIA; BOOST programme, </w:t>
      </w:r>
      <w:proofErr w:type="spellStart"/>
      <w:r w:rsidR="61905BDE" w:rsidRPr="00306F4D">
        <w:rPr>
          <w:rFonts w:ascii="Arial" w:eastAsia="Arial" w:hAnsi="Arial" w:cs="Arial"/>
          <w:sz w:val="20"/>
          <w:szCs w:val="20"/>
          <w:lang w:val="en-GB"/>
        </w:rPr>
        <w:t>Tadamon</w:t>
      </w:r>
      <w:proofErr w:type="spellEnd"/>
      <w:r w:rsidR="4D27E144" w:rsidRPr="00306F4D">
        <w:rPr>
          <w:rFonts w:ascii="Arial" w:eastAsia="Arial" w:hAnsi="Arial" w:cs="Arial"/>
          <w:sz w:val="20"/>
          <w:szCs w:val="20"/>
          <w:lang w:val="en-GB"/>
        </w:rPr>
        <w:t xml:space="preserve"> programme</w:t>
      </w:r>
      <w:r w:rsidR="61905BDE" w:rsidRPr="00306F4D">
        <w:rPr>
          <w:rFonts w:ascii="Arial" w:eastAsia="Arial" w:hAnsi="Arial" w:cs="Arial"/>
          <w:sz w:val="20"/>
          <w:szCs w:val="20"/>
          <w:lang w:val="en-GB"/>
        </w:rPr>
        <w:t>, SGP Programme to mention few</w:t>
      </w:r>
      <w:r w:rsidRPr="00306F4D">
        <w:rPr>
          <w:rFonts w:ascii="Arial" w:eastAsia="Arial" w:hAnsi="Arial" w:cs="Arial"/>
          <w:sz w:val="20"/>
          <w:szCs w:val="20"/>
          <w:lang w:val="en-GB"/>
        </w:rPr>
        <w:t>), which links grantees with international platforms for knowledge, funding, and policy engagement.</w:t>
      </w:r>
    </w:p>
    <w:p w14:paraId="5D960C25" w14:textId="00FCA7BF" w:rsidR="25ACAAF7" w:rsidRPr="00306F4D" w:rsidRDefault="25ACAAF7" w:rsidP="4186447D">
      <w:p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 xml:space="preserve">The project’s scaling framework is informed by practical experience under the UNDP-AFCIA initiative. As documented in </w:t>
      </w:r>
      <w:r w:rsidR="00A53017" w:rsidRPr="00306F4D">
        <w:rPr>
          <w:rFonts w:ascii="Arial" w:eastAsia="Arial" w:hAnsi="Arial" w:cs="Arial"/>
          <w:sz w:val="20"/>
          <w:szCs w:val="20"/>
          <w:lang w:val="en-GB"/>
        </w:rPr>
        <w:t xml:space="preserve">the </w:t>
      </w:r>
      <w:r w:rsidRPr="00306F4D">
        <w:rPr>
          <w:rFonts w:ascii="Arial" w:eastAsia="Arial" w:hAnsi="Arial" w:cs="Arial"/>
          <w:sz w:val="20"/>
          <w:szCs w:val="20"/>
          <w:lang w:val="en-GB"/>
        </w:rPr>
        <w:t>AFCIA Annual Reports (2022–2024), innovations such as solar-powered irrigation, fog harvesting, and community-based early warning systems have demonstrated how structured support, visibility, and ecosystem-building can lead to tangible and replicable adaptation impact.</w:t>
      </w:r>
    </w:p>
    <w:p w14:paraId="4512CFF8" w14:textId="2D51EC61" w:rsidR="007035D3" w:rsidRPr="00306F4D" w:rsidRDefault="25ACAAF7" w:rsidP="4186447D">
      <w:pPr>
        <w:spacing w:line="276" w:lineRule="auto"/>
        <w:jc w:val="both"/>
        <w:rPr>
          <w:rFonts w:ascii="Arial" w:eastAsia="Arial" w:hAnsi="Arial" w:cs="Arial"/>
          <w:sz w:val="20"/>
          <w:szCs w:val="20"/>
          <w:lang w:val="en-GB"/>
        </w:rPr>
      </w:pPr>
      <w:r w:rsidRPr="00306F4D">
        <w:rPr>
          <w:rFonts w:ascii="Arial" w:eastAsia="Arial" w:hAnsi="Arial" w:cs="Arial"/>
          <w:sz w:val="20"/>
          <w:szCs w:val="20"/>
          <w:lang w:val="en-GB"/>
        </w:rPr>
        <w:lastRenderedPageBreak/>
        <w:t xml:space="preserve">Through its structured support model, focus on inclusive innovation, and clear pathways for scale, the Regional Project ensures that </w:t>
      </w:r>
      <w:r w:rsidRPr="00306F4D">
        <w:rPr>
          <w:rFonts w:ascii="Arial" w:eastAsia="Arial" w:hAnsi="Arial" w:cs="Arial"/>
          <w:b/>
          <w:sz w:val="20"/>
          <w:szCs w:val="20"/>
          <w:lang w:val="en-GB"/>
        </w:rPr>
        <w:t>locally-led adaptation solutions are not only discovered—but strengthened, replicated, and sustained</w:t>
      </w:r>
      <w:r w:rsidRPr="00306F4D">
        <w:rPr>
          <w:rFonts w:ascii="Arial" w:eastAsia="Arial" w:hAnsi="Arial" w:cs="Arial"/>
          <w:sz w:val="20"/>
          <w:szCs w:val="20"/>
          <w:lang w:val="en-GB"/>
        </w:rPr>
        <w:t>. It positions the Western Balkans as a regional hub for climate adaptation innovation, while contributing to the global knowledge base on how to enable transformational resilience at scale.</w:t>
      </w:r>
    </w:p>
    <w:p w14:paraId="5918103E" w14:textId="52649012" w:rsidR="3C250549" w:rsidRPr="00306F4D" w:rsidRDefault="1C0A3D97" w:rsidP="4186447D">
      <w:pPr>
        <w:pStyle w:val="Heading2"/>
        <w:spacing w:line="276" w:lineRule="auto"/>
        <w:jc w:val="both"/>
        <w:rPr>
          <w:rFonts w:ascii="Arial" w:eastAsia="Arial" w:hAnsi="Arial" w:cs="Arial"/>
          <w:b/>
          <w:color w:val="auto"/>
          <w:sz w:val="20"/>
          <w:szCs w:val="20"/>
          <w:lang w:val="en-GB"/>
        </w:rPr>
      </w:pPr>
      <w:bookmarkStart w:id="87" w:name="_Toc1723118124"/>
      <w:bookmarkStart w:id="88" w:name="_Toc120778505"/>
      <w:bookmarkStart w:id="89" w:name="_Toc202165710"/>
      <w:bookmarkStart w:id="90" w:name="_Toc202893741"/>
      <w:r w:rsidRPr="00306F4D">
        <w:rPr>
          <w:rFonts w:ascii="Arial" w:eastAsia="Arial" w:hAnsi="Arial" w:cs="Arial"/>
          <w:sz w:val="20"/>
          <w:szCs w:val="20"/>
          <w:lang w:val="en-GB"/>
        </w:rPr>
        <w:t>Economic, Social, and Environmental Benefits and Safeguards</w:t>
      </w:r>
      <w:bookmarkEnd w:id="87"/>
      <w:bookmarkEnd w:id="88"/>
      <w:bookmarkEnd w:id="89"/>
      <w:bookmarkEnd w:id="90"/>
    </w:p>
    <w:p w14:paraId="67491FED" w14:textId="6DAC351B" w:rsidR="3C250549" w:rsidRPr="00306F4D" w:rsidRDefault="3C250549" w:rsidP="4186447D">
      <w:p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 xml:space="preserve">The Regional Project is designed to deliver tangible </w:t>
      </w:r>
      <w:r w:rsidRPr="00306F4D">
        <w:rPr>
          <w:rFonts w:ascii="Arial" w:eastAsia="Arial" w:hAnsi="Arial" w:cs="Arial"/>
          <w:b/>
          <w:sz w:val="20"/>
          <w:szCs w:val="20"/>
          <w:lang w:val="en-GB"/>
        </w:rPr>
        <w:t>economic, social, and environmental benefits</w:t>
      </w:r>
      <w:r w:rsidRPr="00306F4D">
        <w:rPr>
          <w:rFonts w:ascii="Arial" w:eastAsia="Arial" w:hAnsi="Arial" w:cs="Arial"/>
          <w:sz w:val="20"/>
          <w:szCs w:val="20"/>
          <w:lang w:val="en-GB"/>
        </w:rPr>
        <w:t xml:space="preserve"> while ensuring strong alignment with the </w:t>
      </w:r>
      <w:r w:rsidRPr="00306F4D">
        <w:rPr>
          <w:rFonts w:ascii="Arial" w:eastAsia="Arial" w:hAnsi="Arial" w:cs="Arial"/>
          <w:b/>
          <w:sz w:val="20"/>
          <w:szCs w:val="20"/>
          <w:lang w:val="en-GB"/>
        </w:rPr>
        <w:t>Environmental and Social Policy (ESP)</w:t>
      </w:r>
      <w:r w:rsidRPr="00306F4D">
        <w:rPr>
          <w:rFonts w:ascii="Arial" w:eastAsia="Arial" w:hAnsi="Arial" w:cs="Arial"/>
          <w:sz w:val="20"/>
          <w:szCs w:val="20"/>
          <w:lang w:val="en-GB"/>
        </w:rPr>
        <w:t xml:space="preserve"> and </w:t>
      </w:r>
      <w:r w:rsidRPr="00306F4D">
        <w:rPr>
          <w:rFonts w:ascii="Arial" w:eastAsia="Arial" w:hAnsi="Arial" w:cs="Arial"/>
          <w:b/>
          <w:sz w:val="20"/>
          <w:szCs w:val="20"/>
          <w:lang w:val="en-GB"/>
        </w:rPr>
        <w:t>Gender Policy (GP)</w:t>
      </w:r>
      <w:r w:rsidRPr="00306F4D">
        <w:rPr>
          <w:rFonts w:ascii="Arial" w:eastAsia="Arial" w:hAnsi="Arial" w:cs="Arial"/>
          <w:sz w:val="20"/>
          <w:szCs w:val="20"/>
          <w:lang w:val="en-GB"/>
        </w:rPr>
        <w:t xml:space="preserve"> of the Adaptation Fund</w:t>
      </w:r>
      <w:r w:rsidR="09CDE0F5" w:rsidRPr="00306F4D">
        <w:rPr>
          <w:rFonts w:ascii="Arial" w:eastAsia="Arial" w:hAnsi="Arial" w:cs="Arial"/>
          <w:sz w:val="20"/>
          <w:szCs w:val="20"/>
          <w:lang w:val="en-GB"/>
        </w:rPr>
        <w:t xml:space="preserve"> and UNDP</w:t>
      </w:r>
      <w:r w:rsidRPr="00306F4D">
        <w:rPr>
          <w:rFonts w:ascii="Arial" w:eastAsia="Arial" w:hAnsi="Arial" w:cs="Arial"/>
          <w:sz w:val="20"/>
          <w:szCs w:val="20"/>
          <w:lang w:val="en-GB"/>
        </w:rPr>
        <w:t xml:space="preserve">. The project gives particular attention to the needs and priorities of </w:t>
      </w:r>
      <w:r w:rsidRPr="00306F4D">
        <w:rPr>
          <w:rFonts w:ascii="Arial" w:eastAsia="Arial" w:hAnsi="Arial" w:cs="Arial"/>
          <w:b/>
          <w:sz w:val="20"/>
          <w:szCs w:val="20"/>
          <w:lang w:val="en-GB"/>
        </w:rPr>
        <w:t>vulnerable communities and groups within communities</w:t>
      </w:r>
      <w:r w:rsidRPr="00306F4D">
        <w:rPr>
          <w:rFonts w:ascii="Arial" w:eastAsia="Arial" w:hAnsi="Arial" w:cs="Arial"/>
          <w:sz w:val="20"/>
          <w:szCs w:val="20"/>
          <w:lang w:val="en-GB"/>
        </w:rPr>
        <w:t xml:space="preserve">, including women, youth, </w:t>
      </w:r>
      <w:r w:rsidR="17B53A28" w:rsidRPr="00306F4D">
        <w:rPr>
          <w:rFonts w:ascii="Arial" w:eastAsia="Arial" w:hAnsi="Arial" w:cs="Arial"/>
          <w:sz w:val="20"/>
          <w:szCs w:val="20"/>
          <w:lang w:val="en-GB"/>
        </w:rPr>
        <w:t>communities facing social,</w:t>
      </w:r>
      <w:r w:rsidR="10735BD4" w:rsidRPr="00306F4D">
        <w:rPr>
          <w:rFonts w:ascii="Arial" w:eastAsia="Arial" w:hAnsi="Arial" w:cs="Arial"/>
          <w:sz w:val="20"/>
          <w:szCs w:val="20"/>
          <w:lang w:val="en-GB"/>
        </w:rPr>
        <w:t xml:space="preserve"> economic</w:t>
      </w:r>
      <w:r w:rsidR="17B53A28" w:rsidRPr="00306F4D">
        <w:rPr>
          <w:rFonts w:ascii="Arial" w:eastAsia="Arial" w:hAnsi="Arial" w:cs="Arial"/>
          <w:sz w:val="20"/>
          <w:szCs w:val="20"/>
          <w:lang w:val="en-GB"/>
        </w:rPr>
        <w:t>, and political marginalization</w:t>
      </w:r>
      <w:r w:rsidRPr="00306F4D">
        <w:rPr>
          <w:rFonts w:ascii="Arial" w:eastAsia="Arial" w:hAnsi="Arial" w:cs="Arial"/>
          <w:sz w:val="20"/>
          <w:szCs w:val="20"/>
          <w:lang w:val="en-GB"/>
        </w:rPr>
        <w:t>, persons with disabilities, and other marginalized populations.</w:t>
      </w:r>
    </w:p>
    <w:p w14:paraId="53DA9D67" w14:textId="77777777" w:rsidR="00363675" w:rsidRPr="00306F4D" w:rsidRDefault="00363675" w:rsidP="00363675">
      <w:pPr>
        <w:pStyle w:val="Footer"/>
        <w:numPr>
          <w:ilvl w:val="0"/>
          <w:numId w:val="23"/>
        </w:numPr>
        <w:tabs>
          <w:tab w:val="clear" w:pos="720"/>
          <w:tab w:val="clear" w:pos="4680"/>
          <w:tab w:val="clear" w:pos="9360"/>
        </w:tabs>
        <w:spacing w:line="276" w:lineRule="auto"/>
        <w:ind w:left="360"/>
        <w:jc w:val="both"/>
        <w:rPr>
          <w:rFonts w:ascii="Arial" w:eastAsia="Arial" w:hAnsi="Arial" w:cs="Arial"/>
          <w:lang w:val="en-GB"/>
        </w:rPr>
      </w:pPr>
      <w:r w:rsidRPr="00306F4D">
        <w:rPr>
          <w:rFonts w:ascii="Arial" w:eastAsia="Arial" w:hAnsi="Arial" w:cs="Arial"/>
          <w:color w:val="AEAAAA" w:themeColor="background2" w:themeShade="BF"/>
        </w:rPr>
        <w:t xml:space="preserve">Describe how the project / </w:t>
      </w:r>
      <w:proofErr w:type="spellStart"/>
      <w:r w:rsidRPr="00306F4D">
        <w:rPr>
          <w:rFonts w:ascii="Arial" w:eastAsia="Arial" w:hAnsi="Arial" w:cs="Arial"/>
          <w:color w:val="AEAAAA" w:themeColor="background2" w:themeShade="BF"/>
        </w:rPr>
        <w:t>programme</w:t>
      </w:r>
      <w:proofErr w:type="spellEnd"/>
      <w:r w:rsidRPr="00306F4D">
        <w:rPr>
          <w:rFonts w:ascii="Arial" w:eastAsia="Arial" w:hAnsi="Arial" w:cs="Arial"/>
          <w:color w:val="AEAAAA" w:themeColor="background2" w:themeShade="BF"/>
        </w:rPr>
        <w:t xml:space="preserve"> would provide economic, social, and environmental benefits, with </w:t>
      </w:r>
      <w:proofErr w:type="gramStart"/>
      <w:r w:rsidRPr="00306F4D">
        <w:rPr>
          <w:rFonts w:ascii="Arial" w:eastAsia="Arial" w:hAnsi="Arial" w:cs="Arial"/>
          <w:color w:val="AEAAAA" w:themeColor="background2" w:themeShade="BF"/>
        </w:rPr>
        <w:t>particular reference</w:t>
      </w:r>
      <w:proofErr w:type="gramEnd"/>
      <w:r w:rsidRPr="00306F4D">
        <w:rPr>
          <w:rFonts w:ascii="Arial" w:eastAsia="Arial" w:hAnsi="Arial" w:cs="Arial"/>
          <w:color w:val="AEAAAA" w:themeColor="background2" w:themeShade="BF"/>
        </w:rPr>
        <w:t xml:space="preserve"> to the most vulnerable communities, and vulnerable groups within communities, including gender considerations.  Describe how the project / </w:t>
      </w:r>
      <w:proofErr w:type="spellStart"/>
      <w:r w:rsidRPr="00306F4D">
        <w:rPr>
          <w:rFonts w:ascii="Arial" w:eastAsia="Arial" w:hAnsi="Arial" w:cs="Arial"/>
          <w:color w:val="AEAAAA" w:themeColor="background2" w:themeShade="BF"/>
        </w:rPr>
        <w:t>programme</w:t>
      </w:r>
      <w:proofErr w:type="spellEnd"/>
      <w:r w:rsidRPr="00306F4D">
        <w:rPr>
          <w:rFonts w:ascii="Arial" w:eastAsia="Arial" w:hAnsi="Arial" w:cs="Arial"/>
          <w:color w:val="AEAAAA" w:themeColor="background2" w:themeShade="BF"/>
        </w:rPr>
        <w:t xml:space="preserve"> would avoid or mitigate negative impacts, in compliance with the Environmental and Social Policy and Gender Policy of the Adaptation Fund.</w:t>
      </w:r>
      <w:r w:rsidRPr="00306F4D">
        <w:rPr>
          <w:rFonts w:ascii="Arial" w:eastAsia="Arial" w:hAnsi="Arial" w:cs="Arial"/>
        </w:rPr>
        <w:t xml:space="preserve"> </w:t>
      </w:r>
    </w:p>
    <w:p w14:paraId="70CFFED0" w14:textId="65B9BFBA" w:rsidR="3C250549" w:rsidRPr="00306F4D" w:rsidRDefault="1C0A3D97" w:rsidP="4186447D">
      <w:pPr>
        <w:pStyle w:val="Heading3"/>
        <w:spacing w:line="276" w:lineRule="auto"/>
        <w:jc w:val="both"/>
        <w:rPr>
          <w:rFonts w:ascii="Arial" w:eastAsia="Arial" w:hAnsi="Arial" w:cs="Arial"/>
          <w:b/>
          <w:sz w:val="20"/>
          <w:szCs w:val="20"/>
          <w:lang w:val="en-GB"/>
        </w:rPr>
      </w:pPr>
      <w:bookmarkStart w:id="91" w:name="_Toc350000532"/>
      <w:bookmarkStart w:id="92" w:name="_Toc2026115921"/>
      <w:r w:rsidRPr="00306F4D">
        <w:rPr>
          <w:rFonts w:ascii="Arial" w:eastAsia="Arial" w:hAnsi="Arial" w:cs="Arial"/>
          <w:sz w:val="20"/>
          <w:szCs w:val="20"/>
          <w:lang w:val="en-GB"/>
        </w:rPr>
        <w:t>Economic, Social, and Environmental Benefits</w:t>
      </w:r>
      <w:bookmarkEnd w:id="91"/>
      <w:bookmarkEnd w:id="92"/>
    </w:p>
    <w:p w14:paraId="7ED958DD" w14:textId="55AE3D8A" w:rsidR="005966BE" w:rsidRPr="00306F4D" w:rsidRDefault="47D8389C" w:rsidP="4186447D">
      <w:pPr>
        <w:spacing w:before="240" w:after="240" w:line="276" w:lineRule="auto"/>
        <w:jc w:val="both"/>
        <w:rPr>
          <w:rStyle w:val="Heading4Char"/>
          <w:rFonts w:ascii="Arial" w:eastAsia="Arial" w:hAnsi="Arial" w:cs="Arial"/>
          <w:sz w:val="20"/>
          <w:szCs w:val="20"/>
          <w:lang w:val="en-GB"/>
        </w:rPr>
      </w:pPr>
      <w:r w:rsidRPr="00306F4D">
        <w:rPr>
          <w:rStyle w:val="Heading4Char"/>
          <w:rFonts w:ascii="Arial" w:eastAsia="Arial" w:hAnsi="Arial" w:cs="Arial"/>
          <w:sz w:val="20"/>
          <w:szCs w:val="20"/>
          <w:lang w:val="en-GB"/>
        </w:rPr>
        <w:t>Economic Benefits</w:t>
      </w:r>
    </w:p>
    <w:p w14:paraId="7C0F4A39" w14:textId="2092DA95" w:rsidR="3C250549" w:rsidRPr="00306F4D" w:rsidRDefault="47D8389C" w:rsidP="4186447D">
      <w:p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 xml:space="preserve">Through catalytic grant support and technical assistance, the project supports the development of </w:t>
      </w:r>
      <w:r w:rsidRPr="00306F4D">
        <w:rPr>
          <w:rFonts w:ascii="Arial" w:eastAsia="Arial" w:hAnsi="Arial" w:cs="Arial"/>
          <w:b/>
          <w:sz w:val="20"/>
          <w:szCs w:val="20"/>
          <w:lang w:val="en-GB"/>
        </w:rPr>
        <w:t>inclusive and sustainable adaptation enterprises</w:t>
      </w:r>
      <w:r w:rsidRPr="00306F4D">
        <w:rPr>
          <w:rFonts w:ascii="Arial" w:eastAsia="Arial" w:hAnsi="Arial" w:cs="Arial"/>
          <w:sz w:val="20"/>
          <w:szCs w:val="20"/>
          <w:lang w:val="en-GB"/>
        </w:rPr>
        <w:t>, with clear value propositions and demonstrable cost-effectiveness. Each small grant proposal must conduct a benefit-cost analysis that identifies both direct and indirect economic impacts—such as reduced loss and damage from climate hazards, improved agricultural productivity, and new or strengthened livelihood opportunities. The project also encourages innovations that lower climate-related costs for at-risk communities and foster long-term financial sustainability.</w:t>
      </w:r>
    </w:p>
    <w:p w14:paraId="31D89835" w14:textId="2C7D2473" w:rsidR="005966BE" w:rsidRPr="00306F4D" w:rsidRDefault="47D8389C" w:rsidP="4186447D">
      <w:pPr>
        <w:spacing w:before="240" w:after="240" w:line="276" w:lineRule="auto"/>
        <w:jc w:val="both"/>
        <w:rPr>
          <w:rStyle w:val="Heading4Char"/>
          <w:rFonts w:ascii="Arial" w:eastAsia="Arial" w:hAnsi="Arial" w:cs="Arial"/>
          <w:sz w:val="20"/>
          <w:szCs w:val="20"/>
          <w:lang w:val="en-GB"/>
        </w:rPr>
      </w:pPr>
      <w:r w:rsidRPr="00306F4D">
        <w:rPr>
          <w:rStyle w:val="Heading4Char"/>
          <w:rFonts w:ascii="Arial" w:eastAsia="Arial" w:hAnsi="Arial" w:cs="Arial"/>
          <w:sz w:val="20"/>
          <w:szCs w:val="20"/>
          <w:lang w:val="en-GB"/>
        </w:rPr>
        <w:t>Social Benefits</w:t>
      </w:r>
    </w:p>
    <w:p w14:paraId="4018329B" w14:textId="0334FA34" w:rsidR="3C250549" w:rsidRPr="00306F4D" w:rsidRDefault="47D8389C" w:rsidP="4186447D">
      <w:p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 xml:space="preserve">The project is committed to strengthening </w:t>
      </w:r>
      <w:r w:rsidRPr="00306F4D">
        <w:rPr>
          <w:rFonts w:ascii="Arial" w:eastAsia="Arial" w:hAnsi="Arial" w:cs="Arial"/>
          <w:b/>
          <w:sz w:val="20"/>
          <w:szCs w:val="20"/>
          <w:lang w:val="en-GB"/>
        </w:rPr>
        <w:t>social equity and resilience</w:t>
      </w:r>
      <w:r w:rsidRPr="00306F4D">
        <w:rPr>
          <w:rFonts w:ascii="Arial" w:eastAsia="Arial" w:hAnsi="Arial" w:cs="Arial"/>
          <w:sz w:val="20"/>
          <w:szCs w:val="20"/>
          <w:lang w:val="en-GB"/>
        </w:rPr>
        <w:t xml:space="preserve">. All supported initiatives must address differentiated vulnerabilities across social groups, with a particular focus on enhancing the adaptive capacity and leadership of </w:t>
      </w:r>
      <w:r w:rsidRPr="00306F4D">
        <w:rPr>
          <w:rFonts w:ascii="Arial" w:eastAsia="Arial" w:hAnsi="Arial" w:cs="Arial"/>
          <w:b/>
          <w:sz w:val="20"/>
          <w:szCs w:val="20"/>
          <w:lang w:val="en-GB"/>
        </w:rPr>
        <w:t>women and girls</w:t>
      </w:r>
      <w:r w:rsidRPr="00306F4D">
        <w:rPr>
          <w:rFonts w:ascii="Arial" w:eastAsia="Arial" w:hAnsi="Arial" w:cs="Arial"/>
          <w:sz w:val="20"/>
          <w:szCs w:val="20"/>
          <w:lang w:val="en-GB"/>
        </w:rPr>
        <w:t>, while also empowering youth and underrepresented groups. Proposals are required to articulate how they will promote inclusive participation, strengthen community networks, and contribute to improved access to information, resources, and services.</w:t>
      </w:r>
    </w:p>
    <w:p w14:paraId="3181EE72" w14:textId="0275BA62" w:rsidR="005966BE" w:rsidRPr="00306F4D" w:rsidRDefault="47D8389C" w:rsidP="4186447D">
      <w:pPr>
        <w:spacing w:before="240" w:after="240" w:line="276" w:lineRule="auto"/>
        <w:jc w:val="both"/>
        <w:rPr>
          <w:rStyle w:val="Heading4Char"/>
          <w:rFonts w:ascii="Arial" w:eastAsia="Arial" w:hAnsi="Arial" w:cs="Arial"/>
          <w:sz w:val="20"/>
          <w:szCs w:val="20"/>
          <w:lang w:val="en-GB"/>
        </w:rPr>
      </w:pPr>
      <w:r w:rsidRPr="00306F4D">
        <w:rPr>
          <w:rStyle w:val="Heading4Char"/>
          <w:rFonts w:ascii="Arial" w:eastAsia="Arial" w:hAnsi="Arial" w:cs="Arial"/>
          <w:sz w:val="20"/>
          <w:szCs w:val="20"/>
          <w:lang w:val="en-GB"/>
        </w:rPr>
        <w:t>Environmental Benefits</w:t>
      </w:r>
    </w:p>
    <w:p w14:paraId="6B53D49E" w14:textId="73BF9CD7" w:rsidR="3C250549" w:rsidRPr="00306F4D" w:rsidRDefault="47D8389C" w:rsidP="4186447D">
      <w:p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 xml:space="preserve">Funded innovations are expected to contribute to </w:t>
      </w:r>
      <w:r w:rsidRPr="00306F4D">
        <w:rPr>
          <w:rFonts w:ascii="Arial" w:eastAsia="Arial" w:hAnsi="Arial" w:cs="Arial"/>
          <w:b/>
          <w:sz w:val="20"/>
          <w:szCs w:val="20"/>
          <w:lang w:val="en-GB"/>
        </w:rPr>
        <w:t>environmental protection and ecosystem resilience</w:t>
      </w:r>
      <w:r w:rsidRPr="00306F4D">
        <w:rPr>
          <w:rFonts w:ascii="Arial" w:eastAsia="Arial" w:hAnsi="Arial" w:cs="Arial"/>
          <w:sz w:val="20"/>
          <w:szCs w:val="20"/>
          <w:lang w:val="en-GB"/>
        </w:rPr>
        <w:t>, including through nature-based solutions, improved water and land management, and the restoration of degraded ecosystems. The project promotes climate-smart practices that deliver co-benefits for biodiversity, soil and water quality, and long-term ecosystem services.</w:t>
      </w:r>
    </w:p>
    <w:p w14:paraId="277D8DDA" w14:textId="01322C22" w:rsidR="3C250549" w:rsidRPr="00306F4D" w:rsidRDefault="1C0A3D97" w:rsidP="4186447D">
      <w:pPr>
        <w:pStyle w:val="Heading3"/>
        <w:spacing w:line="276" w:lineRule="auto"/>
        <w:jc w:val="both"/>
        <w:rPr>
          <w:rFonts w:ascii="Arial" w:eastAsia="Arial" w:hAnsi="Arial" w:cs="Arial"/>
          <w:b/>
          <w:sz w:val="20"/>
          <w:szCs w:val="20"/>
          <w:lang w:val="en-GB"/>
        </w:rPr>
      </w:pPr>
      <w:bookmarkStart w:id="93" w:name="_Toc1445304707"/>
      <w:bookmarkStart w:id="94" w:name="_Toc1973373971"/>
      <w:r w:rsidRPr="00306F4D">
        <w:rPr>
          <w:rFonts w:ascii="Arial" w:eastAsia="Arial" w:hAnsi="Arial" w:cs="Arial"/>
          <w:sz w:val="20"/>
          <w:szCs w:val="20"/>
          <w:lang w:val="en-GB"/>
        </w:rPr>
        <w:t>Gender Considerations and Social Inclusion</w:t>
      </w:r>
      <w:bookmarkEnd w:id="93"/>
      <w:bookmarkEnd w:id="94"/>
    </w:p>
    <w:p w14:paraId="5D5392C4" w14:textId="325A0196" w:rsidR="3C250549" w:rsidRPr="00306F4D" w:rsidRDefault="3C250549" w:rsidP="4186447D">
      <w:p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 xml:space="preserve">Gender equality and women's empowerment are central to the project’s design and implementation. In alignment with the </w:t>
      </w:r>
      <w:r w:rsidRPr="00306F4D">
        <w:rPr>
          <w:rFonts w:ascii="Arial" w:eastAsia="Arial" w:hAnsi="Arial" w:cs="Arial"/>
          <w:b/>
          <w:sz w:val="20"/>
          <w:szCs w:val="20"/>
          <w:lang w:val="en-GB"/>
        </w:rPr>
        <w:t>Adaptation Fund’s Gender Policy</w:t>
      </w:r>
      <w:r w:rsidRPr="00306F4D">
        <w:rPr>
          <w:rFonts w:ascii="Arial" w:eastAsia="Arial" w:hAnsi="Arial" w:cs="Arial"/>
          <w:sz w:val="20"/>
          <w:szCs w:val="20"/>
          <w:lang w:val="en-GB"/>
        </w:rPr>
        <w:t>, all grantees will be required to:</w:t>
      </w:r>
    </w:p>
    <w:p w14:paraId="302F83C0" w14:textId="5E45CDED" w:rsidR="3C250549" w:rsidRPr="00306F4D" w:rsidRDefault="3C250549" w:rsidP="4186447D">
      <w:pPr>
        <w:pStyle w:val="ListParagraph"/>
        <w:numPr>
          <w:ilvl w:val="0"/>
          <w:numId w:val="12"/>
        </w:num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lastRenderedPageBreak/>
        <w:t xml:space="preserve">Conduct a gender analysis as part of project </w:t>
      </w:r>
      <w:proofErr w:type="gramStart"/>
      <w:r w:rsidRPr="00306F4D">
        <w:rPr>
          <w:rFonts w:ascii="Arial" w:eastAsia="Arial" w:hAnsi="Arial" w:cs="Arial"/>
          <w:sz w:val="20"/>
          <w:szCs w:val="20"/>
          <w:lang w:val="en-GB"/>
        </w:rPr>
        <w:t>planning;</w:t>
      </w:r>
      <w:proofErr w:type="gramEnd"/>
    </w:p>
    <w:p w14:paraId="6DC70F8C" w14:textId="4A424200" w:rsidR="3C250549" w:rsidRPr="00306F4D" w:rsidRDefault="3C250549" w:rsidP="4186447D">
      <w:pPr>
        <w:pStyle w:val="ListParagraph"/>
        <w:numPr>
          <w:ilvl w:val="0"/>
          <w:numId w:val="12"/>
        </w:num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 xml:space="preserve">Ensure inclusive participation of women and men in consultations and </w:t>
      </w:r>
      <w:proofErr w:type="gramStart"/>
      <w:r w:rsidRPr="00306F4D">
        <w:rPr>
          <w:rFonts w:ascii="Arial" w:eastAsia="Arial" w:hAnsi="Arial" w:cs="Arial"/>
          <w:sz w:val="20"/>
          <w:szCs w:val="20"/>
          <w:lang w:val="en-GB"/>
        </w:rPr>
        <w:t>decision-making;</w:t>
      </w:r>
      <w:proofErr w:type="gramEnd"/>
    </w:p>
    <w:p w14:paraId="4F6D9E83" w14:textId="1E84D356" w:rsidR="3C250549" w:rsidRPr="00306F4D" w:rsidRDefault="3C250549" w:rsidP="4186447D">
      <w:pPr>
        <w:pStyle w:val="ListParagraph"/>
        <w:numPr>
          <w:ilvl w:val="0"/>
          <w:numId w:val="12"/>
        </w:num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 xml:space="preserve">Embed gender-responsive objectives and indicators in their results </w:t>
      </w:r>
      <w:proofErr w:type="gramStart"/>
      <w:r w:rsidRPr="00306F4D">
        <w:rPr>
          <w:rFonts w:ascii="Arial" w:eastAsia="Arial" w:hAnsi="Arial" w:cs="Arial"/>
          <w:sz w:val="20"/>
          <w:szCs w:val="20"/>
          <w:lang w:val="en-GB"/>
        </w:rPr>
        <w:t>frameworks;</w:t>
      </w:r>
      <w:proofErr w:type="gramEnd"/>
    </w:p>
    <w:p w14:paraId="3C895793" w14:textId="724EF5C9" w:rsidR="3C250549" w:rsidRPr="00306F4D" w:rsidRDefault="3C250549" w:rsidP="4186447D">
      <w:pPr>
        <w:pStyle w:val="ListParagraph"/>
        <w:numPr>
          <w:ilvl w:val="0"/>
          <w:numId w:val="12"/>
        </w:num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Allocate sufficient resources to implement gender-focused activities.</w:t>
      </w:r>
    </w:p>
    <w:p w14:paraId="0091E6F8" w14:textId="63A5E311" w:rsidR="3C250549" w:rsidRPr="00306F4D" w:rsidRDefault="6F76B9BC" w:rsidP="4186447D">
      <w:p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 xml:space="preserve">Proposals must also show how project design and implementation will contribute to </w:t>
      </w:r>
      <w:r w:rsidRPr="00306F4D">
        <w:rPr>
          <w:rFonts w:ascii="Arial" w:eastAsia="Arial" w:hAnsi="Arial" w:cs="Arial"/>
          <w:b/>
          <w:bCs/>
          <w:sz w:val="20"/>
          <w:szCs w:val="20"/>
          <w:lang w:val="en-GB"/>
        </w:rPr>
        <w:t>addressing structural barriers</w:t>
      </w:r>
      <w:r w:rsidRPr="00306F4D">
        <w:rPr>
          <w:rFonts w:ascii="Arial" w:eastAsia="Arial" w:hAnsi="Arial" w:cs="Arial"/>
          <w:sz w:val="20"/>
          <w:szCs w:val="20"/>
          <w:lang w:val="en-GB"/>
        </w:rPr>
        <w:t xml:space="preserve">, ensuring </w:t>
      </w:r>
      <w:r w:rsidRPr="00306F4D">
        <w:rPr>
          <w:rFonts w:ascii="Arial" w:eastAsia="Arial" w:hAnsi="Arial" w:cs="Arial"/>
          <w:b/>
          <w:bCs/>
          <w:sz w:val="20"/>
          <w:szCs w:val="20"/>
          <w:lang w:val="en-GB"/>
        </w:rPr>
        <w:t>equitable access to benefits</w:t>
      </w:r>
      <w:r w:rsidRPr="00306F4D">
        <w:rPr>
          <w:rFonts w:ascii="Arial" w:eastAsia="Arial" w:hAnsi="Arial" w:cs="Arial"/>
          <w:sz w:val="20"/>
          <w:szCs w:val="20"/>
          <w:lang w:val="en-GB"/>
        </w:rPr>
        <w:t xml:space="preserve">, and </w:t>
      </w:r>
      <w:r w:rsidRPr="00306F4D">
        <w:rPr>
          <w:rFonts w:ascii="Arial" w:eastAsia="Arial" w:hAnsi="Arial" w:cs="Arial"/>
          <w:b/>
          <w:bCs/>
          <w:sz w:val="20"/>
          <w:szCs w:val="20"/>
          <w:lang w:val="en-GB"/>
        </w:rPr>
        <w:t xml:space="preserve">strengthening the agency of </w:t>
      </w:r>
      <w:r w:rsidR="63AB6F2A" w:rsidRPr="00306F4D">
        <w:rPr>
          <w:rFonts w:ascii="Arial" w:eastAsia="Arial" w:hAnsi="Arial" w:cs="Arial"/>
          <w:color w:val="000000" w:themeColor="text1"/>
          <w:sz w:val="20"/>
          <w:szCs w:val="20"/>
        </w:rPr>
        <w:t>women and girls, youth, peoples with disabilities, elders, ethnic minorities (e.g. Roma, Vlachs, Gorani, Egyptians in Montenegro)</w:t>
      </w:r>
      <w:r w:rsidR="152AC791" w:rsidRPr="00306F4D">
        <w:rPr>
          <w:rFonts w:ascii="Arial" w:eastAsia="Arial" w:hAnsi="Arial" w:cs="Arial"/>
          <w:color w:val="000000" w:themeColor="text1"/>
          <w:sz w:val="20"/>
          <w:szCs w:val="20"/>
        </w:rPr>
        <w:t xml:space="preserve"> </w:t>
      </w:r>
      <w:r w:rsidRPr="00306F4D">
        <w:rPr>
          <w:rFonts w:ascii="Arial" w:eastAsia="Arial" w:hAnsi="Arial" w:cs="Arial"/>
          <w:sz w:val="20"/>
          <w:szCs w:val="20"/>
          <w:lang w:val="en-GB"/>
        </w:rPr>
        <w:t>in local adaptation efforts.</w:t>
      </w:r>
      <w:r w:rsidR="0CF16AF8" w:rsidRPr="00306F4D">
        <w:rPr>
          <w:rFonts w:ascii="Arial" w:eastAsia="Arial" w:hAnsi="Arial" w:cs="Arial"/>
          <w:sz w:val="20"/>
          <w:szCs w:val="20"/>
          <w:lang w:val="en-GB"/>
        </w:rPr>
        <w:t xml:space="preserve"> Please refer to GAAP in the Annex 5.</w:t>
      </w:r>
    </w:p>
    <w:p w14:paraId="5F9B3F64" w14:textId="73D4F976" w:rsidR="3C250549" w:rsidRPr="00306F4D" w:rsidRDefault="1C9F058A" w:rsidP="02E2BB75">
      <w:pPr>
        <w:pStyle w:val="Heading3"/>
        <w:spacing w:line="276" w:lineRule="auto"/>
        <w:jc w:val="both"/>
        <w:rPr>
          <w:rFonts w:ascii="Arial" w:eastAsia="Arial" w:hAnsi="Arial" w:cs="Arial"/>
          <w:b/>
          <w:bCs/>
          <w:sz w:val="20"/>
          <w:szCs w:val="20"/>
          <w:lang w:val="en-GB"/>
        </w:rPr>
      </w:pPr>
      <w:bookmarkStart w:id="95" w:name="_Toc1010615930"/>
      <w:bookmarkStart w:id="96" w:name="_Toc1833532512"/>
      <w:r w:rsidRPr="00306F4D">
        <w:rPr>
          <w:rFonts w:ascii="Arial" w:eastAsia="Arial" w:hAnsi="Arial" w:cs="Arial"/>
          <w:sz w:val="20"/>
          <w:szCs w:val="20"/>
          <w:lang w:val="en-GB"/>
        </w:rPr>
        <w:t>Environmental and Social Safeguards</w:t>
      </w:r>
      <w:bookmarkEnd w:id="95"/>
      <w:bookmarkEnd w:id="96"/>
    </w:p>
    <w:p w14:paraId="656E0F92" w14:textId="41192451" w:rsidR="3C250549" w:rsidRPr="00306F4D" w:rsidRDefault="3C250549" w:rsidP="4186447D">
      <w:p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 xml:space="preserve">All project activities will be assessed and implemented in accordance with the </w:t>
      </w:r>
      <w:r w:rsidRPr="00306F4D">
        <w:rPr>
          <w:rFonts w:ascii="Arial" w:eastAsia="Arial" w:hAnsi="Arial" w:cs="Arial"/>
          <w:b/>
          <w:sz w:val="20"/>
          <w:szCs w:val="20"/>
          <w:lang w:val="en-GB"/>
        </w:rPr>
        <w:t>Environmental and Social Policy (ESP) of the Adaptation Fund</w:t>
      </w:r>
      <w:r w:rsidRPr="00306F4D">
        <w:rPr>
          <w:rFonts w:ascii="Arial" w:eastAsia="Arial" w:hAnsi="Arial" w:cs="Arial"/>
          <w:sz w:val="20"/>
          <w:szCs w:val="20"/>
          <w:lang w:val="en-GB"/>
        </w:rPr>
        <w:t xml:space="preserve"> and </w:t>
      </w:r>
      <w:r w:rsidRPr="00306F4D">
        <w:rPr>
          <w:rFonts w:ascii="Arial" w:eastAsia="Arial" w:hAnsi="Arial" w:cs="Arial"/>
          <w:b/>
          <w:sz w:val="20"/>
          <w:szCs w:val="20"/>
          <w:lang w:val="en-GB"/>
        </w:rPr>
        <w:t>UNDP’s Social and Environmental Standards</w:t>
      </w:r>
      <w:r w:rsidRPr="00306F4D">
        <w:rPr>
          <w:rFonts w:ascii="Arial" w:eastAsia="Arial" w:hAnsi="Arial" w:cs="Arial"/>
          <w:sz w:val="20"/>
          <w:szCs w:val="20"/>
          <w:lang w:val="en-GB"/>
        </w:rPr>
        <w:t xml:space="preserve">. Environmental and social risks will be proactively identified and managed through a </w:t>
      </w:r>
      <w:r w:rsidRPr="00306F4D">
        <w:rPr>
          <w:rFonts w:ascii="Arial" w:eastAsia="Arial" w:hAnsi="Arial" w:cs="Arial"/>
          <w:b/>
          <w:sz w:val="20"/>
          <w:szCs w:val="20"/>
          <w:lang w:val="en-GB"/>
        </w:rPr>
        <w:t>phased, consultative approach</w:t>
      </w:r>
      <w:r w:rsidRPr="00306F4D">
        <w:rPr>
          <w:rFonts w:ascii="Arial" w:eastAsia="Arial" w:hAnsi="Arial" w:cs="Arial"/>
          <w:sz w:val="20"/>
          <w:szCs w:val="20"/>
          <w:lang w:val="en-GB"/>
        </w:rPr>
        <w:t>:</w:t>
      </w:r>
    </w:p>
    <w:p w14:paraId="0E671DEA" w14:textId="3B5325DF" w:rsidR="3C250549" w:rsidRPr="00306F4D" w:rsidRDefault="3C250549" w:rsidP="4186447D">
      <w:pPr>
        <w:pStyle w:val="ListParagraph"/>
        <w:numPr>
          <w:ilvl w:val="0"/>
          <w:numId w:val="11"/>
        </w:numPr>
        <w:spacing w:before="240" w:after="240" w:line="276" w:lineRule="auto"/>
        <w:jc w:val="both"/>
        <w:rPr>
          <w:rFonts w:ascii="Arial" w:eastAsia="Arial" w:hAnsi="Arial" w:cs="Arial"/>
          <w:color w:val="000000" w:themeColor="text1"/>
          <w:sz w:val="20"/>
          <w:szCs w:val="20"/>
          <w:lang w:val="en-GB"/>
        </w:rPr>
      </w:pPr>
      <w:r w:rsidRPr="00306F4D">
        <w:rPr>
          <w:rFonts w:ascii="Arial" w:eastAsia="Arial" w:hAnsi="Arial" w:cs="Arial"/>
          <w:b/>
          <w:sz w:val="20"/>
          <w:szCs w:val="20"/>
          <w:lang w:val="en-GB"/>
        </w:rPr>
        <w:t>Initial National-Level Consultations</w:t>
      </w:r>
      <w:r w:rsidRPr="00306F4D">
        <w:rPr>
          <w:rFonts w:ascii="Arial" w:eastAsia="Arial" w:hAnsi="Arial" w:cs="Arial"/>
          <w:sz w:val="20"/>
          <w:szCs w:val="20"/>
          <w:lang w:val="en-GB"/>
        </w:rPr>
        <w:t>: In coordination with UNDP Country Offices, the project has initiated virtual consultations with national stakeholders—government institutions, civil society organizations, and technical experts—in each participating country. These discussions are informing the design of the project framework, principles for implementation, and early identification of environmental and social risks.</w:t>
      </w:r>
    </w:p>
    <w:p w14:paraId="55A60E29" w14:textId="7A38F35E" w:rsidR="00F23F56" w:rsidRPr="00306F4D" w:rsidRDefault="00F23F56" w:rsidP="4186447D">
      <w:pPr>
        <w:pStyle w:val="ListParagraph"/>
        <w:spacing w:before="240" w:after="240" w:line="276" w:lineRule="auto"/>
        <w:jc w:val="both"/>
        <w:rPr>
          <w:rFonts w:ascii="Arial" w:eastAsia="Arial" w:hAnsi="Arial" w:cs="Arial"/>
          <w:color w:val="000000" w:themeColor="text1"/>
          <w:sz w:val="20"/>
          <w:szCs w:val="20"/>
          <w:lang w:val="en-GB"/>
        </w:rPr>
      </w:pPr>
    </w:p>
    <w:p w14:paraId="0752F81D" w14:textId="48B5CA00" w:rsidR="00F23F56" w:rsidRPr="00306F4D" w:rsidRDefault="6F76B9BC" w:rsidP="4186447D">
      <w:pPr>
        <w:pStyle w:val="ListParagraph"/>
        <w:numPr>
          <w:ilvl w:val="0"/>
          <w:numId w:val="11"/>
        </w:numPr>
        <w:spacing w:before="240" w:after="240" w:line="276" w:lineRule="auto"/>
        <w:jc w:val="both"/>
        <w:rPr>
          <w:rFonts w:ascii="Arial" w:eastAsia="Arial" w:hAnsi="Arial" w:cs="Arial"/>
          <w:color w:val="000000" w:themeColor="text1"/>
          <w:sz w:val="20"/>
          <w:szCs w:val="20"/>
          <w:lang w:val="en-GB"/>
        </w:rPr>
      </w:pPr>
      <w:r w:rsidRPr="00306F4D">
        <w:rPr>
          <w:rFonts w:ascii="Arial" w:eastAsia="Arial" w:hAnsi="Arial" w:cs="Arial"/>
          <w:b/>
          <w:bCs/>
          <w:color w:val="000000" w:themeColor="text1"/>
          <w:sz w:val="20"/>
          <w:szCs w:val="20"/>
          <w:lang w:val="en-GB"/>
        </w:rPr>
        <w:t>Integration of National Priorities</w:t>
      </w:r>
      <w:r w:rsidRPr="00306F4D">
        <w:rPr>
          <w:rFonts w:ascii="Arial" w:eastAsia="Arial" w:hAnsi="Arial" w:cs="Arial"/>
          <w:color w:val="000000" w:themeColor="text1"/>
          <w:sz w:val="20"/>
          <w:szCs w:val="20"/>
          <w:lang w:val="en-GB"/>
        </w:rPr>
        <w:t xml:space="preserve">: </w:t>
      </w:r>
      <w:r w:rsidR="3A233498" w:rsidRPr="00306F4D">
        <w:rPr>
          <w:rFonts w:ascii="Arial" w:eastAsia="Arial" w:hAnsi="Arial" w:cs="Arial"/>
          <w:color w:val="000000" w:themeColor="text1"/>
          <w:sz w:val="20"/>
          <w:szCs w:val="20"/>
          <w:lang w:val="en-GB"/>
        </w:rPr>
        <w:t>In-house localized know-how of the project team as well as s</w:t>
      </w:r>
      <w:r w:rsidRPr="00306F4D">
        <w:rPr>
          <w:rFonts w:ascii="Arial" w:eastAsia="Arial" w:hAnsi="Arial" w:cs="Arial"/>
          <w:color w:val="000000" w:themeColor="text1"/>
          <w:sz w:val="20"/>
          <w:szCs w:val="20"/>
          <w:lang w:val="en-GB"/>
        </w:rPr>
        <w:t xml:space="preserve">takeholder input </w:t>
      </w:r>
      <w:r w:rsidR="74832C0F" w:rsidRPr="00306F4D">
        <w:rPr>
          <w:rFonts w:ascii="Arial" w:eastAsia="Arial" w:hAnsi="Arial" w:cs="Arial"/>
          <w:color w:val="000000" w:themeColor="text1"/>
          <w:sz w:val="20"/>
          <w:szCs w:val="20"/>
          <w:lang w:val="en-GB"/>
        </w:rPr>
        <w:t>will be</w:t>
      </w:r>
      <w:r w:rsidRPr="00306F4D">
        <w:rPr>
          <w:rFonts w:ascii="Arial" w:eastAsia="Arial" w:hAnsi="Arial" w:cs="Arial"/>
          <w:color w:val="000000" w:themeColor="text1"/>
          <w:sz w:val="20"/>
          <w:szCs w:val="20"/>
          <w:lang w:val="en-GB"/>
        </w:rPr>
        <w:t xml:space="preserve"> used to align the project with national climate adaptation priorities and contextual realities, before</w:t>
      </w:r>
      <w:r w:rsidR="214A013F" w:rsidRPr="00306F4D">
        <w:rPr>
          <w:rFonts w:ascii="Arial" w:eastAsia="Arial" w:hAnsi="Arial" w:cs="Arial"/>
          <w:color w:val="000000" w:themeColor="text1"/>
          <w:sz w:val="20"/>
          <w:szCs w:val="20"/>
          <w:lang w:val="en-GB"/>
        </w:rPr>
        <w:t xml:space="preserve"> and throughout the</w:t>
      </w:r>
      <w:r w:rsidRPr="00306F4D">
        <w:rPr>
          <w:rFonts w:ascii="Arial" w:eastAsia="Arial" w:hAnsi="Arial" w:cs="Arial"/>
          <w:color w:val="000000" w:themeColor="text1"/>
          <w:sz w:val="20"/>
          <w:szCs w:val="20"/>
          <w:lang w:val="en-GB"/>
        </w:rPr>
        <w:t xml:space="preserve"> specific grantee-led interventions are identified. This approach helps ensure </w:t>
      </w:r>
      <w:r w:rsidRPr="00306F4D">
        <w:rPr>
          <w:rFonts w:ascii="Arial" w:eastAsia="Arial" w:hAnsi="Arial" w:cs="Arial"/>
          <w:b/>
          <w:bCs/>
          <w:color w:val="000000" w:themeColor="text1"/>
          <w:sz w:val="20"/>
          <w:szCs w:val="20"/>
          <w:lang w:val="en-GB"/>
        </w:rPr>
        <w:t xml:space="preserve">local relevance and </w:t>
      </w:r>
      <w:r w:rsidR="67E35585" w:rsidRPr="00306F4D">
        <w:rPr>
          <w:rFonts w:ascii="Arial" w:eastAsia="Arial" w:hAnsi="Arial" w:cs="Arial"/>
          <w:b/>
          <w:bCs/>
          <w:color w:val="000000" w:themeColor="text1"/>
          <w:sz w:val="20"/>
          <w:szCs w:val="20"/>
          <w:lang w:val="en-GB"/>
        </w:rPr>
        <w:t>ownership</w:t>
      </w:r>
      <w:r w:rsidR="67E35585" w:rsidRPr="00306F4D">
        <w:rPr>
          <w:rFonts w:ascii="Arial" w:eastAsia="Arial" w:hAnsi="Arial" w:cs="Arial"/>
          <w:color w:val="000000" w:themeColor="text1"/>
          <w:sz w:val="20"/>
          <w:szCs w:val="20"/>
          <w:lang w:val="en-GB"/>
        </w:rPr>
        <w:t xml:space="preserve"> and</w:t>
      </w:r>
      <w:r w:rsidRPr="00306F4D">
        <w:rPr>
          <w:rFonts w:ascii="Arial" w:eastAsia="Arial" w:hAnsi="Arial" w:cs="Arial"/>
          <w:color w:val="000000" w:themeColor="text1"/>
          <w:sz w:val="20"/>
          <w:szCs w:val="20"/>
          <w:lang w:val="en-GB"/>
        </w:rPr>
        <w:t xml:space="preserve"> enhances safeguard responsiveness from the outset.</w:t>
      </w:r>
      <w:r w:rsidR="5486CFA4" w:rsidRPr="00306F4D">
        <w:rPr>
          <w:rFonts w:ascii="Arial" w:eastAsia="Arial" w:hAnsi="Arial" w:cs="Arial"/>
          <w:color w:val="000000" w:themeColor="text1"/>
          <w:sz w:val="20"/>
          <w:szCs w:val="20"/>
          <w:lang w:val="en-GB"/>
        </w:rPr>
        <w:t xml:space="preserve"> Any risks will be duly recorded and brought to the attention of the regional SES specialist and Steering Committee as needed.</w:t>
      </w:r>
    </w:p>
    <w:p w14:paraId="23802D34" w14:textId="77777777" w:rsidR="00F23F56" w:rsidRPr="00306F4D" w:rsidRDefault="00F23F56" w:rsidP="4186447D">
      <w:pPr>
        <w:pStyle w:val="ListParagraph"/>
        <w:spacing w:before="240" w:after="240" w:line="276" w:lineRule="auto"/>
        <w:jc w:val="both"/>
        <w:rPr>
          <w:rFonts w:ascii="Arial" w:eastAsia="Arial" w:hAnsi="Arial" w:cs="Arial"/>
          <w:color w:val="000000" w:themeColor="text1"/>
          <w:sz w:val="20"/>
          <w:szCs w:val="20"/>
          <w:lang w:val="en-GB"/>
        </w:rPr>
      </w:pPr>
    </w:p>
    <w:p w14:paraId="35B590DD" w14:textId="4A139BC7" w:rsidR="3C250549" w:rsidRPr="00306F4D" w:rsidRDefault="6F76B9BC" w:rsidP="4186447D">
      <w:pPr>
        <w:pStyle w:val="ListParagraph"/>
        <w:numPr>
          <w:ilvl w:val="0"/>
          <w:numId w:val="11"/>
        </w:numPr>
        <w:spacing w:before="240" w:after="240" w:line="276" w:lineRule="auto"/>
        <w:jc w:val="both"/>
        <w:rPr>
          <w:rFonts w:ascii="Arial" w:eastAsia="Arial" w:hAnsi="Arial" w:cs="Arial"/>
          <w:color w:val="000000" w:themeColor="text1"/>
          <w:sz w:val="20"/>
          <w:szCs w:val="20"/>
          <w:lang w:val="en-GB"/>
        </w:rPr>
      </w:pPr>
      <w:r w:rsidRPr="00306F4D">
        <w:rPr>
          <w:rFonts w:ascii="Arial" w:eastAsia="Arial" w:hAnsi="Arial" w:cs="Arial"/>
          <w:b/>
          <w:bCs/>
          <w:color w:val="000000" w:themeColor="text1"/>
          <w:sz w:val="20"/>
          <w:szCs w:val="20"/>
          <w:lang w:val="en-GB"/>
        </w:rPr>
        <w:t>Site-Specific Safeguard Measures</w:t>
      </w:r>
      <w:r w:rsidRPr="00306F4D">
        <w:rPr>
          <w:rFonts w:ascii="Arial" w:eastAsia="Arial" w:hAnsi="Arial" w:cs="Arial"/>
          <w:color w:val="000000" w:themeColor="text1"/>
          <w:sz w:val="20"/>
          <w:szCs w:val="20"/>
          <w:lang w:val="en-GB"/>
        </w:rPr>
        <w:t xml:space="preserve">: Once grantees are selected and specific sites/interventions are confirmed, </w:t>
      </w:r>
      <w:r w:rsidR="268DB7CE" w:rsidRPr="00306F4D">
        <w:rPr>
          <w:rFonts w:ascii="Arial" w:eastAsia="Arial" w:hAnsi="Arial" w:cs="Arial"/>
          <w:color w:val="000000" w:themeColor="text1"/>
          <w:sz w:val="20"/>
          <w:szCs w:val="20"/>
          <w:lang w:val="en-GB"/>
        </w:rPr>
        <w:t xml:space="preserve">a </w:t>
      </w:r>
      <w:r w:rsidRPr="00306F4D">
        <w:rPr>
          <w:rFonts w:ascii="Arial" w:eastAsia="Arial" w:hAnsi="Arial" w:cs="Arial"/>
          <w:color w:val="000000" w:themeColor="text1"/>
          <w:sz w:val="20"/>
          <w:szCs w:val="20"/>
          <w:lang w:val="en-GB"/>
        </w:rPr>
        <w:t>more detailed</w:t>
      </w:r>
      <w:r w:rsidR="28CED8E2" w:rsidRPr="00306F4D">
        <w:rPr>
          <w:rFonts w:ascii="Arial" w:eastAsia="Arial" w:hAnsi="Arial" w:cs="Arial"/>
          <w:color w:val="000000" w:themeColor="text1"/>
          <w:sz w:val="20"/>
          <w:szCs w:val="20"/>
          <w:lang w:val="en-GB"/>
        </w:rPr>
        <w:t xml:space="preserve"> review by the project team in consultation with the Gender Specialist and SES Specialist as needed will be conducted and based on the</w:t>
      </w:r>
      <w:r w:rsidR="7582E3FB" w:rsidRPr="00306F4D">
        <w:rPr>
          <w:rFonts w:ascii="Arial" w:eastAsia="Arial" w:hAnsi="Arial" w:cs="Arial"/>
          <w:color w:val="000000" w:themeColor="text1"/>
          <w:sz w:val="20"/>
          <w:szCs w:val="20"/>
          <w:lang w:val="en-GB"/>
        </w:rPr>
        <w:t xml:space="preserve"> review, targeted screenings and or</w:t>
      </w:r>
      <w:r w:rsidRPr="00306F4D">
        <w:rPr>
          <w:rFonts w:ascii="Arial" w:eastAsia="Arial" w:hAnsi="Arial" w:cs="Arial"/>
          <w:color w:val="000000" w:themeColor="text1"/>
          <w:sz w:val="20"/>
          <w:szCs w:val="20"/>
          <w:lang w:val="en-GB"/>
        </w:rPr>
        <w:t xml:space="preserve"> </w:t>
      </w:r>
      <w:r w:rsidRPr="00306F4D">
        <w:rPr>
          <w:rFonts w:ascii="Arial" w:eastAsia="Arial" w:hAnsi="Arial" w:cs="Arial"/>
          <w:b/>
          <w:bCs/>
          <w:color w:val="000000" w:themeColor="text1"/>
          <w:sz w:val="20"/>
          <w:szCs w:val="20"/>
          <w:lang w:val="en-GB"/>
        </w:rPr>
        <w:t>community-level consultations</w:t>
      </w:r>
      <w:r w:rsidRPr="00306F4D">
        <w:rPr>
          <w:rFonts w:ascii="Arial" w:eastAsia="Arial" w:hAnsi="Arial" w:cs="Arial"/>
          <w:color w:val="000000" w:themeColor="text1"/>
          <w:sz w:val="20"/>
          <w:szCs w:val="20"/>
          <w:lang w:val="en-GB"/>
        </w:rPr>
        <w:t xml:space="preserve"> will be conducted</w:t>
      </w:r>
      <w:r w:rsidR="4BE1E887" w:rsidRPr="00306F4D">
        <w:rPr>
          <w:rFonts w:ascii="Arial" w:eastAsia="Arial" w:hAnsi="Arial" w:cs="Arial"/>
          <w:color w:val="000000" w:themeColor="text1"/>
          <w:sz w:val="20"/>
          <w:szCs w:val="20"/>
          <w:lang w:val="en-GB"/>
        </w:rPr>
        <w:t>. These targeted screenings may necessitate the development:</w:t>
      </w:r>
    </w:p>
    <w:p w14:paraId="69212E03" w14:textId="77777777" w:rsidR="00A65C24" w:rsidRPr="00306F4D" w:rsidRDefault="00A65C24" w:rsidP="00FC2E4E">
      <w:pPr>
        <w:pStyle w:val="ListParagraph"/>
        <w:spacing w:before="240" w:after="240" w:line="276" w:lineRule="auto"/>
        <w:rPr>
          <w:rFonts w:ascii="Arial" w:eastAsia="Arial" w:hAnsi="Arial" w:cs="Arial"/>
          <w:color w:val="000000" w:themeColor="text1"/>
          <w:sz w:val="20"/>
          <w:szCs w:val="20"/>
          <w:lang w:val="en-GB"/>
        </w:rPr>
      </w:pPr>
    </w:p>
    <w:p w14:paraId="23124BBA" w14:textId="7308D12B" w:rsidR="3C250549" w:rsidRPr="00306F4D" w:rsidRDefault="3C250549" w:rsidP="4186447D">
      <w:pPr>
        <w:pStyle w:val="ListParagraph"/>
        <w:numPr>
          <w:ilvl w:val="1"/>
          <w:numId w:val="11"/>
        </w:numPr>
        <w:spacing w:before="240" w:after="240" w:line="276" w:lineRule="auto"/>
        <w:jc w:val="both"/>
        <w:rPr>
          <w:rFonts w:ascii="Arial" w:eastAsia="Arial" w:hAnsi="Arial" w:cs="Arial"/>
          <w:color w:val="000000" w:themeColor="text1"/>
          <w:sz w:val="20"/>
          <w:szCs w:val="20"/>
          <w:lang w:val="en-GB"/>
        </w:rPr>
      </w:pPr>
      <w:r w:rsidRPr="00306F4D">
        <w:rPr>
          <w:rFonts w:ascii="Arial" w:eastAsia="Arial" w:hAnsi="Arial" w:cs="Arial"/>
          <w:color w:val="000000" w:themeColor="text1"/>
          <w:sz w:val="20"/>
          <w:szCs w:val="20"/>
          <w:lang w:val="en-GB"/>
        </w:rPr>
        <w:t>Environmental and Social Management Plans (ESMPs)</w:t>
      </w:r>
    </w:p>
    <w:p w14:paraId="2C14A242" w14:textId="3445A4D3" w:rsidR="3C250549" w:rsidRPr="00306F4D" w:rsidRDefault="3C250549" w:rsidP="4186447D">
      <w:pPr>
        <w:pStyle w:val="ListParagraph"/>
        <w:numPr>
          <w:ilvl w:val="1"/>
          <w:numId w:val="11"/>
        </w:numPr>
        <w:spacing w:before="240" w:after="240" w:line="276" w:lineRule="auto"/>
        <w:jc w:val="both"/>
        <w:rPr>
          <w:rFonts w:ascii="Arial" w:eastAsia="Arial" w:hAnsi="Arial" w:cs="Arial"/>
          <w:color w:val="000000" w:themeColor="text1"/>
          <w:sz w:val="20"/>
          <w:szCs w:val="20"/>
          <w:lang w:val="en-GB"/>
        </w:rPr>
      </w:pPr>
      <w:r w:rsidRPr="00306F4D">
        <w:rPr>
          <w:rFonts w:ascii="Arial" w:eastAsia="Arial" w:hAnsi="Arial" w:cs="Arial"/>
          <w:color w:val="000000" w:themeColor="text1"/>
          <w:sz w:val="20"/>
          <w:szCs w:val="20"/>
          <w:lang w:val="en-GB"/>
        </w:rPr>
        <w:t>Stakeholder Engagement Plans (SEPs)</w:t>
      </w:r>
    </w:p>
    <w:p w14:paraId="54A8828E" w14:textId="0E4BC895" w:rsidR="3C250549" w:rsidRPr="00306F4D" w:rsidRDefault="3C250549" w:rsidP="4186447D">
      <w:pPr>
        <w:pStyle w:val="ListParagraph"/>
        <w:numPr>
          <w:ilvl w:val="1"/>
          <w:numId w:val="11"/>
        </w:numPr>
        <w:spacing w:before="240" w:after="240" w:line="276" w:lineRule="auto"/>
        <w:jc w:val="both"/>
        <w:rPr>
          <w:rFonts w:ascii="Arial" w:eastAsia="Arial" w:hAnsi="Arial" w:cs="Arial"/>
          <w:color w:val="000000" w:themeColor="text1"/>
          <w:sz w:val="20"/>
          <w:szCs w:val="20"/>
          <w:lang w:val="en-GB"/>
        </w:rPr>
      </w:pPr>
      <w:r w:rsidRPr="00306F4D">
        <w:rPr>
          <w:rFonts w:ascii="Arial" w:eastAsia="Arial" w:hAnsi="Arial" w:cs="Arial"/>
          <w:color w:val="000000" w:themeColor="text1"/>
          <w:sz w:val="20"/>
          <w:szCs w:val="20"/>
          <w:lang w:val="en-GB"/>
        </w:rPr>
        <w:t>Gender Action Plans (GAPs)</w:t>
      </w:r>
    </w:p>
    <w:p w14:paraId="6C9399BD" w14:textId="6510B987" w:rsidR="3C250549" w:rsidRPr="00306F4D" w:rsidRDefault="3C250549" w:rsidP="4186447D">
      <w:pPr>
        <w:pStyle w:val="ListParagraph"/>
        <w:numPr>
          <w:ilvl w:val="1"/>
          <w:numId w:val="11"/>
        </w:numPr>
        <w:spacing w:before="240" w:after="240" w:line="276" w:lineRule="auto"/>
        <w:jc w:val="both"/>
        <w:rPr>
          <w:rFonts w:ascii="Arial" w:eastAsia="Arial" w:hAnsi="Arial" w:cs="Arial"/>
          <w:color w:val="000000" w:themeColor="text1"/>
          <w:sz w:val="20"/>
          <w:szCs w:val="20"/>
          <w:lang w:val="en-GB"/>
        </w:rPr>
      </w:pPr>
      <w:r w:rsidRPr="00306F4D">
        <w:rPr>
          <w:rFonts w:ascii="Arial" w:eastAsia="Arial" w:hAnsi="Arial" w:cs="Arial"/>
          <w:color w:val="000000" w:themeColor="text1"/>
          <w:sz w:val="20"/>
          <w:szCs w:val="20"/>
          <w:lang w:val="en-GB"/>
        </w:rPr>
        <w:t>Risk mitigation frameworks, with support from a designated safeguards expert</w:t>
      </w:r>
    </w:p>
    <w:p w14:paraId="7358CA10" w14:textId="7C40D38D" w:rsidR="3C250549" w:rsidRPr="00306F4D" w:rsidRDefault="6F76B9BC" w:rsidP="4186447D">
      <w:pPr>
        <w:spacing w:before="240" w:after="240" w:line="276" w:lineRule="auto"/>
        <w:jc w:val="both"/>
        <w:rPr>
          <w:rFonts w:ascii="Arial" w:eastAsia="Arial" w:hAnsi="Arial" w:cs="Arial"/>
          <w:color w:val="000000" w:themeColor="text1"/>
          <w:sz w:val="20"/>
          <w:szCs w:val="20"/>
          <w:lang w:val="en-GB"/>
        </w:rPr>
      </w:pPr>
      <w:proofErr w:type="gramStart"/>
      <w:r w:rsidRPr="00306F4D">
        <w:rPr>
          <w:rFonts w:ascii="Arial" w:eastAsia="Arial" w:hAnsi="Arial" w:cs="Arial"/>
          <w:color w:val="000000" w:themeColor="text1"/>
          <w:sz w:val="20"/>
          <w:szCs w:val="20"/>
          <w:lang w:val="en-GB"/>
        </w:rPr>
        <w:t xml:space="preserve">This </w:t>
      </w:r>
      <w:r w:rsidRPr="00306F4D">
        <w:rPr>
          <w:rFonts w:ascii="Arial" w:eastAsia="Arial" w:hAnsi="Arial" w:cs="Arial"/>
          <w:b/>
          <w:bCs/>
          <w:color w:val="000000" w:themeColor="text1"/>
          <w:sz w:val="20"/>
          <w:szCs w:val="20"/>
          <w:lang w:val="en-GB"/>
        </w:rPr>
        <w:t>phased safeguards</w:t>
      </w:r>
      <w:proofErr w:type="gramEnd"/>
      <w:r w:rsidRPr="00306F4D">
        <w:rPr>
          <w:rFonts w:ascii="Arial" w:eastAsia="Arial" w:hAnsi="Arial" w:cs="Arial"/>
          <w:b/>
          <w:bCs/>
          <w:color w:val="000000" w:themeColor="text1"/>
          <w:sz w:val="20"/>
          <w:szCs w:val="20"/>
          <w:lang w:val="en-GB"/>
        </w:rPr>
        <w:t xml:space="preserve"> approach</w:t>
      </w:r>
      <w:r w:rsidRPr="00306F4D">
        <w:rPr>
          <w:rFonts w:ascii="Arial" w:eastAsia="Arial" w:hAnsi="Arial" w:cs="Arial"/>
          <w:color w:val="000000" w:themeColor="text1"/>
          <w:sz w:val="20"/>
          <w:szCs w:val="20"/>
          <w:lang w:val="en-GB"/>
        </w:rPr>
        <w:t xml:space="preserve"> enables responsible expectation management, ensures compliance with AF and UNDP policies, and provides transparency throughout the project lifecycle—especially in the early stages when grantee selection and project sites are still being finalized.</w:t>
      </w:r>
    </w:p>
    <w:p w14:paraId="4C77D035" w14:textId="7CA9EB46" w:rsidR="1D1C7460" w:rsidRPr="00306F4D" w:rsidRDefault="257CEC69" w:rsidP="02E2BB75">
      <w:pPr>
        <w:spacing w:before="240" w:after="240" w:line="276" w:lineRule="auto"/>
        <w:jc w:val="both"/>
        <w:rPr>
          <w:rFonts w:ascii="Arial" w:eastAsia="Arial" w:hAnsi="Arial" w:cs="Arial"/>
          <w:color w:val="000000" w:themeColor="text1"/>
          <w:sz w:val="20"/>
          <w:szCs w:val="20"/>
          <w:lang w:val="en-GB"/>
        </w:rPr>
      </w:pPr>
      <w:r w:rsidRPr="00306F4D">
        <w:rPr>
          <w:rFonts w:ascii="Arial" w:eastAsia="Arial" w:hAnsi="Arial" w:cs="Arial"/>
          <w:color w:val="000000" w:themeColor="text1"/>
          <w:sz w:val="20"/>
          <w:szCs w:val="20"/>
          <w:lang w:val="en-GB"/>
        </w:rPr>
        <w:t>More information is found in Annexes 3, Social and Environmental Screening Procedure and Annex 4, En</w:t>
      </w:r>
      <w:r w:rsidR="2C02E33B" w:rsidRPr="00306F4D">
        <w:rPr>
          <w:rFonts w:ascii="Arial" w:eastAsia="Arial" w:hAnsi="Arial" w:cs="Arial"/>
          <w:color w:val="000000" w:themeColor="text1"/>
          <w:sz w:val="20"/>
          <w:szCs w:val="20"/>
          <w:lang w:val="en-GB"/>
        </w:rPr>
        <w:t>vironmental and Social Management Plan</w:t>
      </w:r>
      <w:r w:rsidR="7C75F547" w:rsidRPr="00306F4D">
        <w:rPr>
          <w:rFonts w:ascii="Arial" w:eastAsia="Arial" w:hAnsi="Arial" w:cs="Arial"/>
          <w:color w:val="000000" w:themeColor="text1"/>
          <w:sz w:val="20"/>
          <w:szCs w:val="20"/>
          <w:lang w:val="en-GB"/>
        </w:rPr>
        <w:t>.</w:t>
      </w:r>
    </w:p>
    <w:p w14:paraId="6FE90D2D" w14:textId="59923201" w:rsidR="3C250549" w:rsidRPr="00306F4D" w:rsidRDefault="1C0A3D97" w:rsidP="4186447D">
      <w:pPr>
        <w:pStyle w:val="Heading3"/>
        <w:spacing w:line="276" w:lineRule="auto"/>
        <w:jc w:val="both"/>
        <w:rPr>
          <w:rFonts w:ascii="Arial" w:eastAsia="Arial" w:hAnsi="Arial" w:cs="Arial"/>
          <w:b/>
          <w:sz w:val="20"/>
          <w:szCs w:val="20"/>
          <w:lang w:val="en-GB"/>
        </w:rPr>
      </w:pPr>
      <w:bookmarkStart w:id="97" w:name="_Toc1352716186"/>
      <w:bookmarkStart w:id="98" w:name="_Toc1468446176"/>
      <w:r w:rsidRPr="00306F4D">
        <w:rPr>
          <w:rFonts w:ascii="Arial" w:eastAsia="Arial" w:hAnsi="Arial" w:cs="Arial"/>
          <w:sz w:val="20"/>
          <w:szCs w:val="20"/>
          <w:lang w:val="en-GB"/>
        </w:rPr>
        <w:t>Integrated Risk and Benefit Management</w:t>
      </w:r>
      <w:bookmarkEnd w:id="97"/>
      <w:bookmarkEnd w:id="98"/>
    </w:p>
    <w:p w14:paraId="49D107F0" w14:textId="4D6AC642" w:rsidR="3C250549" w:rsidRPr="00306F4D" w:rsidRDefault="3C250549" w:rsidP="4186447D">
      <w:p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Through the screening and review process, all grantee proposals will be evaluated for:</w:t>
      </w:r>
    </w:p>
    <w:p w14:paraId="4AB75150" w14:textId="36C94F1A" w:rsidR="3C250549" w:rsidRPr="00306F4D" w:rsidRDefault="4AD59FD6" w:rsidP="4186447D">
      <w:pPr>
        <w:pStyle w:val="ListParagraph"/>
        <w:numPr>
          <w:ilvl w:val="0"/>
          <w:numId w:val="10"/>
        </w:numPr>
        <w:spacing w:before="240" w:after="240" w:line="276" w:lineRule="auto"/>
        <w:jc w:val="both"/>
        <w:rPr>
          <w:rFonts w:ascii="Arial" w:eastAsia="Arial" w:hAnsi="Arial" w:cs="Arial"/>
          <w:color w:val="000000" w:themeColor="text1"/>
          <w:sz w:val="20"/>
          <w:szCs w:val="20"/>
          <w:lang w:val="en-GB"/>
        </w:rPr>
      </w:pPr>
      <w:r w:rsidRPr="00306F4D">
        <w:rPr>
          <w:rFonts w:ascii="Arial" w:eastAsia="Arial" w:hAnsi="Arial" w:cs="Arial"/>
          <w:b/>
          <w:bCs/>
          <w:sz w:val="20"/>
          <w:szCs w:val="20"/>
          <w:lang w:val="en-GB"/>
        </w:rPr>
        <w:lastRenderedPageBreak/>
        <w:t xml:space="preserve">General due diligence process; </w:t>
      </w:r>
      <w:r w:rsidRPr="00306F4D">
        <w:rPr>
          <w:rFonts w:ascii="Arial" w:eastAsia="Arial" w:hAnsi="Arial" w:cs="Arial"/>
          <w:color w:val="000000" w:themeColor="text1"/>
          <w:sz w:val="20"/>
          <w:szCs w:val="20"/>
          <w:lang w:val="en-GB"/>
        </w:rPr>
        <w:t>including checking legal registration documents, social media accounts, and</w:t>
      </w:r>
      <w:r w:rsidR="048C6C0A" w:rsidRPr="00306F4D">
        <w:rPr>
          <w:rFonts w:ascii="Arial" w:eastAsia="Arial" w:hAnsi="Arial" w:cs="Arial"/>
          <w:color w:val="000000" w:themeColor="text1"/>
          <w:sz w:val="20"/>
          <w:szCs w:val="20"/>
          <w:lang w:val="en-GB"/>
        </w:rPr>
        <w:t xml:space="preserve"> other relevant documents to ensure compliance with the minimum application pre-</w:t>
      </w:r>
      <w:proofErr w:type="gramStart"/>
      <w:r w:rsidR="048C6C0A" w:rsidRPr="00306F4D">
        <w:rPr>
          <w:rFonts w:ascii="Arial" w:eastAsia="Arial" w:hAnsi="Arial" w:cs="Arial"/>
          <w:color w:val="000000" w:themeColor="text1"/>
          <w:sz w:val="20"/>
          <w:szCs w:val="20"/>
          <w:lang w:val="en-GB"/>
        </w:rPr>
        <w:t>requisites</w:t>
      </w:r>
      <w:r w:rsidR="367B3C34" w:rsidRPr="00306F4D">
        <w:rPr>
          <w:rFonts w:ascii="Arial" w:eastAsia="Arial" w:hAnsi="Arial" w:cs="Arial"/>
          <w:color w:val="000000" w:themeColor="text1"/>
          <w:sz w:val="20"/>
          <w:szCs w:val="20"/>
          <w:lang w:val="en-GB"/>
        </w:rPr>
        <w:t xml:space="preserve">, </w:t>
      </w:r>
      <w:r w:rsidR="4A5B9031" w:rsidRPr="00306F4D">
        <w:rPr>
          <w:rFonts w:ascii="Arial" w:eastAsia="Arial" w:hAnsi="Arial" w:cs="Arial"/>
          <w:color w:val="000000" w:themeColor="text1"/>
          <w:sz w:val="20"/>
          <w:szCs w:val="20"/>
          <w:lang w:val="en-GB"/>
        </w:rPr>
        <w:t xml:space="preserve"> including</w:t>
      </w:r>
      <w:proofErr w:type="gramEnd"/>
      <w:r w:rsidR="4A5B9031" w:rsidRPr="00306F4D">
        <w:rPr>
          <w:rFonts w:ascii="Arial" w:eastAsia="Arial" w:hAnsi="Arial" w:cs="Arial"/>
          <w:color w:val="000000" w:themeColor="text1"/>
          <w:sz w:val="20"/>
          <w:szCs w:val="20"/>
          <w:lang w:val="en-GB"/>
        </w:rPr>
        <w:t xml:space="preserve"> the alignment with Technology Needs </w:t>
      </w:r>
      <w:r w:rsidR="099F3C55" w:rsidRPr="00306F4D">
        <w:rPr>
          <w:rFonts w:ascii="Arial" w:eastAsia="Arial" w:hAnsi="Arial" w:cs="Arial"/>
          <w:color w:val="000000" w:themeColor="text1"/>
          <w:sz w:val="20"/>
          <w:szCs w:val="20"/>
          <w:lang w:val="en-GB"/>
        </w:rPr>
        <w:t>Assessments</w:t>
      </w:r>
      <w:r w:rsidR="4A5B9031" w:rsidRPr="00306F4D">
        <w:rPr>
          <w:rFonts w:ascii="Arial" w:eastAsia="Arial" w:hAnsi="Arial" w:cs="Arial"/>
          <w:color w:val="000000" w:themeColor="text1"/>
          <w:sz w:val="20"/>
          <w:szCs w:val="20"/>
          <w:lang w:val="en-GB"/>
        </w:rPr>
        <w:t xml:space="preserve"> (if appli</w:t>
      </w:r>
      <w:r w:rsidR="00872242" w:rsidRPr="00306F4D">
        <w:rPr>
          <w:rFonts w:ascii="Arial" w:eastAsia="Arial" w:hAnsi="Arial" w:cs="Arial"/>
          <w:color w:val="000000" w:themeColor="text1"/>
          <w:sz w:val="20"/>
          <w:szCs w:val="20"/>
          <w:lang w:val="en-GB"/>
        </w:rPr>
        <w:t>c</w:t>
      </w:r>
      <w:r w:rsidR="4A5B9031" w:rsidRPr="00306F4D">
        <w:rPr>
          <w:rFonts w:ascii="Arial" w:eastAsia="Arial" w:hAnsi="Arial" w:cs="Arial"/>
          <w:color w:val="000000" w:themeColor="text1"/>
          <w:sz w:val="20"/>
          <w:szCs w:val="20"/>
          <w:lang w:val="en-GB"/>
        </w:rPr>
        <w:t>able)</w:t>
      </w:r>
    </w:p>
    <w:p w14:paraId="2BEE53CD" w14:textId="53964929" w:rsidR="3C250549" w:rsidRPr="00306F4D" w:rsidRDefault="3C250549" w:rsidP="4186447D">
      <w:pPr>
        <w:pStyle w:val="ListParagraph"/>
        <w:numPr>
          <w:ilvl w:val="0"/>
          <w:numId w:val="10"/>
        </w:numPr>
        <w:spacing w:before="240" w:after="240" w:line="276" w:lineRule="auto"/>
        <w:jc w:val="both"/>
        <w:rPr>
          <w:rFonts w:ascii="Arial" w:eastAsia="Arial" w:hAnsi="Arial" w:cs="Arial"/>
          <w:sz w:val="20"/>
          <w:szCs w:val="20"/>
          <w:lang w:val="en-GB"/>
        </w:rPr>
      </w:pPr>
      <w:r w:rsidRPr="00306F4D">
        <w:rPr>
          <w:rFonts w:ascii="Arial" w:eastAsia="Arial" w:hAnsi="Arial" w:cs="Arial"/>
          <w:b/>
          <w:sz w:val="20"/>
          <w:szCs w:val="20"/>
          <w:lang w:val="en-GB"/>
        </w:rPr>
        <w:t>Economic and financial viability</w:t>
      </w:r>
      <w:r w:rsidRPr="00306F4D">
        <w:rPr>
          <w:rFonts w:ascii="Arial" w:eastAsia="Arial" w:hAnsi="Arial" w:cs="Arial"/>
          <w:sz w:val="20"/>
          <w:szCs w:val="20"/>
          <w:lang w:val="en-GB"/>
        </w:rPr>
        <w:t xml:space="preserve">, including direct and indirect benefit </w:t>
      </w:r>
      <w:proofErr w:type="gramStart"/>
      <w:r w:rsidRPr="00306F4D">
        <w:rPr>
          <w:rFonts w:ascii="Arial" w:eastAsia="Arial" w:hAnsi="Arial" w:cs="Arial"/>
          <w:sz w:val="20"/>
          <w:szCs w:val="20"/>
          <w:lang w:val="en-GB"/>
        </w:rPr>
        <w:t>potential;</w:t>
      </w:r>
      <w:proofErr w:type="gramEnd"/>
    </w:p>
    <w:p w14:paraId="2FAB827A" w14:textId="533F2179" w:rsidR="3C250549" w:rsidRPr="00306F4D" w:rsidRDefault="3C250549" w:rsidP="4186447D">
      <w:pPr>
        <w:pStyle w:val="ListParagraph"/>
        <w:numPr>
          <w:ilvl w:val="0"/>
          <w:numId w:val="10"/>
        </w:numPr>
        <w:spacing w:before="240" w:after="240" w:line="276" w:lineRule="auto"/>
        <w:jc w:val="both"/>
        <w:rPr>
          <w:rFonts w:ascii="Arial" w:eastAsia="Arial" w:hAnsi="Arial" w:cs="Arial"/>
          <w:sz w:val="20"/>
          <w:szCs w:val="20"/>
          <w:lang w:val="en-GB"/>
        </w:rPr>
      </w:pPr>
      <w:r w:rsidRPr="00306F4D">
        <w:rPr>
          <w:rFonts w:ascii="Arial" w:eastAsia="Arial" w:hAnsi="Arial" w:cs="Arial"/>
          <w:b/>
          <w:sz w:val="20"/>
          <w:szCs w:val="20"/>
          <w:lang w:val="en-GB"/>
        </w:rPr>
        <w:t>Social inclusiveness and gender-responsiveness</w:t>
      </w:r>
      <w:r w:rsidRPr="00306F4D">
        <w:rPr>
          <w:rFonts w:ascii="Arial" w:eastAsia="Arial" w:hAnsi="Arial" w:cs="Arial"/>
          <w:sz w:val="20"/>
          <w:szCs w:val="20"/>
          <w:lang w:val="en-GB"/>
        </w:rPr>
        <w:t xml:space="preserve">, with clear targets for vulnerable </w:t>
      </w:r>
      <w:proofErr w:type="gramStart"/>
      <w:r w:rsidRPr="00306F4D">
        <w:rPr>
          <w:rFonts w:ascii="Arial" w:eastAsia="Arial" w:hAnsi="Arial" w:cs="Arial"/>
          <w:sz w:val="20"/>
          <w:szCs w:val="20"/>
          <w:lang w:val="en-GB"/>
        </w:rPr>
        <w:t>groups;</w:t>
      </w:r>
      <w:proofErr w:type="gramEnd"/>
    </w:p>
    <w:p w14:paraId="06000EF9" w14:textId="28E9A74E" w:rsidR="3C250549" w:rsidRPr="00306F4D" w:rsidRDefault="3C250549" w:rsidP="4186447D">
      <w:pPr>
        <w:pStyle w:val="ListParagraph"/>
        <w:numPr>
          <w:ilvl w:val="0"/>
          <w:numId w:val="10"/>
        </w:numPr>
        <w:spacing w:before="240" w:after="240" w:line="276" w:lineRule="auto"/>
        <w:jc w:val="both"/>
        <w:rPr>
          <w:rFonts w:ascii="Arial" w:eastAsia="Arial" w:hAnsi="Arial" w:cs="Arial"/>
          <w:sz w:val="20"/>
          <w:szCs w:val="20"/>
          <w:lang w:val="en-GB"/>
        </w:rPr>
      </w:pPr>
      <w:r w:rsidRPr="00306F4D">
        <w:rPr>
          <w:rFonts w:ascii="Arial" w:eastAsia="Arial" w:hAnsi="Arial" w:cs="Arial"/>
          <w:b/>
          <w:sz w:val="20"/>
          <w:szCs w:val="20"/>
          <w:lang w:val="en-GB"/>
        </w:rPr>
        <w:t>Environmental sustainability</w:t>
      </w:r>
      <w:r w:rsidRPr="00306F4D">
        <w:rPr>
          <w:rFonts w:ascii="Arial" w:eastAsia="Arial" w:hAnsi="Arial" w:cs="Arial"/>
          <w:sz w:val="20"/>
          <w:szCs w:val="20"/>
          <w:lang w:val="en-GB"/>
        </w:rPr>
        <w:t>, with impact mitigation plans where necessary.</w:t>
      </w:r>
    </w:p>
    <w:p w14:paraId="1F362A11" w14:textId="14E9AAB7" w:rsidR="4FA7C860" w:rsidRPr="00306F4D" w:rsidRDefault="3C250549" w:rsidP="00BC3363">
      <w:p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 xml:space="preserve">A portion of the project’s technical assistance facility is dedicated to helping grantees </w:t>
      </w:r>
      <w:r w:rsidRPr="00306F4D">
        <w:rPr>
          <w:rFonts w:ascii="Arial" w:eastAsia="Arial" w:hAnsi="Arial" w:cs="Arial"/>
          <w:b/>
          <w:sz w:val="20"/>
          <w:szCs w:val="20"/>
          <w:lang w:val="en-GB"/>
        </w:rPr>
        <w:t>implement safeguards, exit strategies, and sustainability measures</w:t>
      </w:r>
      <w:r w:rsidRPr="00306F4D">
        <w:rPr>
          <w:rFonts w:ascii="Arial" w:eastAsia="Arial" w:hAnsi="Arial" w:cs="Arial"/>
          <w:sz w:val="20"/>
          <w:szCs w:val="20"/>
          <w:lang w:val="en-GB"/>
        </w:rPr>
        <w:t>, ensuring that adaptation innovations deliver long-term, transformative impact without causing harm.</w:t>
      </w:r>
    </w:p>
    <w:p w14:paraId="6EC511A0" w14:textId="77777777" w:rsidR="0042420E" w:rsidRPr="00306F4D" w:rsidRDefault="0042420E" w:rsidP="0042420E">
      <w:pPr>
        <w:pStyle w:val="Footer"/>
        <w:numPr>
          <w:ilvl w:val="0"/>
          <w:numId w:val="23"/>
        </w:numPr>
        <w:tabs>
          <w:tab w:val="clear" w:pos="720"/>
          <w:tab w:val="clear" w:pos="4680"/>
          <w:tab w:val="clear" w:pos="9360"/>
          <w:tab w:val="num" w:pos="360"/>
        </w:tabs>
        <w:spacing w:line="276" w:lineRule="auto"/>
        <w:ind w:left="360"/>
        <w:jc w:val="both"/>
        <w:rPr>
          <w:rFonts w:ascii="Arial" w:eastAsia="Arial" w:hAnsi="Arial" w:cs="Arial"/>
          <w:color w:val="AEAAAA" w:themeColor="background2" w:themeShade="BF"/>
          <w:lang w:val="en-GB"/>
        </w:rPr>
      </w:pPr>
      <w:r w:rsidRPr="00306F4D">
        <w:rPr>
          <w:rFonts w:ascii="Arial" w:eastAsia="Arial" w:hAnsi="Arial" w:cs="Arial"/>
          <w:color w:val="AEAAAA" w:themeColor="background2" w:themeShade="BF"/>
          <w:lang w:val="en-GB"/>
        </w:rPr>
        <w:t>Describe or provide an analysis of the cost-effectiveness of the proposed project / programme and explain how the regional approach would support cost-effectiveness.</w:t>
      </w:r>
    </w:p>
    <w:p w14:paraId="16335F69" w14:textId="564C072C" w:rsidR="00F04FEE" w:rsidRPr="00306F4D" w:rsidRDefault="5FDA164D" w:rsidP="4186447D">
      <w:pPr>
        <w:pStyle w:val="Heading2"/>
        <w:spacing w:line="276" w:lineRule="auto"/>
        <w:jc w:val="both"/>
        <w:rPr>
          <w:rFonts w:ascii="Arial" w:eastAsia="Arial" w:hAnsi="Arial" w:cs="Arial"/>
          <w:b/>
          <w:sz w:val="20"/>
          <w:szCs w:val="20"/>
          <w:lang w:val="en-GB"/>
        </w:rPr>
      </w:pPr>
      <w:bookmarkStart w:id="99" w:name="_Toc210053886"/>
      <w:bookmarkStart w:id="100" w:name="_Toc1520784689"/>
      <w:bookmarkStart w:id="101" w:name="_Toc202165711"/>
      <w:bookmarkStart w:id="102" w:name="_Toc202893742"/>
      <w:r w:rsidRPr="00306F4D">
        <w:rPr>
          <w:rFonts w:ascii="Arial" w:eastAsia="Arial" w:hAnsi="Arial" w:cs="Arial"/>
          <w:sz w:val="20"/>
          <w:szCs w:val="20"/>
          <w:lang w:val="en-GB"/>
        </w:rPr>
        <w:t>Cost-Effectiveness of the Proposed Project and Added Value of the Regional Approach</w:t>
      </w:r>
      <w:bookmarkEnd w:id="99"/>
      <w:bookmarkEnd w:id="100"/>
      <w:bookmarkEnd w:id="101"/>
      <w:bookmarkEnd w:id="102"/>
    </w:p>
    <w:p w14:paraId="5EA83FD2" w14:textId="2EE6B27E" w:rsidR="00F04FEE" w:rsidRPr="00306F4D" w:rsidRDefault="270C6BE3" w:rsidP="4186447D">
      <w:p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 xml:space="preserve">The Regional Project is designed to deliver impact through a </w:t>
      </w:r>
      <w:r w:rsidRPr="00306F4D">
        <w:rPr>
          <w:rFonts w:ascii="Arial" w:eastAsia="Arial" w:hAnsi="Arial" w:cs="Arial"/>
          <w:b/>
          <w:sz w:val="20"/>
          <w:szCs w:val="20"/>
          <w:lang w:val="en-GB"/>
        </w:rPr>
        <w:t>cost-effective, performance-based, and partnership-oriented model</w:t>
      </w:r>
      <w:r w:rsidRPr="00306F4D">
        <w:rPr>
          <w:rFonts w:ascii="Arial" w:eastAsia="Arial" w:hAnsi="Arial" w:cs="Arial"/>
          <w:sz w:val="20"/>
          <w:szCs w:val="20"/>
          <w:lang w:val="en-GB"/>
        </w:rPr>
        <w:t>. The project maximizes the use of existing institutional infrastructure, leverages strategic partnerships, and applies a regional lens to promote efficient delivery and optimize results.</w:t>
      </w:r>
    </w:p>
    <w:p w14:paraId="79B1B29B" w14:textId="3C3B92E5" w:rsidR="00F04FEE" w:rsidRPr="00306F4D" w:rsidRDefault="5C8102FB" w:rsidP="4186447D">
      <w:pPr>
        <w:pStyle w:val="Heading3"/>
        <w:spacing w:line="276" w:lineRule="auto"/>
        <w:jc w:val="both"/>
        <w:rPr>
          <w:rFonts w:ascii="Arial" w:eastAsia="Arial" w:hAnsi="Arial" w:cs="Arial"/>
          <w:color w:val="000000" w:themeColor="text1"/>
          <w:sz w:val="20"/>
          <w:szCs w:val="20"/>
          <w:lang w:val="en-GB"/>
        </w:rPr>
      </w:pPr>
      <w:bookmarkStart w:id="103" w:name="_Toc1018915598"/>
      <w:bookmarkStart w:id="104" w:name="_Toc565076709"/>
      <w:r w:rsidRPr="00306F4D">
        <w:rPr>
          <w:rFonts w:ascii="Arial" w:eastAsia="Arial" w:hAnsi="Arial" w:cs="Arial"/>
          <w:sz w:val="20"/>
          <w:szCs w:val="20"/>
          <w:lang w:val="en-GB"/>
        </w:rPr>
        <w:t>Cost-Effectiveness of the Innovation Model</w:t>
      </w:r>
      <w:bookmarkEnd w:id="103"/>
      <w:bookmarkEnd w:id="104"/>
    </w:p>
    <w:p w14:paraId="7E97897B" w14:textId="02478FBE" w:rsidR="00F04FEE" w:rsidRPr="00306F4D" w:rsidRDefault="118A047E" w:rsidP="4186447D">
      <w:pPr>
        <w:spacing w:before="240" w:after="240" w:line="276" w:lineRule="auto"/>
        <w:jc w:val="both"/>
        <w:rPr>
          <w:rFonts w:ascii="Arial" w:eastAsia="Arial" w:hAnsi="Arial" w:cs="Arial"/>
          <w:color w:val="000000" w:themeColor="text1"/>
          <w:sz w:val="20"/>
          <w:szCs w:val="20"/>
          <w:lang w:val="en-GB"/>
        </w:rPr>
      </w:pPr>
      <w:r w:rsidRPr="00306F4D">
        <w:rPr>
          <w:rFonts w:ascii="Arial" w:eastAsia="Arial" w:hAnsi="Arial" w:cs="Arial"/>
          <w:sz w:val="20"/>
          <w:szCs w:val="20"/>
          <w:lang w:val="en-GB"/>
        </w:rPr>
        <w:t xml:space="preserve">The project uses an </w:t>
      </w:r>
      <w:r w:rsidRPr="00306F4D">
        <w:rPr>
          <w:rFonts w:ascii="Arial" w:eastAsia="Arial" w:hAnsi="Arial" w:cs="Arial"/>
          <w:b/>
          <w:sz w:val="20"/>
          <w:szCs w:val="20"/>
          <w:lang w:val="en-GB"/>
        </w:rPr>
        <w:t>approach</w:t>
      </w:r>
      <w:r w:rsidRPr="00306F4D">
        <w:rPr>
          <w:rFonts w:ascii="Arial" w:eastAsia="Arial" w:hAnsi="Arial" w:cs="Arial"/>
          <w:sz w:val="20"/>
          <w:szCs w:val="20"/>
          <w:lang w:val="en-GB"/>
        </w:rPr>
        <w:t xml:space="preserve"> to identify, test, and scale the most promising </w:t>
      </w:r>
      <w:proofErr w:type="gramStart"/>
      <w:r w:rsidRPr="00306F4D">
        <w:rPr>
          <w:rFonts w:ascii="Arial" w:eastAsia="Arial" w:hAnsi="Arial" w:cs="Arial"/>
          <w:sz w:val="20"/>
          <w:szCs w:val="20"/>
          <w:lang w:val="en-GB"/>
        </w:rPr>
        <w:t>locally-led</w:t>
      </w:r>
      <w:proofErr w:type="gramEnd"/>
      <w:r w:rsidRPr="00306F4D">
        <w:rPr>
          <w:rFonts w:ascii="Arial" w:eastAsia="Arial" w:hAnsi="Arial" w:cs="Arial"/>
          <w:sz w:val="20"/>
          <w:szCs w:val="20"/>
          <w:lang w:val="en-GB"/>
        </w:rPr>
        <w:t xml:space="preserve"> adaptation innovations. Rather than predetermining intervention sites or thematic areas, the open call </w:t>
      </w:r>
      <w:r w:rsidR="4681C5EA" w:rsidRPr="00306F4D">
        <w:rPr>
          <w:rFonts w:ascii="Arial" w:eastAsia="Arial" w:hAnsi="Arial" w:cs="Arial"/>
          <w:sz w:val="20"/>
          <w:szCs w:val="20"/>
          <w:lang w:val="en-GB"/>
        </w:rPr>
        <w:t>of interest</w:t>
      </w:r>
      <w:r w:rsidR="69C9A92F" w:rsidRPr="00306F4D">
        <w:rPr>
          <w:rFonts w:ascii="Arial" w:eastAsia="Arial" w:hAnsi="Arial" w:cs="Arial"/>
          <w:sz w:val="20"/>
          <w:szCs w:val="20"/>
          <w:lang w:val="en-GB"/>
        </w:rPr>
        <w:t xml:space="preserve"> </w:t>
      </w:r>
      <w:r w:rsidRPr="00306F4D">
        <w:rPr>
          <w:rFonts w:ascii="Arial" w:eastAsia="Arial" w:hAnsi="Arial" w:cs="Arial"/>
          <w:sz w:val="20"/>
          <w:szCs w:val="20"/>
          <w:lang w:val="en-GB"/>
        </w:rPr>
        <w:t xml:space="preserve">mechanism enables a </w:t>
      </w:r>
      <w:r w:rsidRPr="00306F4D">
        <w:rPr>
          <w:rFonts w:ascii="Arial" w:eastAsia="Arial" w:hAnsi="Arial" w:cs="Arial"/>
          <w:b/>
          <w:sz w:val="20"/>
          <w:szCs w:val="20"/>
          <w:lang w:val="en-GB"/>
        </w:rPr>
        <w:t>bottom-up selection process</w:t>
      </w:r>
      <w:r w:rsidRPr="00306F4D">
        <w:rPr>
          <w:rFonts w:ascii="Arial" w:eastAsia="Arial" w:hAnsi="Arial" w:cs="Arial"/>
          <w:sz w:val="20"/>
          <w:szCs w:val="20"/>
          <w:lang w:val="en-GB"/>
        </w:rPr>
        <w:t>, allowing the best ideas to emerge based on merit and contextual relevance. This method avoids inefficiencies often associated with top-down programme design and ensures that resources are allocated to interventions with the highest potential for impact.</w:t>
      </w:r>
    </w:p>
    <w:p w14:paraId="0C72A664" w14:textId="65B4A436" w:rsidR="00F04FEE" w:rsidRPr="00306F4D" w:rsidRDefault="118A047E" w:rsidP="4186447D">
      <w:pPr>
        <w:spacing w:before="240" w:after="240" w:line="276" w:lineRule="auto"/>
        <w:jc w:val="both"/>
        <w:rPr>
          <w:rFonts w:ascii="Arial" w:eastAsia="Arial" w:hAnsi="Arial" w:cs="Arial"/>
          <w:color w:val="000000" w:themeColor="text1"/>
          <w:sz w:val="20"/>
          <w:szCs w:val="20"/>
          <w:lang w:val="en-GB"/>
        </w:rPr>
      </w:pPr>
      <w:r w:rsidRPr="00306F4D">
        <w:rPr>
          <w:rFonts w:ascii="Arial" w:eastAsia="Arial" w:hAnsi="Arial" w:cs="Arial"/>
          <w:sz w:val="20"/>
          <w:szCs w:val="20"/>
          <w:lang w:val="en-GB"/>
        </w:rPr>
        <w:t xml:space="preserve">Proposals will be selected based on clearly defined, </w:t>
      </w:r>
      <w:r w:rsidRPr="00306F4D">
        <w:rPr>
          <w:rFonts w:ascii="Arial" w:eastAsia="Arial" w:hAnsi="Arial" w:cs="Arial"/>
          <w:b/>
          <w:sz w:val="20"/>
          <w:szCs w:val="20"/>
          <w:lang w:val="en-GB"/>
        </w:rPr>
        <w:t>multi-criteria screening</w:t>
      </w:r>
      <w:r w:rsidRPr="00306F4D">
        <w:rPr>
          <w:rFonts w:ascii="Arial" w:eastAsia="Arial" w:hAnsi="Arial" w:cs="Arial"/>
          <w:sz w:val="20"/>
          <w:szCs w:val="20"/>
          <w:lang w:val="en-GB"/>
        </w:rPr>
        <w:t>, including:</w:t>
      </w:r>
    </w:p>
    <w:p w14:paraId="07068AA1" w14:textId="3E1718A0" w:rsidR="00F04FEE" w:rsidRPr="00306F4D" w:rsidRDefault="270C6BE3" w:rsidP="4186447D">
      <w:pPr>
        <w:pStyle w:val="ListParagraph"/>
        <w:numPr>
          <w:ilvl w:val="0"/>
          <w:numId w:val="9"/>
        </w:numPr>
        <w:spacing w:before="240" w:after="240" w:line="276" w:lineRule="auto"/>
        <w:jc w:val="both"/>
        <w:rPr>
          <w:rFonts w:ascii="Arial" w:eastAsia="Arial" w:hAnsi="Arial" w:cs="Arial"/>
          <w:color w:val="000000" w:themeColor="text1"/>
          <w:sz w:val="20"/>
          <w:szCs w:val="20"/>
          <w:lang w:val="en-GB"/>
        </w:rPr>
      </w:pPr>
      <w:r w:rsidRPr="00306F4D">
        <w:rPr>
          <w:rFonts w:ascii="Arial" w:eastAsia="Arial" w:hAnsi="Arial" w:cs="Arial"/>
          <w:sz w:val="20"/>
          <w:szCs w:val="20"/>
          <w:lang w:val="en-GB"/>
        </w:rPr>
        <w:t xml:space="preserve">Adaptation relevance and innovation </w:t>
      </w:r>
      <w:proofErr w:type="gramStart"/>
      <w:r w:rsidRPr="00306F4D">
        <w:rPr>
          <w:rFonts w:ascii="Arial" w:eastAsia="Arial" w:hAnsi="Arial" w:cs="Arial"/>
          <w:sz w:val="20"/>
          <w:szCs w:val="20"/>
          <w:lang w:val="en-GB"/>
        </w:rPr>
        <w:t>potential;</w:t>
      </w:r>
      <w:proofErr w:type="gramEnd"/>
    </w:p>
    <w:p w14:paraId="27E85391" w14:textId="6C1E45C7" w:rsidR="00F04FEE" w:rsidRPr="00306F4D" w:rsidRDefault="270C6BE3" w:rsidP="4186447D">
      <w:pPr>
        <w:pStyle w:val="ListParagraph"/>
        <w:numPr>
          <w:ilvl w:val="0"/>
          <w:numId w:val="9"/>
        </w:num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 xml:space="preserve">Financial, technical, and operational </w:t>
      </w:r>
      <w:proofErr w:type="gramStart"/>
      <w:r w:rsidRPr="00306F4D">
        <w:rPr>
          <w:rFonts w:ascii="Arial" w:eastAsia="Arial" w:hAnsi="Arial" w:cs="Arial"/>
          <w:sz w:val="20"/>
          <w:szCs w:val="20"/>
          <w:lang w:val="en-GB"/>
        </w:rPr>
        <w:t>sustainability;</w:t>
      </w:r>
      <w:proofErr w:type="gramEnd"/>
    </w:p>
    <w:p w14:paraId="1F3F782C" w14:textId="62E5BBEC" w:rsidR="00F04FEE" w:rsidRPr="00306F4D" w:rsidRDefault="270C6BE3" w:rsidP="4186447D">
      <w:pPr>
        <w:pStyle w:val="ListParagraph"/>
        <w:numPr>
          <w:ilvl w:val="0"/>
          <w:numId w:val="9"/>
        </w:num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Economic, social, and environmental co-</w:t>
      </w:r>
      <w:proofErr w:type="gramStart"/>
      <w:r w:rsidRPr="00306F4D">
        <w:rPr>
          <w:rFonts w:ascii="Arial" w:eastAsia="Arial" w:hAnsi="Arial" w:cs="Arial"/>
          <w:sz w:val="20"/>
          <w:szCs w:val="20"/>
          <w:lang w:val="en-GB"/>
        </w:rPr>
        <w:t>benefits;</w:t>
      </w:r>
      <w:proofErr w:type="gramEnd"/>
    </w:p>
    <w:p w14:paraId="1400E23C" w14:textId="742645B9" w:rsidR="00F04FEE" w:rsidRPr="00306F4D" w:rsidRDefault="270C6BE3" w:rsidP="4186447D">
      <w:pPr>
        <w:pStyle w:val="ListParagraph"/>
        <w:numPr>
          <w:ilvl w:val="0"/>
          <w:numId w:val="9"/>
        </w:num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Alignment with the Environmental and Social Policy and Gender Policy of the Adaptation Fund and UNDP.</w:t>
      </w:r>
    </w:p>
    <w:p w14:paraId="34D7CC64" w14:textId="71316B11" w:rsidR="00F04FEE" w:rsidRPr="00306F4D" w:rsidRDefault="270C6BE3" w:rsidP="4186447D">
      <w:p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This approach ensures that only initiatives offering strong value for money and alignment with adaptation priorities will be supported.</w:t>
      </w:r>
    </w:p>
    <w:p w14:paraId="358BB9E7" w14:textId="4488D62C" w:rsidR="00F04FEE" w:rsidRPr="00306F4D" w:rsidRDefault="468AC006" w:rsidP="4186447D">
      <w:pPr>
        <w:pStyle w:val="Heading3"/>
        <w:spacing w:line="276" w:lineRule="auto"/>
        <w:jc w:val="both"/>
        <w:rPr>
          <w:rFonts w:ascii="Arial" w:eastAsia="Arial" w:hAnsi="Arial" w:cs="Arial"/>
          <w:sz w:val="20"/>
          <w:szCs w:val="20"/>
          <w:lang w:val="en-GB"/>
        </w:rPr>
      </w:pPr>
      <w:r w:rsidRPr="00306F4D">
        <w:rPr>
          <w:rFonts w:ascii="Arial" w:eastAsia="Arial" w:hAnsi="Arial" w:cs="Arial"/>
          <w:sz w:val="20"/>
          <w:szCs w:val="20"/>
          <w:lang w:val="en-GB"/>
        </w:rPr>
        <w:t xml:space="preserve">Leveraging UNDP's Institutional </w:t>
      </w:r>
      <w:r w:rsidR="4223AA4D" w:rsidRPr="00306F4D">
        <w:rPr>
          <w:rFonts w:ascii="Arial" w:eastAsia="Arial" w:hAnsi="Arial" w:cs="Arial"/>
          <w:sz w:val="20"/>
          <w:szCs w:val="20"/>
          <w:lang w:val="en-GB"/>
        </w:rPr>
        <w:t>Ca</w:t>
      </w:r>
      <w:r w:rsidR="5C3C2BBC" w:rsidRPr="00306F4D">
        <w:rPr>
          <w:rFonts w:ascii="Arial" w:eastAsia="Arial" w:hAnsi="Arial" w:cs="Arial"/>
          <w:sz w:val="20"/>
          <w:szCs w:val="20"/>
          <w:lang w:val="en-GB"/>
        </w:rPr>
        <w:t>pabilities</w:t>
      </w:r>
    </w:p>
    <w:p w14:paraId="486E4CE6" w14:textId="77777777" w:rsidR="00D744CF" w:rsidRPr="00306F4D" w:rsidRDefault="00D744CF" w:rsidP="4186447D">
      <w:pPr>
        <w:spacing w:after="0" w:line="276" w:lineRule="auto"/>
        <w:jc w:val="both"/>
        <w:rPr>
          <w:rFonts w:ascii="Arial" w:eastAsia="Arial" w:hAnsi="Arial" w:cs="Arial"/>
          <w:sz w:val="20"/>
          <w:szCs w:val="20"/>
          <w:lang w:val="en-GB"/>
        </w:rPr>
      </w:pPr>
    </w:p>
    <w:p w14:paraId="7045E1B2" w14:textId="4990D25D" w:rsidR="00F04FEE" w:rsidRPr="00306F4D" w:rsidRDefault="12FB6E07" w:rsidP="4186447D">
      <w:pPr>
        <w:spacing w:after="0" w:line="276" w:lineRule="auto"/>
        <w:jc w:val="both"/>
        <w:rPr>
          <w:rFonts w:ascii="Arial" w:eastAsia="Arial" w:hAnsi="Arial" w:cs="Arial"/>
          <w:sz w:val="20"/>
          <w:szCs w:val="20"/>
          <w:lang w:val="en-GB"/>
        </w:rPr>
      </w:pPr>
      <w:r w:rsidRPr="00306F4D">
        <w:rPr>
          <w:rFonts w:ascii="Arial" w:eastAsia="Arial" w:hAnsi="Arial" w:cs="Arial"/>
          <w:sz w:val="20"/>
          <w:szCs w:val="20"/>
          <w:lang w:val="en-GB"/>
        </w:rPr>
        <w:t>The project builds on UNDP’s proven experience in managing multi-country and innovation-focused initiatives, such as the Global Environment Facility’s Small Grants Programme (GEF SGP), the Adaptation Fund Climate Innovation Accelerator (AFCIA), the BOOST Impact Acceleration Programme, and the TADAMON NGO Empowerment Programme. It also draws on our extensive work applying systems thinking and portfolio approaches to address complex development challenges, particularly through initiatives like the City Experiment Fund and Mayors for Economic Growth.</w:t>
      </w:r>
    </w:p>
    <w:p w14:paraId="4D9185B1" w14:textId="00FA5E81" w:rsidR="00F04FEE" w:rsidRPr="00306F4D" w:rsidRDefault="00F04FEE" w:rsidP="4186447D">
      <w:pPr>
        <w:spacing w:after="0" w:line="276" w:lineRule="auto"/>
        <w:jc w:val="both"/>
        <w:rPr>
          <w:rFonts w:ascii="Arial" w:eastAsia="Arial" w:hAnsi="Arial" w:cs="Arial"/>
          <w:sz w:val="20"/>
          <w:szCs w:val="20"/>
          <w:lang w:val="en-GB"/>
        </w:rPr>
      </w:pPr>
    </w:p>
    <w:p w14:paraId="01124464" w14:textId="77777777" w:rsidR="00472ED8" w:rsidRPr="00306F4D" w:rsidRDefault="4E9C1D44" w:rsidP="4186447D">
      <w:pPr>
        <w:spacing w:after="0" w:line="276" w:lineRule="auto"/>
        <w:jc w:val="both"/>
        <w:rPr>
          <w:rFonts w:ascii="Arial" w:eastAsia="Arial" w:hAnsi="Arial" w:cs="Arial"/>
          <w:sz w:val="20"/>
          <w:szCs w:val="20"/>
          <w:lang w:val="en-GB"/>
        </w:rPr>
      </w:pPr>
      <w:r w:rsidRPr="00306F4D">
        <w:rPr>
          <w:rFonts w:ascii="Arial" w:eastAsia="Arial" w:hAnsi="Arial" w:cs="Arial"/>
          <w:sz w:val="20"/>
          <w:szCs w:val="20"/>
          <w:lang w:val="en-GB"/>
        </w:rPr>
        <w:t xml:space="preserve">These established programme structures, operational systems, and regional knowledge - including pre-existing insights from our work in the Western Balkans - will be adapted and applied to this project. This significantly reduces start-up costs and enables rapid, community-driven, high-quality delivery without the need to build new </w:t>
      </w:r>
      <w:r w:rsidRPr="00306F4D">
        <w:rPr>
          <w:rFonts w:ascii="Arial" w:eastAsia="Arial" w:hAnsi="Arial" w:cs="Arial"/>
          <w:sz w:val="20"/>
          <w:szCs w:val="20"/>
          <w:lang w:val="en-GB"/>
        </w:rPr>
        <w:lastRenderedPageBreak/>
        <w:t>entities or teams from scratch. This use of existing infrastructure represents a cost-efficient model of fund administration, technical assistance, and monitoring and evaluation, while still offering sufficient flexibility to tailor support to local conditions.</w:t>
      </w:r>
    </w:p>
    <w:p w14:paraId="25782BBD" w14:textId="7B7D8542" w:rsidR="00F04FEE" w:rsidRPr="00306F4D" w:rsidRDefault="270C6BE3" w:rsidP="4186447D">
      <w:pPr>
        <w:spacing w:after="0" w:line="276" w:lineRule="auto"/>
        <w:jc w:val="both"/>
        <w:rPr>
          <w:rFonts w:ascii="Arial" w:eastAsia="Arial" w:hAnsi="Arial" w:cs="Arial"/>
          <w:sz w:val="20"/>
          <w:szCs w:val="20"/>
          <w:lang w:val="en-GB"/>
        </w:rPr>
      </w:pPr>
      <w:r w:rsidRPr="00306F4D">
        <w:rPr>
          <w:rFonts w:ascii="Arial" w:hAnsi="Arial" w:cs="Arial"/>
          <w:sz w:val="20"/>
          <w:szCs w:val="20"/>
        </w:rPr>
        <w:br/>
      </w:r>
      <w:r w:rsidR="12FB6E07" w:rsidRPr="00306F4D">
        <w:rPr>
          <w:rFonts w:ascii="Arial" w:eastAsia="Arial" w:hAnsi="Arial" w:cs="Arial"/>
          <w:sz w:val="20"/>
          <w:szCs w:val="20"/>
          <w:lang w:val="en-GB"/>
        </w:rPr>
        <w:t xml:space="preserve">This project will be supported throughout by the expertise of UNDP’s Istanbul Regional Hub, which leads the application of innovation practices, ecosystem development, and systems approaches across the region. Through this work, IRH provides practical methods to help local actors design solutions that are ambitious, strategic, and grounded in context. These capabilities, along with tools such as the portfolio approach, community listening, foresight, and innovation accelerators like BOOST and </w:t>
      </w:r>
      <w:proofErr w:type="spellStart"/>
      <w:r w:rsidR="12FB6E07" w:rsidRPr="00306F4D">
        <w:rPr>
          <w:rFonts w:ascii="Arial" w:eastAsia="Arial" w:hAnsi="Arial" w:cs="Arial"/>
          <w:sz w:val="20"/>
          <w:szCs w:val="20"/>
          <w:lang w:val="en-GB"/>
        </w:rPr>
        <w:t>Tadamon</w:t>
      </w:r>
      <w:proofErr w:type="spellEnd"/>
      <w:r w:rsidR="0B5D3D25" w:rsidRPr="00306F4D">
        <w:rPr>
          <w:rFonts w:ascii="Arial" w:eastAsia="Arial" w:hAnsi="Arial" w:cs="Arial"/>
          <w:sz w:val="20"/>
          <w:szCs w:val="20"/>
          <w:lang w:val="en-GB"/>
        </w:rPr>
        <w:t xml:space="preserve"> NGO </w:t>
      </w:r>
      <w:r w:rsidR="4681C5EA" w:rsidRPr="00306F4D">
        <w:rPr>
          <w:rFonts w:ascii="Arial" w:eastAsia="Arial" w:hAnsi="Arial" w:cs="Arial"/>
          <w:sz w:val="20"/>
          <w:szCs w:val="20"/>
          <w:lang w:val="en-GB"/>
        </w:rPr>
        <w:t>Empowerment</w:t>
      </w:r>
      <w:r w:rsidR="0B5D3D25" w:rsidRPr="00306F4D">
        <w:rPr>
          <w:rFonts w:ascii="Arial" w:eastAsia="Arial" w:hAnsi="Arial" w:cs="Arial"/>
          <w:sz w:val="20"/>
          <w:szCs w:val="20"/>
          <w:lang w:val="en-GB"/>
        </w:rPr>
        <w:t xml:space="preserve"> Project</w:t>
      </w:r>
      <w:r w:rsidR="12FB6E07" w:rsidRPr="00306F4D">
        <w:rPr>
          <w:rFonts w:ascii="Arial" w:eastAsia="Arial" w:hAnsi="Arial" w:cs="Arial"/>
          <w:sz w:val="20"/>
          <w:szCs w:val="20"/>
          <w:lang w:val="en-GB"/>
        </w:rPr>
        <w:t xml:space="preserve">, will be embedded into the project to strengthen proposals, build robust solutions, and ensure supported initiatives are well-positioned for implementation and scale. </w:t>
      </w:r>
    </w:p>
    <w:p w14:paraId="5E163BBD" w14:textId="7A46B2D8" w:rsidR="00F54750" w:rsidRPr="00306F4D" w:rsidRDefault="00F54750" w:rsidP="00F54750">
      <w:pPr>
        <w:spacing w:after="0" w:line="276" w:lineRule="auto"/>
        <w:rPr>
          <w:rFonts w:ascii="Arial" w:eastAsia="Arial" w:hAnsi="Arial" w:cs="Arial"/>
          <w:sz w:val="20"/>
          <w:szCs w:val="20"/>
          <w:lang w:val="en-GB"/>
        </w:rPr>
      </w:pPr>
    </w:p>
    <w:p w14:paraId="069D0E16" w14:textId="6380A418" w:rsidR="00F04FEE" w:rsidRPr="00306F4D" w:rsidRDefault="5FDA164D" w:rsidP="4186447D">
      <w:pPr>
        <w:pStyle w:val="Heading3"/>
        <w:spacing w:line="276" w:lineRule="auto"/>
        <w:jc w:val="both"/>
        <w:rPr>
          <w:rFonts w:ascii="Arial" w:eastAsia="Arial" w:hAnsi="Arial" w:cs="Arial"/>
          <w:b/>
          <w:sz w:val="20"/>
          <w:szCs w:val="20"/>
          <w:lang w:val="en-GB"/>
        </w:rPr>
      </w:pPr>
      <w:bookmarkStart w:id="105" w:name="_Toc244426815"/>
      <w:bookmarkStart w:id="106" w:name="_Toc1404052273"/>
      <w:r w:rsidRPr="00306F4D">
        <w:rPr>
          <w:rFonts w:ascii="Arial" w:eastAsia="Arial" w:hAnsi="Arial" w:cs="Arial"/>
          <w:sz w:val="20"/>
          <w:szCs w:val="20"/>
          <w:lang w:val="en-GB"/>
        </w:rPr>
        <w:t xml:space="preserve">Economies of Scale and Efficiency through </w:t>
      </w:r>
      <w:r w:rsidR="4681C5EA" w:rsidRPr="00306F4D">
        <w:rPr>
          <w:rFonts w:ascii="Arial" w:eastAsia="Arial" w:hAnsi="Arial" w:cs="Arial"/>
          <w:sz w:val="20"/>
          <w:szCs w:val="20"/>
          <w:lang w:val="en-GB"/>
        </w:rPr>
        <w:t>a</w:t>
      </w:r>
      <w:r w:rsidRPr="00306F4D">
        <w:rPr>
          <w:rFonts w:ascii="Arial" w:eastAsia="Arial" w:hAnsi="Arial" w:cs="Arial"/>
          <w:sz w:val="20"/>
          <w:szCs w:val="20"/>
          <w:lang w:val="en-GB"/>
        </w:rPr>
        <w:t xml:space="preserve"> Regional Approach</w:t>
      </w:r>
      <w:bookmarkEnd w:id="105"/>
      <w:bookmarkEnd w:id="106"/>
    </w:p>
    <w:p w14:paraId="588DEFB8" w14:textId="08550A17" w:rsidR="002E73F4" w:rsidRPr="00306F4D" w:rsidRDefault="547372DA" w:rsidP="4186447D">
      <w:p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rPr>
        <w:t xml:space="preserve">This project aligns with </w:t>
      </w:r>
      <w:r w:rsidRPr="00306F4D">
        <w:rPr>
          <w:rFonts w:ascii="Arial" w:eastAsia="Arial" w:hAnsi="Arial" w:cs="Arial"/>
          <w:b/>
          <w:bCs/>
          <w:sz w:val="20"/>
          <w:szCs w:val="20"/>
        </w:rPr>
        <w:t>UNDP's Regionality Principles</w:t>
      </w:r>
      <w:r w:rsidRPr="00306F4D">
        <w:rPr>
          <w:rFonts w:ascii="Arial" w:eastAsia="Arial" w:hAnsi="Arial" w:cs="Arial"/>
          <w:sz w:val="20"/>
          <w:szCs w:val="20"/>
        </w:rPr>
        <w:t xml:space="preserve"> by promoting regional public goods through strengthened cooperation and integration, managing climate adaptation externalities that transcend borders, and generating shared development knowledge and innovation that overcomes institutional and financial barriers too high for individual countries to surmount alone.</w:t>
      </w:r>
    </w:p>
    <w:p w14:paraId="53BB7D5D" w14:textId="6E83FD01" w:rsidR="00F04FEE" w:rsidRPr="00306F4D" w:rsidRDefault="270C6BE3" w:rsidP="4186447D">
      <w:p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 xml:space="preserve">Implementing this project as a </w:t>
      </w:r>
      <w:r w:rsidRPr="00306F4D">
        <w:rPr>
          <w:rFonts w:ascii="Arial" w:eastAsia="Arial" w:hAnsi="Arial" w:cs="Arial"/>
          <w:b/>
          <w:sz w:val="20"/>
          <w:szCs w:val="20"/>
          <w:lang w:val="en-GB"/>
        </w:rPr>
        <w:t>regional initiative</w:t>
      </w:r>
      <w:r w:rsidRPr="00306F4D">
        <w:rPr>
          <w:rFonts w:ascii="Arial" w:eastAsia="Arial" w:hAnsi="Arial" w:cs="Arial"/>
          <w:sz w:val="20"/>
          <w:szCs w:val="20"/>
          <w:lang w:val="en-GB"/>
        </w:rPr>
        <w:t xml:space="preserve"> rather than as separate national projects creates multiple opportunities for </w:t>
      </w:r>
      <w:r w:rsidRPr="00306F4D">
        <w:rPr>
          <w:rFonts w:ascii="Arial" w:eastAsia="Arial" w:hAnsi="Arial" w:cs="Arial"/>
          <w:b/>
          <w:sz w:val="20"/>
          <w:szCs w:val="20"/>
          <w:lang w:val="en-GB"/>
        </w:rPr>
        <w:t>cost-efficiency and knowledge synergies</w:t>
      </w:r>
      <w:r w:rsidRPr="00306F4D">
        <w:rPr>
          <w:rFonts w:ascii="Arial" w:eastAsia="Arial" w:hAnsi="Arial" w:cs="Arial"/>
          <w:sz w:val="20"/>
          <w:szCs w:val="20"/>
          <w:lang w:val="en-GB"/>
        </w:rPr>
        <w:t>, including:</w:t>
      </w:r>
    </w:p>
    <w:p w14:paraId="0BC0956B" w14:textId="63F27AAD" w:rsidR="00F04FEE" w:rsidRPr="00306F4D" w:rsidRDefault="270C6BE3" w:rsidP="4186447D">
      <w:pPr>
        <w:pStyle w:val="ListParagraph"/>
        <w:numPr>
          <w:ilvl w:val="0"/>
          <w:numId w:val="8"/>
        </w:numPr>
        <w:spacing w:before="240" w:after="240" w:line="276" w:lineRule="auto"/>
        <w:jc w:val="both"/>
        <w:rPr>
          <w:rFonts w:ascii="Arial" w:eastAsia="Arial" w:hAnsi="Arial" w:cs="Arial"/>
          <w:sz w:val="20"/>
          <w:szCs w:val="20"/>
          <w:lang w:val="en-GB"/>
        </w:rPr>
      </w:pPr>
      <w:r w:rsidRPr="00306F4D">
        <w:rPr>
          <w:rFonts w:ascii="Arial" w:eastAsia="Arial" w:hAnsi="Arial" w:cs="Arial"/>
          <w:b/>
          <w:sz w:val="20"/>
          <w:szCs w:val="20"/>
          <w:lang w:val="en-GB"/>
        </w:rPr>
        <w:t>Shared technical and advisory resources</w:t>
      </w:r>
      <w:r w:rsidRPr="00306F4D">
        <w:rPr>
          <w:rFonts w:ascii="Arial" w:eastAsia="Arial" w:hAnsi="Arial" w:cs="Arial"/>
          <w:sz w:val="20"/>
          <w:szCs w:val="20"/>
          <w:lang w:val="en-GB"/>
        </w:rPr>
        <w:t xml:space="preserve"> across countries, avoiding duplication of efforts</w:t>
      </w:r>
      <w:r w:rsidR="149556FB" w:rsidRPr="00306F4D">
        <w:rPr>
          <w:rFonts w:ascii="Arial" w:eastAsia="Arial" w:hAnsi="Arial" w:cs="Arial"/>
          <w:sz w:val="20"/>
          <w:szCs w:val="20"/>
          <w:lang w:val="en-GB"/>
        </w:rPr>
        <w:t xml:space="preserve"> and access to </w:t>
      </w:r>
      <w:r w:rsidR="68E843FC" w:rsidRPr="00306F4D">
        <w:rPr>
          <w:rFonts w:ascii="Arial" w:eastAsia="Arial" w:hAnsi="Arial" w:cs="Arial"/>
          <w:sz w:val="20"/>
          <w:szCs w:val="20"/>
          <w:lang w:val="en-GB"/>
        </w:rPr>
        <w:t xml:space="preserve">wide range of technical expertise and </w:t>
      </w:r>
      <w:proofErr w:type="gramStart"/>
      <w:r w:rsidR="68E843FC" w:rsidRPr="00306F4D">
        <w:rPr>
          <w:rFonts w:ascii="Arial" w:eastAsia="Arial" w:hAnsi="Arial" w:cs="Arial"/>
          <w:sz w:val="20"/>
          <w:szCs w:val="20"/>
          <w:lang w:val="en-GB"/>
        </w:rPr>
        <w:t>knowledge</w:t>
      </w:r>
      <w:r w:rsidRPr="00306F4D">
        <w:rPr>
          <w:rFonts w:ascii="Arial" w:eastAsia="Arial" w:hAnsi="Arial" w:cs="Arial"/>
          <w:sz w:val="20"/>
          <w:szCs w:val="20"/>
          <w:lang w:val="en-GB"/>
        </w:rPr>
        <w:t>;</w:t>
      </w:r>
      <w:proofErr w:type="gramEnd"/>
    </w:p>
    <w:p w14:paraId="53205115" w14:textId="7ADDE814" w:rsidR="00F04FEE" w:rsidRPr="00306F4D" w:rsidRDefault="270C6BE3" w:rsidP="4186447D">
      <w:pPr>
        <w:pStyle w:val="ListParagraph"/>
        <w:numPr>
          <w:ilvl w:val="0"/>
          <w:numId w:val="8"/>
        </w:numPr>
        <w:spacing w:before="240" w:after="240" w:line="276" w:lineRule="auto"/>
        <w:jc w:val="both"/>
        <w:rPr>
          <w:rFonts w:ascii="Arial" w:eastAsia="Arial" w:hAnsi="Arial" w:cs="Arial"/>
          <w:sz w:val="20"/>
          <w:szCs w:val="20"/>
          <w:lang w:val="en-GB"/>
        </w:rPr>
      </w:pPr>
      <w:r w:rsidRPr="00306F4D">
        <w:rPr>
          <w:rFonts w:ascii="Arial" w:eastAsia="Arial" w:hAnsi="Arial" w:cs="Arial"/>
          <w:b/>
          <w:sz w:val="20"/>
          <w:szCs w:val="20"/>
          <w:lang w:val="en-GB"/>
        </w:rPr>
        <w:t>Joint learning platforms and knowledge exchange events</w:t>
      </w:r>
      <w:r w:rsidRPr="00306F4D">
        <w:rPr>
          <w:rFonts w:ascii="Arial" w:eastAsia="Arial" w:hAnsi="Arial" w:cs="Arial"/>
          <w:sz w:val="20"/>
          <w:szCs w:val="20"/>
          <w:lang w:val="en-GB"/>
        </w:rPr>
        <w:t xml:space="preserve"> that serve multiple countries at </w:t>
      </w:r>
      <w:proofErr w:type="gramStart"/>
      <w:r w:rsidRPr="00306F4D">
        <w:rPr>
          <w:rFonts w:ascii="Arial" w:eastAsia="Arial" w:hAnsi="Arial" w:cs="Arial"/>
          <w:sz w:val="20"/>
          <w:szCs w:val="20"/>
          <w:lang w:val="en-GB"/>
        </w:rPr>
        <w:t>once;</w:t>
      </w:r>
      <w:proofErr w:type="gramEnd"/>
    </w:p>
    <w:p w14:paraId="085F9368" w14:textId="27140B6A" w:rsidR="00F04FEE" w:rsidRPr="00306F4D" w:rsidRDefault="270C6BE3" w:rsidP="4186447D">
      <w:pPr>
        <w:pStyle w:val="ListParagraph"/>
        <w:numPr>
          <w:ilvl w:val="0"/>
          <w:numId w:val="8"/>
        </w:numPr>
        <w:spacing w:before="240" w:after="240" w:line="276" w:lineRule="auto"/>
        <w:jc w:val="both"/>
        <w:rPr>
          <w:rFonts w:ascii="Arial" w:eastAsia="Arial" w:hAnsi="Arial" w:cs="Arial"/>
          <w:sz w:val="20"/>
          <w:szCs w:val="20"/>
          <w:lang w:val="en-GB"/>
        </w:rPr>
      </w:pPr>
      <w:r w:rsidRPr="00306F4D">
        <w:rPr>
          <w:rFonts w:ascii="Arial" w:eastAsia="Arial" w:hAnsi="Arial" w:cs="Arial"/>
          <w:b/>
          <w:sz w:val="20"/>
          <w:szCs w:val="20"/>
          <w:lang w:val="en-GB"/>
        </w:rPr>
        <w:t>Regional coordination mechanisms</w:t>
      </w:r>
      <w:r w:rsidRPr="00306F4D">
        <w:rPr>
          <w:rFonts w:ascii="Arial" w:eastAsia="Arial" w:hAnsi="Arial" w:cs="Arial"/>
          <w:sz w:val="20"/>
          <w:szCs w:val="20"/>
          <w:lang w:val="en-GB"/>
        </w:rPr>
        <w:t xml:space="preserve"> that streamline governance, reduce overhead costs, and improve implementation </w:t>
      </w:r>
      <w:proofErr w:type="gramStart"/>
      <w:r w:rsidRPr="00306F4D">
        <w:rPr>
          <w:rFonts w:ascii="Arial" w:eastAsia="Arial" w:hAnsi="Arial" w:cs="Arial"/>
          <w:sz w:val="20"/>
          <w:szCs w:val="20"/>
          <w:lang w:val="en-GB"/>
        </w:rPr>
        <w:t>consistency;</w:t>
      </w:r>
      <w:proofErr w:type="gramEnd"/>
    </w:p>
    <w:p w14:paraId="3A680FD3" w14:textId="7AF2AD4E" w:rsidR="00F04FEE" w:rsidRPr="00306F4D" w:rsidRDefault="270C6BE3" w:rsidP="4186447D">
      <w:pPr>
        <w:pStyle w:val="ListParagraph"/>
        <w:numPr>
          <w:ilvl w:val="0"/>
          <w:numId w:val="8"/>
        </w:numPr>
        <w:spacing w:before="240" w:after="240" w:line="276" w:lineRule="auto"/>
        <w:jc w:val="both"/>
        <w:rPr>
          <w:rFonts w:ascii="Arial" w:eastAsia="Arial" w:hAnsi="Arial" w:cs="Arial"/>
          <w:sz w:val="20"/>
          <w:szCs w:val="20"/>
          <w:lang w:val="en-GB"/>
        </w:rPr>
      </w:pPr>
      <w:r w:rsidRPr="00306F4D">
        <w:rPr>
          <w:rFonts w:ascii="Arial" w:eastAsia="Arial" w:hAnsi="Arial" w:cs="Arial"/>
          <w:b/>
          <w:sz w:val="20"/>
          <w:szCs w:val="20"/>
          <w:lang w:val="en-GB"/>
        </w:rPr>
        <w:t>Cross-border replication of successful solutions</w:t>
      </w:r>
      <w:r w:rsidRPr="00306F4D">
        <w:rPr>
          <w:rFonts w:ascii="Arial" w:eastAsia="Arial" w:hAnsi="Arial" w:cs="Arial"/>
          <w:sz w:val="20"/>
          <w:szCs w:val="20"/>
          <w:lang w:val="en-GB"/>
        </w:rPr>
        <w:t>, reducing the need to reinvent adaptation models in each national context.</w:t>
      </w:r>
    </w:p>
    <w:p w14:paraId="634A1393" w14:textId="6D319D36" w:rsidR="00F04FEE" w:rsidRPr="00306F4D" w:rsidRDefault="270C6BE3" w:rsidP="4186447D">
      <w:p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These efficiencies ensure that a greater proportion of available funding directly supports innovation development and scaling, rather than administrative or transaction costs.</w:t>
      </w:r>
    </w:p>
    <w:p w14:paraId="3C8491E3" w14:textId="1873B575" w:rsidR="00F04FEE" w:rsidRPr="00306F4D" w:rsidRDefault="5FDA164D" w:rsidP="4186447D">
      <w:pPr>
        <w:pStyle w:val="Heading3"/>
        <w:spacing w:line="276" w:lineRule="auto"/>
        <w:jc w:val="both"/>
        <w:rPr>
          <w:rFonts w:ascii="Arial" w:eastAsia="Arial" w:hAnsi="Arial" w:cs="Arial"/>
          <w:b/>
          <w:sz w:val="20"/>
          <w:szCs w:val="20"/>
          <w:lang w:val="en-GB"/>
        </w:rPr>
      </w:pPr>
      <w:bookmarkStart w:id="107" w:name="_Toc1562085588"/>
      <w:bookmarkStart w:id="108" w:name="_Toc1487902569"/>
      <w:r w:rsidRPr="00306F4D">
        <w:rPr>
          <w:rFonts w:ascii="Arial" w:eastAsia="Arial" w:hAnsi="Arial" w:cs="Arial"/>
          <w:sz w:val="20"/>
          <w:szCs w:val="20"/>
          <w:lang w:val="en-GB"/>
        </w:rPr>
        <w:t>Strategic Partnerships and Co-Financing Opportunities</w:t>
      </w:r>
      <w:bookmarkEnd w:id="107"/>
      <w:bookmarkEnd w:id="108"/>
    </w:p>
    <w:p w14:paraId="5790728D" w14:textId="5DC806A7" w:rsidR="00F04FEE" w:rsidRPr="00306F4D" w:rsidRDefault="270C6BE3" w:rsidP="4186447D">
      <w:p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 xml:space="preserve">The project’s cost-effectiveness is further enhanced by its ability to </w:t>
      </w:r>
      <w:r w:rsidRPr="00306F4D">
        <w:rPr>
          <w:rFonts w:ascii="Arial" w:eastAsia="Arial" w:hAnsi="Arial" w:cs="Arial"/>
          <w:b/>
          <w:sz w:val="20"/>
          <w:szCs w:val="20"/>
          <w:lang w:val="en-GB"/>
        </w:rPr>
        <w:t>leverage additional technical and financial contributions</w:t>
      </w:r>
      <w:r w:rsidRPr="00306F4D">
        <w:rPr>
          <w:rFonts w:ascii="Arial" w:eastAsia="Arial" w:hAnsi="Arial" w:cs="Arial"/>
          <w:sz w:val="20"/>
          <w:szCs w:val="20"/>
          <w:lang w:val="en-GB"/>
        </w:rPr>
        <w:t xml:space="preserve"> from strategic partners. </w:t>
      </w:r>
      <w:r w:rsidR="4857DBCB" w:rsidRPr="00306F4D">
        <w:rPr>
          <w:rFonts w:ascii="Arial" w:eastAsia="Arial" w:hAnsi="Arial" w:cs="Arial"/>
          <w:sz w:val="20"/>
          <w:szCs w:val="20"/>
          <w:lang w:val="en-GB"/>
        </w:rPr>
        <w:t xml:space="preserve">Organizations </w:t>
      </w:r>
      <w:r w:rsidR="244D12D9" w:rsidRPr="00306F4D">
        <w:rPr>
          <w:rFonts w:ascii="Arial" w:eastAsia="Arial" w:hAnsi="Arial" w:cs="Arial"/>
          <w:sz w:val="20"/>
          <w:szCs w:val="20"/>
          <w:lang w:val="en-GB"/>
        </w:rPr>
        <w:t>that are already working with UNDP under the UNDP-AFCIA Programme,</w:t>
      </w:r>
      <w:r w:rsidRPr="00306F4D">
        <w:rPr>
          <w:rFonts w:ascii="Arial" w:eastAsia="Arial" w:hAnsi="Arial" w:cs="Arial"/>
          <w:sz w:val="20"/>
          <w:szCs w:val="20"/>
          <w:lang w:val="en-GB"/>
        </w:rPr>
        <w:t xml:space="preserve"> such as the </w:t>
      </w:r>
      <w:r w:rsidRPr="00306F4D">
        <w:rPr>
          <w:rFonts w:ascii="Arial" w:eastAsia="Arial" w:hAnsi="Arial" w:cs="Arial"/>
          <w:b/>
          <w:sz w:val="20"/>
          <w:szCs w:val="20"/>
          <w:lang w:val="en-GB"/>
        </w:rPr>
        <w:t>Global Resilience Partnership (GRP)</w:t>
      </w:r>
      <w:r w:rsidRPr="00306F4D">
        <w:rPr>
          <w:rFonts w:ascii="Arial" w:eastAsia="Arial" w:hAnsi="Arial" w:cs="Arial"/>
          <w:sz w:val="20"/>
          <w:szCs w:val="20"/>
          <w:lang w:val="en-GB"/>
        </w:rPr>
        <w:t xml:space="preserve">, </w:t>
      </w:r>
      <w:r w:rsidRPr="00306F4D">
        <w:rPr>
          <w:rFonts w:ascii="Arial" w:eastAsia="Arial" w:hAnsi="Arial" w:cs="Arial"/>
          <w:b/>
          <w:sz w:val="20"/>
          <w:szCs w:val="20"/>
          <w:lang w:val="en-GB"/>
        </w:rPr>
        <w:t>Climate-KIC</w:t>
      </w:r>
      <w:r w:rsidRPr="00306F4D">
        <w:rPr>
          <w:rFonts w:ascii="Arial" w:eastAsia="Arial" w:hAnsi="Arial" w:cs="Arial"/>
          <w:sz w:val="20"/>
          <w:szCs w:val="20"/>
          <w:lang w:val="en-GB"/>
        </w:rPr>
        <w:t>,</w:t>
      </w:r>
      <w:r w:rsidR="1ABC04C8" w:rsidRPr="00306F4D">
        <w:rPr>
          <w:rFonts w:ascii="Arial" w:eastAsia="Arial" w:hAnsi="Arial" w:cs="Arial"/>
          <w:b/>
          <w:color w:val="070706"/>
          <w:sz w:val="20"/>
          <w:szCs w:val="20"/>
          <w:lang w:val="en-GB"/>
        </w:rPr>
        <w:t xml:space="preserve"> </w:t>
      </w:r>
      <w:r w:rsidR="7B9F88EC" w:rsidRPr="00306F4D">
        <w:rPr>
          <w:rFonts w:ascii="Arial" w:eastAsia="Arial" w:hAnsi="Arial" w:cs="Arial"/>
          <w:b/>
          <w:bCs/>
          <w:color w:val="070706"/>
          <w:sz w:val="20"/>
          <w:szCs w:val="20"/>
          <w:lang w:val="en-GB"/>
        </w:rPr>
        <w:t>impact investment</w:t>
      </w:r>
      <w:r w:rsidRPr="00306F4D">
        <w:rPr>
          <w:rFonts w:ascii="Arial" w:eastAsia="Arial" w:hAnsi="Arial" w:cs="Arial"/>
          <w:b/>
          <w:color w:val="070706"/>
          <w:sz w:val="20"/>
          <w:szCs w:val="20"/>
          <w:lang w:val="en-GB"/>
        </w:rPr>
        <w:t xml:space="preserve"> and </w:t>
      </w:r>
      <w:r w:rsidR="7B9F88EC" w:rsidRPr="00306F4D">
        <w:rPr>
          <w:rFonts w:ascii="Arial" w:eastAsia="Arial" w:hAnsi="Arial" w:cs="Arial"/>
          <w:b/>
          <w:bCs/>
          <w:color w:val="070706"/>
          <w:sz w:val="20"/>
          <w:szCs w:val="20"/>
          <w:lang w:val="en-GB"/>
        </w:rPr>
        <w:t>philanthropy networks,</w:t>
      </w:r>
      <w:r w:rsidR="51001ADB" w:rsidRPr="00306F4D">
        <w:rPr>
          <w:rFonts w:ascii="Arial" w:eastAsia="Arial" w:hAnsi="Arial" w:cs="Arial"/>
          <w:b/>
          <w:bCs/>
          <w:sz w:val="20"/>
          <w:szCs w:val="20"/>
          <w:lang w:val="en-GB"/>
        </w:rPr>
        <w:t xml:space="preserve"> </w:t>
      </w:r>
      <w:r w:rsidR="2452108A" w:rsidRPr="00306F4D">
        <w:rPr>
          <w:rFonts w:ascii="Arial" w:eastAsia="Arial" w:hAnsi="Arial" w:cs="Arial"/>
          <w:b/>
          <w:bCs/>
          <w:sz w:val="20"/>
          <w:szCs w:val="20"/>
          <w:lang w:val="en-GB"/>
        </w:rPr>
        <w:t>public or</w:t>
      </w:r>
      <w:r w:rsidR="51001ADB" w:rsidRPr="00306F4D">
        <w:rPr>
          <w:rFonts w:ascii="Arial" w:eastAsia="Arial" w:hAnsi="Arial" w:cs="Arial"/>
          <w:b/>
          <w:bCs/>
          <w:sz w:val="20"/>
          <w:szCs w:val="20"/>
          <w:lang w:val="en-GB"/>
        </w:rPr>
        <w:t xml:space="preserve"> </w:t>
      </w:r>
      <w:r w:rsidRPr="00306F4D">
        <w:rPr>
          <w:rFonts w:ascii="Arial" w:eastAsia="Arial" w:hAnsi="Arial" w:cs="Arial"/>
          <w:b/>
          <w:sz w:val="20"/>
          <w:szCs w:val="20"/>
          <w:lang w:val="en-GB"/>
        </w:rPr>
        <w:t xml:space="preserve">private </w:t>
      </w:r>
      <w:r w:rsidR="29589517" w:rsidRPr="00306F4D">
        <w:rPr>
          <w:rFonts w:ascii="Arial" w:eastAsia="Arial" w:hAnsi="Arial" w:cs="Arial"/>
          <w:b/>
          <w:bCs/>
          <w:sz w:val="20"/>
          <w:szCs w:val="20"/>
          <w:lang w:val="en-GB"/>
        </w:rPr>
        <w:t xml:space="preserve">funders </w:t>
      </w:r>
      <w:r w:rsidR="48834550" w:rsidRPr="00306F4D">
        <w:rPr>
          <w:rFonts w:ascii="Arial" w:eastAsia="Arial" w:hAnsi="Arial" w:cs="Arial"/>
          <w:sz w:val="20"/>
          <w:szCs w:val="20"/>
          <w:lang w:val="en-GB"/>
        </w:rPr>
        <w:t>could be potentially engaged to provide additional</w:t>
      </w:r>
      <w:r w:rsidRPr="00306F4D">
        <w:rPr>
          <w:rFonts w:ascii="Arial" w:eastAsia="Arial" w:hAnsi="Arial" w:cs="Arial"/>
          <w:sz w:val="20"/>
          <w:szCs w:val="20"/>
          <w:lang w:val="en-GB"/>
        </w:rPr>
        <w:t xml:space="preserve"> technical </w:t>
      </w:r>
      <w:r w:rsidR="51F77DFE" w:rsidRPr="00306F4D">
        <w:rPr>
          <w:rFonts w:ascii="Arial" w:eastAsia="Arial" w:hAnsi="Arial" w:cs="Arial"/>
          <w:sz w:val="20"/>
          <w:szCs w:val="20"/>
          <w:lang w:val="en-GB"/>
        </w:rPr>
        <w:t>support</w:t>
      </w:r>
      <w:r w:rsidRPr="00306F4D">
        <w:rPr>
          <w:rFonts w:ascii="Arial" w:eastAsia="Arial" w:hAnsi="Arial" w:cs="Arial"/>
          <w:sz w:val="20"/>
          <w:szCs w:val="20"/>
          <w:lang w:val="en-GB"/>
        </w:rPr>
        <w:t xml:space="preserve"> or knowledge exchange</w:t>
      </w:r>
      <w:r w:rsidR="6F9DA080" w:rsidRPr="00306F4D">
        <w:rPr>
          <w:rFonts w:ascii="Arial" w:eastAsia="Arial" w:hAnsi="Arial" w:cs="Arial"/>
          <w:sz w:val="20"/>
          <w:szCs w:val="20"/>
          <w:lang w:val="en-GB"/>
        </w:rPr>
        <w:t>/amplification</w:t>
      </w:r>
      <w:r w:rsidR="4857DBCB" w:rsidRPr="00306F4D">
        <w:rPr>
          <w:rFonts w:ascii="Arial" w:eastAsia="Arial" w:hAnsi="Arial" w:cs="Arial"/>
          <w:sz w:val="20"/>
          <w:szCs w:val="20"/>
          <w:lang w:val="en-GB"/>
        </w:rPr>
        <w:t>.</w:t>
      </w:r>
      <w:r w:rsidRPr="00306F4D">
        <w:rPr>
          <w:rFonts w:ascii="Arial" w:eastAsia="Arial" w:hAnsi="Arial" w:cs="Arial"/>
          <w:sz w:val="20"/>
          <w:szCs w:val="20"/>
          <w:lang w:val="en-GB"/>
        </w:rPr>
        <w:t xml:space="preserve"> These partnerships will:</w:t>
      </w:r>
    </w:p>
    <w:p w14:paraId="5259F4DE" w14:textId="479E3815" w:rsidR="00F04FEE" w:rsidRPr="00306F4D" w:rsidRDefault="270C6BE3" w:rsidP="4186447D">
      <w:pPr>
        <w:pStyle w:val="ListParagraph"/>
        <w:numPr>
          <w:ilvl w:val="0"/>
          <w:numId w:val="7"/>
        </w:num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 xml:space="preserve">Enhance the project’s reach and </w:t>
      </w:r>
      <w:proofErr w:type="gramStart"/>
      <w:r w:rsidRPr="00306F4D">
        <w:rPr>
          <w:rFonts w:ascii="Arial" w:eastAsia="Arial" w:hAnsi="Arial" w:cs="Arial"/>
          <w:sz w:val="20"/>
          <w:szCs w:val="20"/>
          <w:lang w:val="en-GB"/>
        </w:rPr>
        <w:t>visibility;</w:t>
      </w:r>
      <w:proofErr w:type="gramEnd"/>
    </w:p>
    <w:p w14:paraId="58DE5DF1" w14:textId="737D1C3F" w:rsidR="00F04FEE" w:rsidRPr="00306F4D" w:rsidRDefault="270C6BE3" w:rsidP="4186447D">
      <w:pPr>
        <w:pStyle w:val="ListParagraph"/>
        <w:numPr>
          <w:ilvl w:val="0"/>
          <w:numId w:val="7"/>
        </w:num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 xml:space="preserve">Enable resource pooling for grantee </w:t>
      </w:r>
      <w:proofErr w:type="gramStart"/>
      <w:r w:rsidRPr="00306F4D">
        <w:rPr>
          <w:rFonts w:ascii="Arial" w:eastAsia="Arial" w:hAnsi="Arial" w:cs="Arial"/>
          <w:sz w:val="20"/>
          <w:szCs w:val="20"/>
          <w:lang w:val="en-GB"/>
        </w:rPr>
        <w:t>support;</w:t>
      </w:r>
      <w:proofErr w:type="gramEnd"/>
    </w:p>
    <w:p w14:paraId="51E13CC0" w14:textId="115F2B99" w:rsidR="00F04FEE" w:rsidRPr="00306F4D" w:rsidRDefault="270C6BE3" w:rsidP="4186447D">
      <w:pPr>
        <w:pStyle w:val="ListParagraph"/>
        <w:numPr>
          <w:ilvl w:val="0"/>
          <w:numId w:val="7"/>
        </w:num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 xml:space="preserve">Unlock additional investment pathways for scaling successful </w:t>
      </w:r>
      <w:proofErr w:type="gramStart"/>
      <w:r w:rsidRPr="00306F4D">
        <w:rPr>
          <w:rFonts w:ascii="Arial" w:eastAsia="Arial" w:hAnsi="Arial" w:cs="Arial"/>
          <w:sz w:val="20"/>
          <w:szCs w:val="20"/>
          <w:lang w:val="en-GB"/>
        </w:rPr>
        <w:t>innovations</w:t>
      </w:r>
      <w:r w:rsidR="7C0CEEF3" w:rsidRPr="00306F4D">
        <w:rPr>
          <w:rFonts w:ascii="Arial" w:eastAsia="Arial" w:hAnsi="Arial" w:cs="Arial"/>
          <w:sz w:val="20"/>
          <w:szCs w:val="20"/>
          <w:lang w:val="en-GB"/>
        </w:rPr>
        <w:t>;</w:t>
      </w:r>
      <w:proofErr w:type="gramEnd"/>
    </w:p>
    <w:p w14:paraId="03641356" w14:textId="17814FD4" w:rsidR="00F04FEE" w:rsidRPr="00306F4D" w:rsidRDefault="7C0CEEF3" w:rsidP="4186447D">
      <w:pPr>
        <w:pStyle w:val="ListParagraph"/>
        <w:numPr>
          <w:ilvl w:val="0"/>
          <w:numId w:val="7"/>
        </w:num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 xml:space="preserve">Align scalability requirements </w:t>
      </w:r>
      <w:r w:rsidR="43E13B44" w:rsidRPr="00306F4D">
        <w:rPr>
          <w:rFonts w:ascii="Arial" w:eastAsia="Arial" w:hAnsi="Arial" w:cs="Arial"/>
          <w:sz w:val="20"/>
          <w:szCs w:val="20"/>
          <w:lang w:val="en-GB"/>
        </w:rPr>
        <w:t>and technical support</w:t>
      </w:r>
      <w:r w:rsidRPr="00306F4D">
        <w:rPr>
          <w:rFonts w:ascii="Arial" w:eastAsia="Arial" w:hAnsi="Arial" w:cs="Arial"/>
          <w:sz w:val="20"/>
          <w:szCs w:val="20"/>
          <w:lang w:val="en-GB"/>
        </w:rPr>
        <w:t xml:space="preserve"> with impact funder´s requirements</w:t>
      </w:r>
      <w:r w:rsidR="270C6BE3" w:rsidRPr="00306F4D">
        <w:rPr>
          <w:rFonts w:ascii="Arial" w:eastAsia="Arial" w:hAnsi="Arial" w:cs="Arial"/>
          <w:sz w:val="20"/>
          <w:szCs w:val="20"/>
          <w:lang w:val="en-GB"/>
        </w:rPr>
        <w:t>.</w:t>
      </w:r>
    </w:p>
    <w:p w14:paraId="271F1580" w14:textId="1B18268E" w:rsidR="565B008F" w:rsidRPr="00306F4D" w:rsidRDefault="5E321080" w:rsidP="4186447D">
      <w:p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 xml:space="preserve">Under UNDP-AFCIA´s Fellowship programme and thought leadership work </w:t>
      </w:r>
      <w:proofErr w:type="gramStart"/>
      <w:r w:rsidRPr="00306F4D">
        <w:rPr>
          <w:rFonts w:ascii="Arial" w:eastAsia="Arial" w:hAnsi="Arial" w:cs="Arial"/>
          <w:sz w:val="20"/>
          <w:szCs w:val="20"/>
          <w:lang w:val="en-GB"/>
        </w:rPr>
        <w:t>stream,  three</w:t>
      </w:r>
      <w:proofErr w:type="gramEnd"/>
      <w:r w:rsidRPr="00306F4D">
        <w:rPr>
          <w:rFonts w:ascii="Arial" w:eastAsia="Arial" w:hAnsi="Arial" w:cs="Arial"/>
          <w:sz w:val="20"/>
          <w:szCs w:val="20"/>
          <w:lang w:val="en-GB"/>
        </w:rPr>
        <w:t xml:space="preserve"> informal Collaborative Working Groups with key systemic stakeholders have been set up, including Alti Global, BNP Paribas, UNCDF, Euroclear, Fidelity, and Acumen, to explore and advance the potential of micro-bonds and blended finance as </w:t>
      </w:r>
      <w:r w:rsidRPr="00306F4D">
        <w:rPr>
          <w:rFonts w:ascii="Arial" w:eastAsia="Arial" w:hAnsi="Arial" w:cs="Arial"/>
          <w:sz w:val="20"/>
          <w:szCs w:val="20"/>
          <w:lang w:val="en-GB"/>
        </w:rPr>
        <w:lastRenderedPageBreak/>
        <w:t>innovative mechanisms to mobilize capital for climate resilience and adaptation at the local level. A key focus of this initiative is tackling one of the most critical bottlenecks hindering climate projects in the global south: the smaller ticket sizes of these projects, coupled with their high perceived risk. The Collaborative Working Group is exploring pathways to de-risk such investments, making them more attractive to private sector players and institutional investors while ensuring financial models that enable scalability and long-term sustainability.</w:t>
      </w:r>
    </w:p>
    <w:p w14:paraId="2EE71786" w14:textId="7736370B" w:rsidR="00F04FEE" w:rsidRPr="00306F4D" w:rsidRDefault="270C6BE3" w:rsidP="4186447D">
      <w:p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 xml:space="preserve">By aligning with partners that share a common goal of accelerating innovation for climate resilience, the project is well-positioned to </w:t>
      </w:r>
      <w:r w:rsidRPr="00306F4D">
        <w:rPr>
          <w:rFonts w:ascii="Arial" w:eastAsia="Arial" w:hAnsi="Arial" w:cs="Arial"/>
          <w:b/>
          <w:sz w:val="20"/>
          <w:szCs w:val="20"/>
          <w:lang w:val="en-GB"/>
        </w:rPr>
        <w:t>amplify its impact without requiring proportionate increases in budget</w:t>
      </w:r>
      <w:r w:rsidRPr="00306F4D">
        <w:rPr>
          <w:rFonts w:ascii="Arial" w:eastAsia="Arial" w:hAnsi="Arial" w:cs="Arial"/>
          <w:sz w:val="20"/>
          <w:szCs w:val="20"/>
          <w:lang w:val="en-GB"/>
        </w:rPr>
        <w:t>.</w:t>
      </w:r>
    </w:p>
    <w:p w14:paraId="6FCF3B3A" w14:textId="6BA05FB1" w:rsidR="00F54750" w:rsidRPr="00306F4D" w:rsidRDefault="3AA01053" w:rsidP="00BC3363">
      <w:p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 xml:space="preserve">In summary, the project offers a </w:t>
      </w:r>
      <w:r w:rsidRPr="00306F4D">
        <w:rPr>
          <w:rFonts w:ascii="Arial" w:eastAsia="Arial" w:hAnsi="Arial" w:cs="Arial"/>
          <w:b/>
          <w:sz w:val="20"/>
          <w:szCs w:val="20"/>
          <w:lang w:val="en-GB"/>
        </w:rPr>
        <w:t>highly cost-effective model</w:t>
      </w:r>
      <w:r w:rsidRPr="00306F4D">
        <w:rPr>
          <w:rFonts w:ascii="Arial" w:eastAsia="Arial" w:hAnsi="Arial" w:cs="Arial"/>
          <w:sz w:val="20"/>
          <w:szCs w:val="20"/>
          <w:lang w:val="en-GB"/>
        </w:rPr>
        <w:t xml:space="preserve"> for delivering climate adaptation results through innovation. It combines a competitive, performance-based funding mechanism with efficient use of UNDP’s infrastructure, strategic partnerships, and the collective efficiencies of a regional platform. This structure ensures that the project delivers </w:t>
      </w:r>
      <w:r w:rsidRPr="00306F4D">
        <w:rPr>
          <w:rFonts w:ascii="Arial" w:eastAsia="Arial" w:hAnsi="Arial" w:cs="Arial"/>
          <w:b/>
          <w:sz w:val="20"/>
          <w:szCs w:val="20"/>
          <w:lang w:val="en-GB"/>
        </w:rPr>
        <w:t>maximum value per dollar invested</w:t>
      </w:r>
      <w:r w:rsidRPr="00306F4D">
        <w:rPr>
          <w:rFonts w:ascii="Arial" w:eastAsia="Arial" w:hAnsi="Arial" w:cs="Arial"/>
          <w:sz w:val="20"/>
          <w:szCs w:val="20"/>
          <w:lang w:val="en-GB"/>
        </w:rPr>
        <w:t>, with a strong emphasis on sustainability, scalability, and inclusive impact.</w:t>
      </w:r>
    </w:p>
    <w:p w14:paraId="3A24D7D2" w14:textId="77777777" w:rsidR="00DC4619" w:rsidRPr="00306F4D" w:rsidRDefault="00DC4619" w:rsidP="00DC4619">
      <w:pPr>
        <w:pStyle w:val="Footer"/>
        <w:numPr>
          <w:ilvl w:val="0"/>
          <w:numId w:val="23"/>
        </w:numPr>
        <w:tabs>
          <w:tab w:val="clear" w:pos="720"/>
          <w:tab w:val="clear" w:pos="4680"/>
          <w:tab w:val="clear" w:pos="9360"/>
          <w:tab w:val="num" w:pos="360"/>
        </w:tabs>
        <w:spacing w:line="276" w:lineRule="auto"/>
        <w:ind w:left="360"/>
        <w:rPr>
          <w:rFonts w:ascii="Arial" w:eastAsia="Arial" w:hAnsi="Arial" w:cs="Arial"/>
          <w:color w:val="AEAAAA" w:themeColor="background2" w:themeShade="BF"/>
          <w:lang w:val="en-GB"/>
        </w:rPr>
      </w:pPr>
      <w:r w:rsidRPr="00306F4D">
        <w:rPr>
          <w:rFonts w:ascii="Arial" w:eastAsia="Arial" w:hAnsi="Arial" w:cs="Arial"/>
          <w:color w:val="AEAAAA" w:themeColor="background2" w:themeShade="BF"/>
          <w:lang w:val="en-GB"/>
        </w:rPr>
        <w:t>Describe how the project / programme is consistent with national or sub-national sustainable development strategies, including, where appropriate, national or sub-national development plans, poverty reduction strategies, national communications, or national adaptation programs of action, or other relevant instruments, where they exist. If applicable, please refer to relevant regional plans and strategies where they exist.</w:t>
      </w:r>
    </w:p>
    <w:p w14:paraId="47938048" w14:textId="15FE3A7D" w:rsidR="69DC7380" w:rsidRPr="00306F4D" w:rsidRDefault="7095625F" w:rsidP="58D8FBEF">
      <w:pPr>
        <w:pStyle w:val="Heading2"/>
        <w:spacing w:line="276" w:lineRule="auto"/>
        <w:rPr>
          <w:rFonts w:ascii="Arial" w:eastAsia="Arial" w:hAnsi="Arial" w:cs="Arial"/>
          <w:b/>
          <w:sz w:val="20"/>
          <w:szCs w:val="20"/>
          <w:lang w:val="en-GB"/>
        </w:rPr>
      </w:pPr>
      <w:bookmarkStart w:id="109" w:name="_Toc1646673058"/>
      <w:bookmarkStart w:id="110" w:name="_Toc1947191956"/>
      <w:bookmarkStart w:id="111" w:name="_Toc202165712"/>
      <w:bookmarkStart w:id="112" w:name="_Toc202893743"/>
      <w:r w:rsidRPr="00306F4D">
        <w:rPr>
          <w:rFonts w:ascii="Arial" w:eastAsia="Arial" w:hAnsi="Arial" w:cs="Arial"/>
          <w:sz w:val="20"/>
          <w:szCs w:val="20"/>
          <w:lang w:val="en-GB"/>
        </w:rPr>
        <w:t>Alignment with National, Sub-National and Regional Adaptation and Development Strategies</w:t>
      </w:r>
      <w:bookmarkEnd w:id="109"/>
      <w:bookmarkEnd w:id="110"/>
      <w:bookmarkEnd w:id="111"/>
      <w:bookmarkEnd w:id="112"/>
    </w:p>
    <w:p w14:paraId="173659A7" w14:textId="0B05B75D" w:rsidR="69DC7380" w:rsidRPr="00306F4D" w:rsidRDefault="69DC7380" w:rsidP="4186447D">
      <w:p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 xml:space="preserve">The Regional Project is fully aligned with the national and sub-national sustainable development strategies, climate policies, and adaptation priorities of Bosnia and Herzegovina, Montenegro, North Macedonia, and Serbia. The project is also consistent with the objectives of the </w:t>
      </w:r>
      <w:r w:rsidRPr="00306F4D">
        <w:rPr>
          <w:rFonts w:ascii="Arial" w:eastAsia="Arial" w:hAnsi="Arial" w:cs="Arial"/>
          <w:b/>
          <w:sz w:val="20"/>
          <w:szCs w:val="20"/>
          <w:lang w:val="en-GB"/>
        </w:rPr>
        <w:t>Paris Agreement</w:t>
      </w:r>
      <w:r w:rsidRPr="00306F4D">
        <w:rPr>
          <w:rFonts w:ascii="Arial" w:eastAsia="Arial" w:hAnsi="Arial" w:cs="Arial"/>
          <w:sz w:val="20"/>
          <w:szCs w:val="20"/>
          <w:lang w:val="en-GB"/>
        </w:rPr>
        <w:t xml:space="preserve">, </w:t>
      </w:r>
      <w:r w:rsidRPr="00306F4D">
        <w:rPr>
          <w:rFonts w:ascii="Arial" w:eastAsia="Arial" w:hAnsi="Arial" w:cs="Arial"/>
          <w:b/>
          <w:sz w:val="20"/>
          <w:szCs w:val="20"/>
          <w:lang w:val="en-GB"/>
        </w:rPr>
        <w:t>2030 Agenda for Sustainable Development</w:t>
      </w:r>
      <w:r w:rsidRPr="00306F4D">
        <w:rPr>
          <w:rFonts w:ascii="Arial" w:eastAsia="Arial" w:hAnsi="Arial" w:cs="Arial"/>
          <w:sz w:val="20"/>
          <w:szCs w:val="20"/>
          <w:lang w:val="en-GB"/>
        </w:rPr>
        <w:t xml:space="preserve">, and the respective </w:t>
      </w:r>
      <w:r w:rsidRPr="00306F4D">
        <w:rPr>
          <w:rFonts w:ascii="Arial" w:eastAsia="Arial" w:hAnsi="Arial" w:cs="Arial"/>
          <w:b/>
          <w:sz w:val="20"/>
          <w:szCs w:val="20"/>
          <w:lang w:val="en-GB"/>
        </w:rPr>
        <w:t>Nationally Determined Contributions (NDCs)</w:t>
      </w:r>
      <w:r w:rsidRPr="00306F4D">
        <w:rPr>
          <w:rFonts w:ascii="Arial" w:eastAsia="Arial" w:hAnsi="Arial" w:cs="Arial"/>
          <w:sz w:val="20"/>
          <w:szCs w:val="20"/>
          <w:lang w:val="en-GB"/>
        </w:rPr>
        <w:t xml:space="preserve"> of the participating countries. At the regional level, the project complements efforts to promote stability, resilience, and climate-smart development in Southeast Europe.</w:t>
      </w:r>
    </w:p>
    <w:p w14:paraId="682DBEC8" w14:textId="7B18D81F" w:rsidR="69DC7380" w:rsidRPr="00306F4D" w:rsidRDefault="7095625F" w:rsidP="4186447D">
      <w:pPr>
        <w:pStyle w:val="Heading3"/>
        <w:spacing w:line="276" w:lineRule="auto"/>
        <w:jc w:val="both"/>
        <w:rPr>
          <w:rFonts w:ascii="Arial" w:eastAsia="Arial" w:hAnsi="Arial" w:cs="Arial"/>
          <w:b/>
          <w:sz w:val="20"/>
          <w:szCs w:val="20"/>
          <w:lang w:val="en-GB"/>
        </w:rPr>
      </w:pPr>
      <w:bookmarkStart w:id="113" w:name="_Toc1834537497"/>
      <w:bookmarkStart w:id="114" w:name="_Toc1216308889"/>
      <w:r w:rsidRPr="00306F4D">
        <w:rPr>
          <w:rFonts w:ascii="Arial" w:eastAsia="Arial" w:hAnsi="Arial" w:cs="Arial"/>
          <w:sz w:val="20"/>
          <w:szCs w:val="20"/>
          <w:lang w:val="en-GB"/>
        </w:rPr>
        <w:t>Alignment with National Adaptation Plans (NAPs)</w:t>
      </w:r>
      <w:bookmarkEnd w:id="113"/>
      <w:bookmarkEnd w:id="114"/>
    </w:p>
    <w:p w14:paraId="0632DF9D" w14:textId="1107FE7C" w:rsidR="69DC7380" w:rsidRPr="00306F4D" w:rsidRDefault="69DC7380" w:rsidP="4186447D">
      <w:p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 xml:space="preserve">All four participating countries are actively engaged in advancing their National Adaptation Plans (NAPs) with support from the Green Climate Fund (GCF) and UNDP. This project is designed to </w:t>
      </w:r>
      <w:r w:rsidRPr="00306F4D">
        <w:rPr>
          <w:rFonts w:ascii="Arial" w:eastAsia="Arial" w:hAnsi="Arial" w:cs="Arial"/>
          <w:b/>
          <w:sz w:val="20"/>
          <w:szCs w:val="20"/>
          <w:lang w:val="en-GB"/>
        </w:rPr>
        <w:t>complement, accelerate, and amplify</w:t>
      </w:r>
      <w:r w:rsidRPr="00306F4D">
        <w:rPr>
          <w:rFonts w:ascii="Arial" w:eastAsia="Arial" w:hAnsi="Arial" w:cs="Arial"/>
          <w:sz w:val="20"/>
          <w:szCs w:val="20"/>
          <w:lang w:val="en-GB"/>
        </w:rPr>
        <w:t xml:space="preserve"> these national processes by </w:t>
      </w:r>
      <w:r w:rsidR="0D3DBAC7" w:rsidRPr="00306F4D">
        <w:rPr>
          <w:rFonts w:ascii="Arial" w:eastAsia="Arial" w:hAnsi="Arial" w:cs="Arial"/>
          <w:sz w:val="20"/>
          <w:szCs w:val="20"/>
          <w:lang w:val="en-GB"/>
        </w:rPr>
        <w:t>catalysing</w:t>
      </w:r>
      <w:r w:rsidRPr="00306F4D">
        <w:rPr>
          <w:rFonts w:ascii="Arial" w:eastAsia="Arial" w:hAnsi="Arial" w:cs="Arial"/>
          <w:sz w:val="20"/>
          <w:szCs w:val="20"/>
          <w:lang w:val="en-GB"/>
        </w:rPr>
        <w:t xml:space="preserve"> local adaptation innovations that address the priority sectors and vulnerable populations identified in each NAP.</w:t>
      </w:r>
    </w:p>
    <w:p w14:paraId="6B0DFE84" w14:textId="601DD425" w:rsidR="69DC7380" w:rsidRPr="00306F4D" w:rsidRDefault="69DC7380" w:rsidP="4186447D">
      <w:pPr>
        <w:pStyle w:val="ListParagraph"/>
        <w:numPr>
          <w:ilvl w:val="0"/>
          <w:numId w:val="31"/>
        </w:numPr>
        <w:spacing w:before="240" w:after="240" w:line="276" w:lineRule="auto"/>
        <w:jc w:val="both"/>
        <w:rPr>
          <w:rFonts w:ascii="Arial" w:eastAsia="Arial" w:hAnsi="Arial" w:cs="Arial"/>
          <w:sz w:val="20"/>
          <w:szCs w:val="20"/>
          <w:lang w:val="en-GB"/>
        </w:rPr>
      </w:pPr>
      <w:r w:rsidRPr="00306F4D">
        <w:rPr>
          <w:rFonts w:ascii="Arial" w:eastAsia="Arial" w:hAnsi="Arial" w:cs="Arial"/>
          <w:b/>
          <w:sz w:val="20"/>
          <w:szCs w:val="20"/>
          <w:lang w:val="en-GB"/>
        </w:rPr>
        <w:t>Bosnia and Herzegovina</w:t>
      </w:r>
      <w:r w:rsidRPr="00306F4D">
        <w:rPr>
          <w:rFonts w:ascii="Arial" w:eastAsia="Arial" w:hAnsi="Arial" w:cs="Arial"/>
          <w:sz w:val="20"/>
          <w:szCs w:val="20"/>
          <w:lang w:val="en-GB"/>
        </w:rPr>
        <w:t xml:space="preserve"> finalized its NAP in December 2022, identifying agriculture, water resources, biodiversity and forestry, health, and tourism as key priority sectors. The project directly supports Bosnia’s emphasis on nature-based solutions, early warning systems, resilient agriculture, and community-level capacity building.</w:t>
      </w:r>
    </w:p>
    <w:p w14:paraId="6AF08CA6" w14:textId="7A09219F" w:rsidR="69DC7380" w:rsidRPr="00306F4D" w:rsidRDefault="69DC7380" w:rsidP="4186447D">
      <w:pPr>
        <w:pStyle w:val="ListParagraph"/>
        <w:numPr>
          <w:ilvl w:val="0"/>
          <w:numId w:val="31"/>
        </w:numPr>
        <w:spacing w:before="240" w:after="240" w:line="276" w:lineRule="auto"/>
        <w:jc w:val="both"/>
        <w:rPr>
          <w:rFonts w:ascii="Arial" w:eastAsia="Arial" w:hAnsi="Arial" w:cs="Arial"/>
          <w:sz w:val="20"/>
          <w:szCs w:val="20"/>
          <w:lang w:val="en-GB"/>
        </w:rPr>
      </w:pPr>
      <w:r w:rsidRPr="00306F4D">
        <w:rPr>
          <w:rFonts w:ascii="Arial" w:eastAsia="Arial" w:hAnsi="Arial" w:cs="Arial"/>
          <w:b/>
          <w:sz w:val="20"/>
          <w:szCs w:val="20"/>
          <w:lang w:val="en-GB"/>
        </w:rPr>
        <w:t>Montenegro</w:t>
      </w:r>
      <w:r w:rsidRPr="00306F4D">
        <w:rPr>
          <w:rFonts w:ascii="Arial" w:eastAsia="Arial" w:hAnsi="Arial" w:cs="Arial"/>
          <w:sz w:val="20"/>
          <w:szCs w:val="20"/>
          <w:lang w:val="en-GB"/>
        </w:rPr>
        <w:t xml:space="preserve"> is finalizing its NAP</w:t>
      </w:r>
      <w:r w:rsidR="00A0203C" w:rsidRPr="00306F4D">
        <w:rPr>
          <w:rFonts w:ascii="Arial" w:eastAsia="Arial" w:hAnsi="Arial" w:cs="Arial"/>
          <w:sz w:val="20"/>
          <w:szCs w:val="20"/>
          <w:lang w:val="en-GB"/>
        </w:rPr>
        <w:t xml:space="preserve"> with UNDP support</w:t>
      </w:r>
      <w:r w:rsidRPr="00306F4D">
        <w:rPr>
          <w:rFonts w:ascii="Arial" w:eastAsia="Arial" w:hAnsi="Arial" w:cs="Arial"/>
          <w:sz w:val="20"/>
          <w:szCs w:val="20"/>
          <w:lang w:val="en-GB"/>
        </w:rPr>
        <w:t>, with a focus on agriculture, water, health, and tourism. The project aligns with Montenegro’s efforts to integrate adaptation into national planning systems and strengthen institutional capacities for evidence-based, gender-sensitive adaptation decision-making.</w:t>
      </w:r>
      <w:r w:rsidR="007668CF" w:rsidRPr="00306F4D">
        <w:rPr>
          <w:rFonts w:ascii="Arial" w:eastAsia="Arial" w:hAnsi="Arial" w:cs="Arial"/>
          <w:sz w:val="20"/>
          <w:szCs w:val="20"/>
          <w:lang w:val="en-GB"/>
        </w:rPr>
        <w:t xml:space="preserve"> </w:t>
      </w:r>
    </w:p>
    <w:p w14:paraId="644F04EB" w14:textId="5A8FC85C" w:rsidR="69DC7380" w:rsidRPr="00306F4D" w:rsidRDefault="69DC7380" w:rsidP="4186447D">
      <w:pPr>
        <w:pStyle w:val="ListParagraph"/>
        <w:numPr>
          <w:ilvl w:val="0"/>
          <w:numId w:val="31"/>
        </w:numPr>
        <w:spacing w:before="240" w:after="240" w:line="276" w:lineRule="auto"/>
        <w:jc w:val="both"/>
        <w:rPr>
          <w:rFonts w:ascii="Arial" w:eastAsia="Arial" w:hAnsi="Arial" w:cs="Arial"/>
          <w:sz w:val="20"/>
          <w:szCs w:val="20"/>
          <w:lang w:val="en-GB"/>
        </w:rPr>
      </w:pPr>
      <w:r w:rsidRPr="00306F4D">
        <w:rPr>
          <w:rFonts w:ascii="Arial" w:eastAsia="Arial" w:hAnsi="Arial" w:cs="Arial"/>
          <w:b/>
          <w:sz w:val="20"/>
          <w:szCs w:val="20"/>
          <w:lang w:val="en-GB"/>
        </w:rPr>
        <w:t>North Macedonia</w:t>
      </w:r>
      <w:r w:rsidRPr="00306F4D">
        <w:rPr>
          <w:rFonts w:ascii="Arial" w:eastAsia="Arial" w:hAnsi="Arial" w:cs="Arial"/>
          <w:sz w:val="20"/>
          <w:szCs w:val="20"/>
          <w:lang w:val="en-GB"/>
        </w:rPr>
        <w:t xml:space="preserve"> initiated its GCF-funded NAP process in 2024, prioritizing adaptation in water, agriculture, energy, health, biodiversity, forestry, and cultural heritage, with a nexus approach and cross-sectoral planning. The project’s multi-sectoral, </w:t>
      </w:r>
      <w:proofErr w:type="gramStart"/>
      <w:r w:rsidRPr="00306F4D">
        <w:rPr>
          <w:rFonts w:ascii="Arial" w:eastAsia="Arial" w:hAnsi="Arial" w:cs="Arial"/>
          <w:sz w:val="20"/>
          <w:szCs w:val="20"/>
          <w:lang w:val="en-GB"/>
        </w:rPr>
        <w:t>locally-led</w:t>
      </w:r>
      <w:proofErr w:type="gramEnd"/>
      <w:r w:rsidRPr="00306F4D">
        <w:rPr>
          <w:rFonts w:ascii="Arial" w:eastAsia="Arial" w:hAnsi="Arial" w:cs="Arial"/>
          <w:sz w:val="20"/>
          <w:szCs w:val="20"/>
          <w:lang w:val="en-GB"/>
        </w:rPr>
        <w:t xml:space="preserve"> innovation approach is highly complementary to North Macedonia’s integrated planning objectives.</w:t>
      </w:r>
    </w:p>
    <w:p w14:paraId="602C1608" w14:textId="79544BBE" w:rsidR="69DC7380" w:rsidRPr="00306F4D" w:rsidRDefault="00666CB7" w:rsidP="4186447D">
      <w:pPr>
        <w:pStyle w:val="ListParagraph"/>
        <w:numPr>
          <w:ilvl w:val="0"/>
          <w:numId w:val="31"/>
        </w:numPr>
        <w:spacing w:before="240" w:after="240" w:line="276" w:lineRule="auto"/>
        <w:jc w:val="both"/>
        <w:rPr>
          <w:rFonts w:ascii="Arial" w:eastAsia="Arial" w:hAnsi="Arial" w:cs="Arial"/>
          <w:sz w:val="20"/>
          <w:szCs w:val="20"/>
          <w:lang w:val="en-GB"/>
        </w:rPr>
      </w:pPr>
      <w:r w:rsidRPr="00306F4D">
        <w:rPr>
          <w:rFonts w:ascii="Arial" w:eastAsia="Arial" w:hAnsi="Arial" w:cs="Arial"/>
          <w:b/>
          <w:sz w:val="20"/>
          <w:szCs w:val="20"/>
          <w:lang w:val="en-GB"/>
        </w:rPr>
        <w:lastRenderedPageBreak/>
        <w:t>Serbia</w:t>
      </w:r>
      <w:r w:rsidRPr="00306F4D">
        <w:rPr>
          <w:rFonts w:ascii="Arial" w:eastAsia="Arial" w:hAnsi="Arial" w:cs="Arial"/>
          <w:sz w:val="20"/>
          <w:szCs w:val="20"/>
          <w:lang w:val="en-GB"/>
        </w:rPr>
        <w:t xml:space="preserve"> </w:t>
      </w:r>
      <w:r w:rsidR="551D12E3" w:rsidRPr="00306F4D">
        <w:rPr>
          <w:rFonts w:ascii="Arial" w:eastAsia="Arial" w:hAnsi="Arial" w:cs="Arial"/>
          <w:sz w:val="20"/>
          <w:szCs w:val="20"/>
          <w:lang w:val="en-GB"/>
        </w:rPr>
        <w:t xml:space="preserve">officially adopted NAP in December 2023 by Government’s </w:t>
      </w:r>
      <w:proofErr w:type="gramStart"/>
      <w:r w:rsidR="551D12E3" w:rsidRPr="00306F4D">
        <w:rPr>
          <w:rFonts w:ascii="Arial" w:eastAsia="Arial" w:hAnsi="Arial" w:cs="Arial"/>
          <w:sz w:val="20"/>
          <w:szCs w:val="20"/>
          <w:lang w:val="en-GB"/>
        </w:rPr>
        <w:t>decision, and</w:t>
      </w:r>
      <w:proofErr w:type="gramEnd"/>
      <w:r w:rsidR="551D12E3" w:rsidRPr="00306F4D">
        <w:rPr>
          <w:rFonts w:ascii="Arial" w:eastAsia="Arial" w:hAnsi="Arial" w:cs="Arial"/>
          <w:sz w:val="20"/>
          <w:szCs w:val="20"/>
          <w:lang w:val="en-GB"/>
        </w:rPr>
        <w:t xml:space="preserve"> </w:t>
      </w:r>
      <w:r w:rsidRPr="00306F4D">
        <w:rPr>
          <w:rFonts w:ascii="Arial" w:eastAsia="Arial" w:hAnsi="Arial" w:cs="Arial"/>
          <w:sz w:val="20"/>
          <w:szCs w:val="20"/>
          <w:lang w:val="en-GB"/>
        </w:rPr>
        <w:t>submitted its NAP</w:t>
      </w:r>
      <w:r w:rsidR="3D5AB689" w:rsidRPr="00306F4D">
        <w:rPr>
          <w:rFonts w:ascii="Arial" w:eastAsia="Arial" w:hAnsi="Arial" w:cs="Arial"/>
          <w:sz w:val="20"/>
          <w:szCs w:val="20"/>
          <w:lang w:val="en-GB"/>
        </w:rPr>
        <w:t xml:space="preserve"> to UNFCCC</w:t>
      </w:r>
      <w:r w:rsidRPr="00306F4D">
        <w:rPr>
          <w:rFonts w:ascii="Arial" w:eastAsia="Arial" w:hAnsi="Arial" w:cs="Arial"/>
          <w:sz w:val="20"/>
          <w:szCs w:val="20"/>
          <w:lang w:val="en-GB"/>
        </w:rPr>
        <w:t xml:space="preserve"> in July 2024. It outlines cross-sectoral adaptation measures including in agriculture, energy, infrastructure, health, biodiversity, and urban planning. The project supports Serbia’s priorities by targeting community-level innovation in these sectors and promoting scalable adaptation practices aligned with Serbia’s institutional frameworks.</w:t>
      </w:r>
    </w:p>
    <w:p w14:paraId="5C44CD25" w14:textId="3F2A3CA5" w:rsidR="00971C63" w:rsidRPr="00306F4D" w:rsidRDefault="69DC7380" w:rsidP="4186447D">
      <w:p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 xml:space="preserve">In all four countries, the project will engage closely with ministries and institutions responsible for adaptation planning, contributing to the </w:t>
      </w:r>
      <w:r w:rsidRPr="00306F4D">
        <w:rPr>
          <w:rFonts w:ascii="Arial" w:eastAsia="Arial" w:hAnsi="Arial" w:cs="Arial"/>
          <w:b/>
          <w:sz w:val="20"/>
          <w:szCs w:val="20"/>
          <w:lang w:val="en-GB"/>
        </w:rPr>
        <w:t>mainstreaming of climate resilience into sectoral development policies and budgets</w:t>
      </w:r>
      <w:r w:rsidRPr="00306F4D">
        <w:rPr>
          <w:rFonts w:ascii="Arial" w:eastAsia="Arial" w:hAnsi="Arial" w:cs="Arial"/>
          <w:sz w:val="20"/>
          <w:szCs w:val="20"/>
          <w:lang w:val="en-GB"/>
        </w:rPr>
        <w:t>.</w:t>
      </w:r>
    </w:p>
    <w:p w14:paraId="2B7235E3" w14:textId="64C23C53" w:rsidR="69DC7380" w:rsidRPr="00306F4D" w:rsidRDefault="7095625F" w:rsidP="4186447D">
      <w:pPr>
        <w:pStyle w:val="Heading3"/>
        <w:spacing w:line="276" w:lineRule="auto"/>
        <w:jc w:val="both"/>
        <w:rPr>
          <w:rFonts w:ascii="Arial" w:eastAsia="Arial" w:hAnsi="Arial" w:cs="Arial"/>
          <w:b/>
          <w:sz w:val="20"/>
          <w:szCs w:val="20"/>
          <w:lang w:val="en-GB"/>
        </w:rPr>
      </w:pPr>
      <w:bookmarkStart w:id="115" w:name="_Toc1553908552"/>
      <w:bookmarkStart w:id="116" w:name="_Toc81890012"/>
      <w:r w:rsidRPr="00306F4D">
        <w:rPr>
          <w:rFonts w:ascii="Arial" w:eastAsia="Arial" w:hAnsi="Arial" w:cs="Arial"/>
          <w:sz w:val="20"/>
          <w:szCs w:val="20"/>
          <w:lang w:val="en-GB"/>
        </w:rPr>
        <w:t>Alignment with SDGs, NDCs, and Other National Strategies</w:t>
      </w:r>
      <w:bookmarkEnd w:id="115"/>
      <w:bookmarkEnd w:id="116"/>
    </w:p>
    <w:p w14:paraId="45E514DC" w14:textId="5B3D87E8" w:rsidR="69DC7380" w:rsidRPr="00306F4D" w:rsidRDefault="69DC7380" w:rsidP="4186447D">
      <w:p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At the national level, the project also supports implementation of:</w:t>
      </w:r>
    </w:p>
    <w:p w14:paraId="580ABA4A" w14:textId="5D94B70D" w:rsidR="69DC7380" w:rsidRPr="00306F4D" w:rsidRDefault="69DC7380" w:rsidP="4186447D">
      <w:pPr>
        <w:pStyle w:val="ListParagraph"/>
        <w:numPr>
          <w:ilvl w:val="0"/>
          <w:numId w:val="30"/>
        </w:numPr>
        <w:spacing w:before="240" w:after="240" w:line="276" w:lineRule="auto"/>
        <w:jc w:val="both"/>
        <w:rPr>
          <w:rFonts w:ascii="Arial" w:eastAsia="Arial" w:hAnsi="Arial" w:cs="Arial"/>
          <w:sz w:val="20"/>
          <w:szCs w:val="20"/>
          <w:lang w:val="en-GB"/>
        </w:rPr>
      </w:pPr>
      <w:r w:rsidRPr="00306F4D">
        <w:rPr>
          <w:rFonts w:ascii="Arial" w:eastAsia="Arial" w:hAnsi="Arial" w:cs="Arial"/>
          <w:b/>
          <w:sz w:val="20"/>
          <w:szCs w:val="20"/>
          <w:lang w:val="en-GB"/>
        </w:rPr>
        <w:t>NDC commitments</w:t>
      </w:r>
      <w:r w:rsidRPr="00306F4D">
        <w:rPr>
          <w:rFonts w:ascii="Arial" w:eastAsia="Arial" w:hAnsi="Arial" w:cs="Arial"/>
          <w:sz w:val="20"/>
          <w:szCs w:val="20"/>
          <w:lang w:val="en-GB"/>
        </w:rPr>
        <w:t xml:space="preserve">, especially in adaptation-relevant sectors such as agriculture, water, ecosystems, health, and </w:t>
      </w:r>
      <w:proofErr w:type="gramStart"/>
      <w:r w:rsidRPr="00306F4D">
        <w:rPr>
          <w:rFonts w:ascii="Arial" w:eastAsia="Arial" w:hAnsi="Arial" w:cs="Arial"/>
          <w:sz w:val="20"/>
          <w:szCs w:val="20"/>
          <w:lang w:val="en-GB"/>
        </w:rPr>
        <w:t>infrastructure;</w:t>
      </w:r>
      <w:proofErr w:type="gramEnd"/>
    </w:p>
    <w:p w14:paraId="5A21EE5C" w14:textId="2BE5FDD8" w:rsidR="69DC7380" w:rsidRPr="00306F4D" w:rsidRDefault="69DC7380" w:rsidP="4186447D">
      <w:pPr>
        <w:pStyle w:val="ListParagraph"/>
        <w:numPr>
          <w:ilvl w:val="0"/>
          <w:numId w:val="30"/>
        </w:numPr>
        <w:spacing w:before="240" w:after="240" w:line="276" w:lineRule="auto"/>
        <w:jc w:val="both"/>
        <w:rPr>
          <w:rFonts w:ascii="Arial" w:eastAsia="Arial" w:hAnsi="Arial" w:cs="Arial"/>
          <w:sz w:val="20"/>
          <w:szCs w:val="20"/>
          <w:lang w:val="en-GB"/>
        </w:rPr>
      </w:pPr>
      <w:r w:rsidRPr="00306F4D">
        <w:rPr>
          <w:rFonts w:ascii="Arial" w:eastAsia="Arial" w:hAnsi="Arial" w:cs="Arial"/>
          <w:b/>
          <w:sz w:val="20"/>
          <w:szCs w:val="20"/>
          <w:lang w:val="en-GB"/>
        </w:rPr>
        <w:t>National sustainable development strategies</w:t>
      </w:r>
      <w:r w:rsidRPr="00306F4D">
        <w:rPr>
          <w:rFonts w:ascii="Arial" w:eastAsia="Arial" w:hAnsi="Arial" w:cs="Arial"/>
          <w:sz w:val="20"/>
          <w:szCs w:val="20"/>
          <w:lang w:val="en-GB"/>
        </w:rPr>
        <w:t xml:space="preserve"> that promote resilience, economic inclusion, and green </w:t>
      </w:r>
      <w:proofErr w:type="gramStart"/>
      <w:r w:rsidRPr="00306F4D">
        <w:rPr>
          <w:rFonts w:ascii="Arial" w:eastAsia="Arial" w:hAnsi="Arial" w:cs="Arial"/>
          <w:sz w:val="20"/>
          <w:szCs w:val="20"/>
          <w:lang w:val="en-GB"/>
        </w:rPr>
        <w:t>growth;</w:t>
      </w:r>
      <w:proofErr w:type="gramEnd"/>
    </w:p>
    <w:p w14:paraId="51EAA291" w14:textId="3A40AA2F" w:rsidR="69DC7380" w:rsidRPr="00306F4D" w:rsidRDefault="69DC7380" w:rsidP="4186447D">
      <w:pPr>
        <w:pStyle w:val="ListParagraph"/>
        <w:numPr>
          <w:ilvl w:val="0"/>
          <w:numId w:val="30"/>
        </w:numPr>
        <w:spacing w:before="240" w:after="240" w:line="276" w:lineRule="auto"/>
        <w:jc w:val="both"/>
        <w:rPr>
          <w:rFonts w:ascii="Arial" w:eastAsia="Arial" w:hAnsi="Arial" w:cs="Arial"/>
          <w:sz w:val="20"/>
          <w:szCs w:val="20"/>
          <w:lang w:val="en-GB"/>
        </w:rPr>
      </w:pPr>
      <w:r w:rsidRPr="00306F4D">
        <w:rPr>
          <w:rFonts w:ascii="Arial" w:eastAsia="Arial" w:hAnsi="Arial" w:cs="Arial"/>
          <w:b/>
          <w:sz w:val="20"/>
          <w:szCs w:val="20"/>
          <w:lang w:val="en-GB"/>
        </w:rPr>
        <w:t>Poverty reduction strategies</w:t>
      </w:r>
      <w:r w:rsidRPr="00306F4D">
        <w:rPr>
          <w:rFonts w:ascii="Arial" w:eastAsia="Arial" w:hAnsi="Arial" w:cs="Arial"/>
          <w:sz w:val="20"/>
          <w:szCs w:val="20"/>
          <w:lang w:val="en-GB"/>
        </w:rPr>
        <w:t xml:space="preserve"> by targeting the most vulnerable populations, including women, rural communities, and marginalized groups.</w:t>
      </w:r>
    </w:p>
    <w:p w14:paraId="3846584C" w14:textId="295A621B" w:rsidR="69DC7380" w:rsidRPr="00306F4D" w:rsidRDefault="69DC7380" w:rsidP="4186447D">
      <w:p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 xml:space="preserve">Each grant proposal submitted under the project will be required to </w:t>
      </w:r>
      <w:r w:rsidRPr="00306F4D">
        <w:rPr>
          <w:rFonts w:ascii="Arial" w:eastAsia="Arial" w:hAnsi="Arial" w:cs="Arial"/>
          <w:b/>
          <w:sz w:val="20"/>
          <w:szCs w:val="20"/>
          <w:lang w:val="en-GB"/>
        </w:rPr>
        <w:t>demonstrate alignment with national and sub-national policies</w:t>
      </w:r>
      <w:r w:rsidRPr="00306F4D">
        <w:rPr>
          <w:rFonts w:ascii="Arial" w:eastAsia="Arial" w:hAnsi="Arial" w:cs="Arial"/>
          <w:sz w:val="20"/>
          <w:szCs w:val="20"/>
          <w:lang w:val="en-GB"/>
        </w:rPr>
        <w:t>. This includes explaining how the innovation contributes to:</w:t>
      </w:r>
    </w:p>
    <w:p w14:paraId="1165CC65" w14:textId="1262F084" w:rsidR="69DC7380" w:rsidRPr="00306F4D" w:rsidRDefault="69DC7380" w:rsidP="4186447D">
      <w:pPr>
        <w:pStyle w:val="ListParagraph"/>
        <w:numPr>
          <w:ilvl w:val="0"/>
          <w:numId w:val="29"/>
        </w:num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 xml:space="preserve">SDG 2: Zero </w:t>
      </w:r>
      <w:proofErr w:type="gramStart"/>
      <w:r w:rsidRPr="00306F4D">
        <w:rPr>
          <w:rFonts w:ascii="Arial" w:eastAsia="Arial" w:hAnsi="Arial" w:cs="Arial"/>
          <w:sz w:val="20"/>
          <w:szCs w:val="20"/>
          <w:lang w:val="en-GB"/>
        </w:rPr>
        <w:t>Hunger;</w:t>
      </w:r>
      <w:proofErr w:type="gramEnd"/>
    </w:p>
    <w:p w14:paraId="27D4379B" w14:textId="3713CD5A" w:rsidR="69DC7380" w:rsidRPr="00306F4D" w:rsidRDefault="69DC7380" w:rsidP="4186447D">
      <w:pPr>
        <w:pStyle w:val="ListParagraph"/>
        <w:numPr>
          <w:ilvl w:val="0"/>
          <w:numId w:val="29"/>
        </w:num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 xml:space="preserve">SDG 5: Gender </w:t>
      </w:r>
      <w:proofErr w:type="gramStart"/>
      <w:r w:rsidRPr="00306F4D">
        <w:rPr>
          <w:rFonts w:ascii="Arial" w:eastAsia="Arial" w:hAnsi="Arial" w:cs="Arial"/>
          <w:sz w:val="20"/>
          <w:szCs w:val="20"/>
          <w:lang w:val="en-GB"/>
        </w:rPr>
        <w:t>Equality;</w:t>
      </w:r>
      <w:proofErr w:type="gramEnd"/>
    </w:p>
    <w:p w14:paraId="79D1A6DF" w14:textId="38B8B2F7" w:rsidR="69DC7380" w:rsidRPr="00306F4D" w:rsidRDefault="69DC7380" w:rsidP="4186447D">
      <w:pPr>
        <w:pStyle w:val="ListParagraph"/>
        <w:numPr>
          <w:ilvl w:val="0"/>
          <w:numId w:val="29"/>
        </w:num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 xml:space="preserve">SDG 6: Clean Water and </w:t>
      </w:r>
      <w:proofErr w:type="gramStart"/>
      <w:r w:rsidRPr="00306F4D">
        <w:rPr>
          <w:rFonts w:ascii="Arial" w:eastAsia="Arial" w:hAnsi="Arial" w:cs="Arial"/>
          <w:sz w:val="20"/>
          <w:szCs w:val="20"/>
          <w:lang w:val="en-GB"/>
        </w:rPr>
        <w:t>Sanitation;</w:t>
      </w:r>
      <w:proofErr w:type="gramEnd"/>
    </w:p>
    <w:p w14:paraId="31CF8F5A" w14:textId="2BDE52CB" w:rsidR="69DC7380" w:rsidRPr="00306F4D" w:rsidRDefault="69DC7380" w:rsidP="4186447D">
      <w:pPr>
        <w:pStyle w:val="ListParagraph"/>
        <w:numPr>
          <w:ilvl w:val="0"/>
          <w:numId w:val="29"/>
        </w:num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 xml:space="preserve">SDG 13: Climate </w:t>
      </w:r>
      <w:proofErr w:type="gramStart"/>
      <w:r w:rsidRPr="00306F4D">
        <w:rPr>
          <w:rFonts w:ascii="Arial" w:eastAsia="Arial" w:hAnsi="Arial" w:cs="Arial"/>
          <w:sz w:val="20"/>
          <w:szCs w:val="20"/>
          <w:lang w:val="en-GB"/>
        </w:rPr>
        <w:t>Action;</w:t>
      </w:r>
      <w:proofErr w:type="gramEnd"/>
    </w:p>
    <w:p w14:paraId="4F7E76F9" w14:textId="3824CD23" w:rsidR="69DC7380" w:rsidRPr="00306F4D" w:rsidRDefault="69DC7380" w:rsidP="4186447D">
      <w:pPr>
        <w:pStyle w:val="ListParagraph"/>
        <w:numPr>
          <w:ilvl w:val="0"/>
          <w:numId w:val="29"/>
        </w:numPr>
        <w:spacing w:before="240" w:after="240" w:line="276" w:lineRule="auto"/>
        <w:jc w:val="both"/>
        <w:rPr>
          <w:rFonts w:ascii="Arial" w:eastAsia="Arial" w:hAnsi="Arial" w:cs="Arial"/>
          <w:color w:val="000000" w:themeColor="text1"/>
          <w:lang w:val="en-GB"/>
        </w:rPr>
      </w:pPr>
      <w:r w:rsidRPr="00306F4D">
        <w:rPr>
          <w:rFonts w:ascii="Arial" w:eastAsia="Arial" w:hAnsi="Arial" w:cs="Arial"/>
          <w:sz w:val="20"/>
          <w:szCs w:val="20"/>
          <w:lang w:val="en-GB"/>
        </w:rPr>
        <w:t>and other context-specific SDGs and national development objectives.</w:t>
      </w:r>
    </w:p>
    <w:p w14:paraId="7C14D988" w14:textId="1AF2577E" w:rsidR="69DC7380" w:rsidRPr="00306F4D" w:rsidRDefault="69DC7380" w:rsidP="4186447D">
      <w:p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 xml:space="preserve">This alignment will be part of the </w:t>
      </w:r>
      <w:r w:rsidRPr="00306F4D">
        <w:rPr>
          <w:rFonts w:ascii="Arial" w:eastAsia="Arial" w:hAnsi="Arial" w:cs="Arial"/>
          <w:b/>
          <w:sz w:val="20"/>
          <w:szCs w:val="20"/>
          <w:lang w:val="en-GB"/>
        </w:rPr>
        <w:t>screening and selection criteria</w:t>
      </w:r>
      <w:r w:rsidRPr="00306F4D">
        <w:rPr>
          <w:rFonts w:ascii="Arial" w:eastAsia="Arial" w:hAnsi="Arial" w:cs="Arial"/>
          <w:sz w:val="20"/>
          <w:szCs w:val="20"/>
          <w:lang w:val="en-GB"/>
        </w:rPr>
        <w:t>, ensuring coherence between project-supported activities and national adaptation and development priorities.</w:t>
      </w:r>
    </w:p>
    <w:p w14:paraId="317F91D4" w14:textId="213AA05F" w:rsidR="69DC7380" w:rsidRPr="00306F4D" w:rsidRDefault="332C63A9" w:rsidP="00F252F6">
      <w:pPr>
        <w:pStyle w:val="Heading3"/>
        <w:spacing w:line="276" w:lineRule="auto"/>
        <w:jc w:val="both"/>
        <w:rPr>
          <w:rFonts w:ascii="Arial" w:hAnsi="Arial" w:cs="Arial"/>
          <w:sz w:val="20"/>
          <w:szCs w:val="20"/>
          <w:lang w:val="en-GB"/>
        </w:rPr>
      </w:pPr>
      <w:r w:rsidRPr="00306F4D">
        <w:rPr>
          <w:rFonts w:ascii="Arial" w:eastAsia="Arial" w:hAnsi="Arial" w:cs="Arial"/>
          <w:sz w:val="20"/>
          <w:szCs w:val="20"/>
          <w:lang w:val="en-GB"/>
        </w:rPr>
        <w:t>Alignment with Technology Needs Assessments (TNAs) and Technology Action Plans (TAPs)</w:t>
      </w:r>
    </w:p>
    <w:p w14:paraId="357EF03F" w14:textId="62791901" w:rsidR="69DC7380" w:rsidRPr="00306F4D" w:rsidRDefault="69DC7380" w:rsidP="00AA4ACB">
      <w:pPr>
        <w:rPr>
          <w:rFonts w:ascii="Arial" w:hAnsi="Arial" w:cs="Arial"/>
          <w:sz w:val="20"/>
          <w:szCs w:val="20"/>
          <w:lang w:val="en-GB"/>
        </w:rPr>
      </w:pPr>
    </w:p>
    <w:p w14:paraId="57BF56BC" w14:textId="3D161613" w:rsidR="69DC7380" w:rsidRPr="00306F4D" w:rsidRDefault="332C63A9" w:rsidP="54720B1D">
      <w:pPr>
        <w:spacing w:line="276" w:lineRule="auto"/>
        <w:jc w:val="both"/>
        <w:rPr>
          <w:rFonts w:ascii="Arial" w:eastAsia="Arial" w:hAnsi="Arial" w:cs="Arial"/>
          <w:color w:val="000000" w:themeColor="text1"/>
          <w:sz w:val="20"/>
          <w:szCs w:val="20"/>
          <w:lang w:val="en-GB"/>
        </w:rPr>
      </w:pPr>
      <w:r w:rsidRPr="00306F4D">
        <w:rPr>
          <w:rFonts w:ascii="Arial" w:eastAsia="Arial" w:hAnsi="Arial" w:cs="Arial"/>
          <w:color w:val="000000" w:themeColor="text1"/>
          <w:sz w:val="20"/>
          <w:szCs w:val="20"/>
          <w:lang w:val="en-GB"/>
        </w:rPr>
        <w:t xml:space="preserve">In addition to alignment with NAPs and NDCs, the project will also </w:t>
      </w:r>
      <w:proofErr w:type="gramStart"/>
      <w:r w:rsidRPr="00306F4D">
        <w:rPr>
          <w:rFonts w:ascii="Arial" w:eastAsia="Arial" w:hAnsi="Arial" w:cs="Arial"/>
          <w:color w:val="000000" w:themeColor="text1"/>
          <w:sz w:val="20"/>
          <w:szCs w:val="20"/>
          <w:lang w:val="en-GB"/>
        </w:rPr>
        <w:t>take into account</w:t>
      </w:r>
      <w:proofErr w:type="gramEnd"/>
      <w:r w:rsidRPr="00306F4D">
        <w:rPr>
          <w:rFonts w:ascii="Arial" w:eastAsia="Arial" w:hAnsi="Arial" w:cs="Arial"/>
          <w:color w:val="000000" w:themeColor="text1"/>
          <w:sz w:val="20"/>
          <w:szCs w:val="20"/>
          <w:lang w:val="en-GB"/>
        </w:rPr>
        <w:t xml:space="preserve"> the Technology Needs Assessments (TNAs) and Technology Action Plans (TAPs) where available in the participating countries</w:t>
      </w:r>
      <w:r w:rsidR="0055395E" w:rsidRPr="00306F4D">
        <w:rPr>
          <w:rFonts w:ascii="Arial" w:eastAsia="Arial" w:hAnsi="Arial" w:cs="Arial"/>
          <w:color w:val="000000" w:themeColor="text1"/>
          <w:sz w:val="20"/>
          <w:szCs w:val="20"/>
          <w:lang w:val="en-GB"/>
        </w:rPr>
        <w:t>, as follows:</w:t>
      </w:r>
      <w:r w:rsidRPr="00306F4D">
        <w:rPr>
          <w:rFonts w:ascii="Arial" w:eastAsia="Arial" w:hAnsi="Arial" w:cs="Arial"/>
          <w:color w:val="000000" w:themeColor="text1"/>
          <w:sz w:val="20"/>
          <w:szCs w:val="20"/>
          <w:lang w:val="en-GB"/>
        </w:rPr>
        <w:t xml:space="preserve"> </w:t>
      </w:r>
    </w:p>
    <w:p w14:paraId="071D70F2" w14:textId="5076AFB8" w:rsidR="69DC7380" w:rsidRPr="00306F4D" w:rsidRDefault="332C63A9" w:rsidP="00AA4ACB">
      <w:pPr>
        <w:pStyle w:val="ListParagraph"/>
        <w:numPr>
          <w:ilvl w:val="0"/>
          <w:numId w:val="103"/>
        </w:numPr>
        <w:spacing w:line="276" w:lineRule="auto"/>
        <w:jc w:val="both"/>
        <w:rPr>
          <w:rStyle w:val="FootnoteReference"/>
          <w:rFonts w:ascii="Arial" w:eastAsia="Arial" w:hAnsi="Arial" w:cs="Arial"/>
          <w:color w:val="000000" w:themeColor="text1"/>
          <w:sz w:val="20"/>
          <w:szCs w:val="20"/>
          <w:lang w:val="en-GB"/>
        </w:rPr>
      </w:pPr>
      <w:r w:rsidRPr="00306F4D">
        <w:rPr>
          <w:rFonts w:ascii="Arial" w:eastAsia="Arial" w:hAnsi="Arial" w:cs="Arial"/>
          <w:b/>
          <w:bCs/>
          <w:color w:val="000000" w:themeColor="text1"/>
          <w:sz w:val="20"/>
          <w:szCs w:val="20"/>
          <w:lang w:val="en-GB"/>
        </w:rPr>
        <w:t>Bosnia and Herzegovina</w:t>
      </w:r>
      <w:r w:rsidR="4F3D17AC" w:rsidRPr="00306F4D">
        <w:rPr>
          <w:rFonts w:ascii="Arial" w:eastAsia="Arial" w:hAnsi="Arial" w:cs="Arial"/>
          <w:color w:val="000000" w:themeColor="text1"/>
          <w:sz w:val="20"/>
          <w:szCs w:val="20"/>
          <w:lang w:val="en-GB"/>
        </w:rPr>
        <w:t xml:space="preserve"> initiated T</w:t>
      </w:r>
      <w:r w:rsidR="7809691B" w:rsidRPr="00306F4D">
        <w:rPr>
          <w:rFonts w:ascii="Arial" w:eastAsia="Arial" w:hAnsi="Arial" w:cs="Arial"/>
          <w:color w:val="000000" w:themeColor="text1"/>
          <w:sz w:val="20"/>
          <w:szCs w:val="20"/>
          <w:lang w:val="en-GB"/>
        </w:rPr>
        <w:t>NA</w:t>
      </w:r>
      <w:r w:rsidR="4F3D17AC" w:rsidRPr="00306F4D">
        <w:rPr>
          <w:rFonts w:ascii="Arial" w:eastAsia="Arial" w:hAnsi="Arial" w:cs="Arial"/>
          <w:color w:val="000000" w:themeColor="text1"/>
          <w:sz w:val="20"/>
          <w:szCs w:val="20"/>
          <w:lang w:val="en-GB"/>
        </w:rPr>
        <w:t xml:space="preserve"> </w:t>
      </w:r>
      <w:r w:rsidR="7F4F9B21" w:rsidRPr="00306F4D">
        <w:rPr>
          <w:rFonts w:ascii="Arial" w:hAnsi="Arial" w:cs="Arial"/>
          <w:sz w:val="20"/>
          <w:szCs w:val="20"/>
          <w:lang w:val="en-GB"/>
        </w:rPr>
        <w:t>for both mitigation and adaptation in the Fourth National Communication to the UNFCCC, with a focus on sectors such as agriculture and water resources.</w:t>
      </w:r>
      <w:r w:rsidR="4F31D810" w:rsidRPr="00306F4D">
        <w:rPr>
          <w:rFonts w:ascii="Arial" w:eastAsia="Arial" w:hAnsi="Arial" w:cs="Arial"/>
          <w:color w:val="000000" w:themeColor="text1"/>
          <w:sz w:val="20"/>
          <w:szCs w:val="20"/>
          <w:lang w:val="en-GB"/>
        </w:rPr>
        <w:t xml:space="preserve"> </w:t>
      </w:r>
      <w:r w:rsidRPr="00306F4D">
        <w:rPr>
          <w:rStyle w:val="FootnoteReference"/>
          <w:rFonts w:ascii="Arial" w:hAnsi="Arial" w:cs="Arial"/>
          <w:sz w:val="20"/>
          <w:szCs w:val="20"/>
        </w:rPr>
        <w:footnoteReference w:id="135"/>
      </w:r>
    </w:p>
    <w:p w14:paraId="2B05EFC0" w14:textId="76A06040" w:rsidR="69DC7380" w:rsidRPr="00306F4D" w:rsidRDefault="77B46A7E" w:rsidP="5EA814C2">
      <w:pPr>
        <w:pStyle w:val="ListParagraph"/>
        <w:numPr>
          <w:ilvl w:val="0"/>
          <w:numId w:val="103"/>
        </w:numPr>
        <w:spacing w:line="276" w:lineRule="auto"/>
        <w:jc w:val="both"/>
        <w:rPr>
          <w:rFonts w:ascii="Arial" w:eastAsia="Arial" w:hAnsi="Arial" w:cs="Arial"/>
          <w:color w:val="000000" w:themeColor="text1"/>
          <w:sz w:val="20"/>
          <w:szCs w:val="20"/>
          <w:lang w:val="en-GB"/>
        </w:rPr>
      </w:pPr>
      <w:r w:rsidRPr="00306F4D">
        <w:rPr>
          <w:rFonts w:ascii="Arial" w:eastAsia="Arial" w:hAnsi="Arial" w:cs="Arial"/>
          <w:b/>
          <w:bCs/>
          <w:color w:val="000000" w:themeColor="text1"/>
          <w:sz w:val="20"/>
          <w:szCs w:val="20"/>
          <w:lang w:val="en-GB"/>
        </w:rPr>
        <w:t>North Macedonia</w:t>
      </w:r>
      <w:r w:rsidRPr="00306F4D">
        <w:rPr>
          <w:rFonts w:ascii="Arial" w:eastAsia="Arial" w:hAnsi="Arial" w:cs="Arial"/>
          <w:color w:val="000000" w:themeColor="text1"/>
          <w:sz w:val="20"/>
          <w:szCs w:val="20"/>
          <w:lang w:val="en-GB"/>
        </w:rPr>
        <w:t xml:space="preserve"> has </w:t>
      </w:r>
      <w:r w:rsidR="7836AFD0" w:rsidRPr="00306F4D">
        <w:rPr>
          <w:rFonts w:ascii="Arial" w:eastAsia="Arial" w:hAnsi="Arial" w:cs="Arial"/>
          <w:color w:val="000000" w:themeColor="text1"/>
          <w:sz w:val="20"/>
          <w:szCs w:val="20"/>
          <w:lang w:val="en-GB"/>
        </w:rPr>
        <w:t xml:space="preserve">completed the process of </w:t>
      </w:r>
      <w:r w:rsidRPr="00306F4D">
        <w:rPr>
          <w:rFonts w:ascii="Arial" w:eastAsia="Arial" w:hAnsi="Arial" w:cs="Arial"/>
          <w:color w:val="000000" w:themeColor="text1"/>
          <w:sz w:val="20"/>
          <w:szCs w:val="20"/>
          <w:lang w:val="en-GB"/>
        </w:rPr>
        <w:t>TNA in energy sector</w:t>
      </w:r>
      <w:r w:rsidR="003727F0" w:rsidRPr="00306F4D">
        <w:rPr>
          <w:rFonts w:ascii="Arial" w:eastAsia="Arial" w:hAnsi="Arial" w:cs="Arial"/>
          <w:color w:val="000000" w:themeColor="text1"/>
          <w:sz w:val="20"/>
          <w:szCs w:val="20"/>
          <w:lang w:val="en-GB"/>
        </w:rPr>
        <w:t xml:space="preserve"> in 2004</w:t>
      </w:r>
      <w:r w:rsidRPr="00306F4D">
        <w:rPr>
          <w:rFonts w:ascii="Arial" w:eastAsia="Arial" w:hAnsi="Arial" w:cs="Arial"/>
          <w:color w:val="000000" w:themeColor="text1"/>
          <w:sz w:val="20"/>
          <w:szCs w:val="20"/>
          <w:lang w:val="en-GB"/>
        </w:rPr>
        <w:t>.</w:t>
      </w:r>
      <w:r w:rsidR="332C63A9" w:rsidRPr="00306F4D">
        <w:rPr>
          <w:rStyle w:val="FootnoteReference"/>
          <w:rFonts w:ascii="Arial" w:eastAsia="Arial" w:hAnsi="Arial" w:cs="Arial"/>
          <w:color w:val="000000" w:themeColor="text1"/>
          <w:sz w:val="20"/>
          <w:szCs w:val="20"/>
          <w:lang w:val="en-GB"/>
        </w:rPr>
        <w:footnoteReference w:id="136"/>
      </w:r>
      <w:r w:rsidR="6A029170" w:rsidRPr="00306F4D">
        <w:rPr>
          <w:rStyle w:val="FootnoteReference"/>
          <w:rFonts w:ascii="Arial" w:eastAsia="Arial" w:hAnsi="Arial" w:cs="Arial"/>
          <w:color w:val="000000" w:themeColor="text1"/>
          <w:sz w:val="20"/>
          <w:szCs w:val="20"/>
          <w:lang w:val="en-GB"/>
        </w:rPr>
        <w:t xml:space="preserve"> </w:t>
      </w:r>
      <w:r w:rsidR="08D4CCE3" w:rsidRPr="00306F4D">
        <w:rPr>
          <w:rStyle w:val="FootnoteReference"/>
          <w:rFonts w:ascii="Arial" w:eastAsia="Arial" w:hAnsi="Arial" w:cs="Arial"/>
          <w:color w:val="000000" w:themeColor="text1"/>
          <w:sz w:val="20"/>
          <w:szCs w:val="20"/>
          <w:lang w:val="en-GB"/>
        </w:rPr>
        <w:t xml:space="preserve"> </w:t>
      </w:r>
      <w:r w:rsidR="6A029170" w:rsidRPr="00306F4D">
        <w:rPr>
          <w:rFonts w:ascii="Arial" w:eastAsia="Arial" w:hAnsi="Arial" w:cs="Arial"/>
          <w:color w:val="000000" w:themeColor="text1"/>
          <w:sz w:val="20"/>
          <w:szCs w:val="20"/>
          <w:lang w:val="en-GB"/>
        </w:rPr>
        <w:t xml:space="preserve">There are no Technology Action Plans (TAPs) for North Macedonia listed on </w:t>
      </w:r>
      <w:proofErr w:type="gramStart"/>
      <w:r w:rsidR="6A029170" w:rsidRPr="00306F4D">
        <w:rPr>
          <w:rFonts w:ascii="Arial" w:eastAsia="Arial" w:hAnsi="Arial" w:cs="Arial"/>
          <w:color w:val="000000" w:themeColor="text1"/>
          <w:sz w:val="20"/>
          <w:szCs w:val="20"/>
          <w:lang w:val="en-GB"/>
        </w:rPr>
        <w:t>TT:CLEAR</w:t>
      </w:r>
      <w:proofErr w:type="gramEnd"/>
      <w:r w:rsidR="6A029170" w:rsidRPr="00306F4D">
        <w:rPr>
          <w:rFonts w:ascii="Arial" w:eastAsia="Arial" w:hAnsi="Arial" w:cs="Arial"/>
          <w:color w:val="000000" w:themeColor="text1"/>
          <w:sz w:val="20"/>
          <w:szCs w:val="20"/>
          <w:lang w:val="en-GB"/>
        </w:rPr>
        <w:t xml:space="preserve"> as of today. Currently the Fifth National Communication</w:t>
      </w:r>
      <w:r w:rsidR="004B29CB" w:rsidRPr="00306F4D">
        <w:rPr>
          <w:rFonts w:ascii="Arial" w:eastAsia="Arial" w:hAnsi="Arial" w:cs="Arial"/>
          <w:color w:val="000000" w:themeColor="text1"/>
          <w:sz w:val="20"/>
          <w:szCs w:val="20"/>
          <w:lang w:val="en-GB"/>
        </w:rPr>
        <w:t xml:space="preserve"> </w:t>
      </w:r>
      <w:r w:rsidR="6A029170" w:rsidRPr="00306F4D">
        <w:rPr>
          <w:rFonts w:ascii="Arial" w:eastAsia="Arial" w:hAnsi="Arial" w:cs="Arial"/>
          <w:color w:val="000000" w:themeColor="text1"/>
          <w:sz w:val="20"/>
          <w:szCs w:val="20"/>
          <w:lang w:val="en-GB"/>
        </w:rPr>
        <w:t xml:space="preserve">and Bi-Annual Transparency Reports are under preparation and TNA with TAPs will be developed. Both documents are expected to be completed by 2026.  National submissions and </w:t>
      </w:r>
      <w:r w:rsidR="6A029170" w:rsidRPr="00306F4D">
        <w:rPr>
          <w:rFonts w:ascii="Arial" w:eastAsia="Arial" w:hAnsi="Arial" w:cs="Arial"/>
          <w:color w:val="000000" w:themeColor="text1"/>
          <w:sz w:val="20"/>
          <w:szCs w:val="20"/>
          <w:lang w:val="en-GB"/>
        </w:rPr>
        <w:lastRenderedPageBreak/>
        <w:t xml:space="preserve">summaries consistently flag water resources, agriculture, forestry/biodiversity (incl. wildfire risk), health, and tourism &amp; cultural heritage as priority sectors for adaptation, with cross-cutting DRR/governance and early-warning components. </w:t>
      </w:r>
    </w:p>
    <w:p w14:paraId="730F2B9C" w14:textId="59FCEBAD" w:rsidR="69DC7380" w:rsidRPr="00306F4D" w:rsidRDefault="332C63A9" w:rsidP="001A6A00">
      <w:pPr>
        <w:pStyle w:val="ListParagraph"/>
        <w:numPr>
          <w:ilvl w:val="0"/>
          <w:numId w:val="103"/>
        </w:numPr>
        <w:spacing w:before="240" w:after="240" w:line="276" w:lineRule="auto"/>
        <w:jc w:val="both"/>
        <w:rPr>
          <w:rFonts w:ascii="Arial" w:eastAsia="Arial" w:hAnsi="Arial" w:cs="Arial"/>
          <w:color w:val="000000" w:themeColor="text1"/>
          <w:sz w:val="20"/>
          <w:szCs w:val="20"/>
          <w:lang w:val="en-GB"/>
        </w:rPr>
      </w:pPr>
      <w:r w:rsidRPr="00306F4D">
        <w:rPr>
          <w:rFonts w:ascii="Arial" w:eastAsia="Arial" w:hAnsi="Arial" w:cs="Arial"/>
          <w:b/>
          <w:bCs/>
          <w:color w:val="000000" w:themeColor="text1"/>
          <w:sz w:val="20"/>
          <w:szCs w:val="20"/>
          <w:lang w:val="en-GB"/>
        </w:rPr>
        <w:t>Montenegro</w:t>
      </w:r>
      <w:r w:rsidRPr="00306F4D">
        <w:rPr>
          <w:rFonts w:ascii="Arial" w:eastAsia="Arial" w:hAnsi="Arial" w:cs="Arial"/>
          <w:color w:val="000000" w:themeColor="text1"/>
          <w:sz w:val="20"/>
          <w:szCs w:val="20"/>
          <w:lang w:val="en-GB"/>
        </w:rPr>
        <w:t xml:space="preserve"> ha</w:t>
      </w:r>
      <w:r w:rsidR="168DFD41" w:rsidRPr="00306F4D">
        <w:rPr>
          <w:rFonts w:ascii="Arial" w:eastAsia="Arial" w:hAnsi="Arial" w:cs="Arial"/>
          <w:color w:val="000000" w:themeColor="text1"/>
          <w:sz w:val="20"/>
          <w:szCs w:val="20"/>
          <w:lang w:val="en-GB"/>
        </w:rPr>
        <w:t>s</w:t>
      </w:r>
      <w:r w:rsidRPr="00306F4D">
        <w:rPr>
          <w:rFonts w:ascii="Arial" w:eastAsia="Arial" w:hAnsi="Arial" w:cs="Arial"/>
          <w:color w:val="000000" w:themeColor="text1"/>
          <w:sz w:val="20"/>
          <w:szCs w:val="20"/>
          <w:lang w:val="en-GB"/>
        </w:rPr>
        <w:t xml:space="preserve"> </w:t>
      </w:r>
      <w:r w:rsidR="270BF1D7" w:rsidRPr="00306F4D">
        <w:rPr>
          <w:rFonts w:ascii="Arial" w:eastAsia="Arial" w:hAnsi="Arial" w:cs="Arial"/>
          <w:color w:val="000000" w:themeColor="text1"/>
          <w:sz w:val="20"/>
          <w:szCs w:val="20"/>
          <w:lang w:val="en-GB"/>
        </w:rPr>
        <w:t>completed their</w:t>
      </w:r>
      <w:r w:rsidRPr="00306F4D">
        <w:rPr>
          <w:rFonts w:ascii="Arial" w:eastAsia="Arial" w:hAnsi="Arial" w:cs="Arial"/>
          <w:color w:val="000000" w:themeColor="text1"/>
          <w:sz w:val="20"/>
          <w:szCs w:val="20"/>
          <w:lang w:val="en-GB"/>
        </w:rPr>
        <w:t xml:space="preserve"> TNA</w:t>
      </w:r>
      <w:r w:rsidR="0EF2D3DB" w:rsidRPr="00306F4D">
        <w:rPr>
          <w:rFonts w:ascii="Arial" w:eastAsia="Arial" w:hAnsi="Arial" w:cs="Arial"/>
          <w:color w:val="000000" w:themeColor="text1"/>
          <w:sz w:val="20"/>
          <w:szCs w:val="20"/>
          <w:lang w:val="en-GB"/>
        </w:rPr>
        <w:t xml:space="preserve"> processes</w:t>
      </w:r>
      <w:r w:rsidR="7565957C" w:rsidRPr="00306F4D">
        <w:rPr>
          <w:rFonts w:ascii="Arial" w:eastAsia="Arial" w:hAnsi="Arial" w:cs="Arial"/>
          <w:color w:val="000000" w:themeColor="text1"/>
          <w:sz w:val="20"/>
          <w:szCs w:val="20"/>
          <w:lang w:val="en-GB"/>
        </w:rPr>
        <w:t xml:space="preserve"> identifying technology priorities across key adaptation and mitigation sectors.</w:t>
      </w:r>
      <w:r w:rsidRPr="00306F4D">
        <w:rPr>
          <w:rStyle w:val="FootnoteReference"/>
          <w:rFonts w:ascii="Arial" w:eastAsia="Arial" w:hAnsi="Arial" w:cs="Arial"/>
          <w:color w:val="000000" w:themeColor="text1"/>
          <w:sz w:val="20"/>
          <w:szCs w:val="20"/>
          <w:lang w:val="en-GB"/>
        </w:rPr>
        <w:footnoteReference w:id="137"/>
      </w:r>
      <w:r w:rsidR="218B0607" w:rsidRPr="00306F4D">
        <w:rPr>
          <w:rFonts w:ascii="Arial" w:eastAsia="Arial" w:hAnsi="Arial" w:cs="Arial"/>
          <w:color w:val="000000" w:themeColor="text1"/>
          <w:sz w:val="20"/>
          <w:szCs w:val="20"/>
          <w:lang w:val="en-GB"/>
        </w:rPr>
        <w:t xml:space="preserve"> </w:t>
      </w:r>
      <w:r w:rsidR="4D48261D" w:rsidRPr="00306F4D">
        <w:rPr>
          <w:rFonts w:ascii="Arial" w:eastAsia="Arial" w:hAnsi="Arial" w:cs="Arial"/>
          <w:color w:val="000000" w:themeColor="text1"/>
          <w:sz w:val="20"/>
          <w:szCs w:val="20"/>
          <w:lang w:val="en-GB"/>
        </w:rPr>
        <w:t>T</w:t>
      </w:r>
      <w:r w:rsidR="4D48261D" w:rsidRPr="00306F4D">
        <w:rPr>
          <w:rFonts w:ascii="Arial" w:eastAsia="Arial" w:hAnsi="Arial" w:cs="Arial"/>
          <w:sz w:val="20"/>
          <w:szCs w:val="20"/>
          <w:lang w:val="en-GB"/>
        </w:rPr>
        <w:t xml:space="preserve">he assessment prioritized water resources, public health, agricultural land and production, coastal zones, and forests for </w:t>
      </w:r>
      <w:r w:rsidR="716F3BCF" w:rsidRPr="00306F4D">
        <w:rPr>
          <w:rFonts w:ascii="Arial" w:eastAsia="Arial" w:hAnsi="Arial" w:cs="Arial"/>
          <w:sz w:val="20"/>
          <w:szCs w:val="20"/>
          <w:lang w:val="en-GB"/>
        </w:rPr>
        <w:t xml:space="preserve">climate </w:t>
      </w:r>
      <w:r w:rsidR="4D48261D" w:rsidRPr="00306F4D">
        <w:rPr>
          <w:rFonts w:ascii="Arial" w:eastAsia="Arial" w:hAnsi="Arial" w:cs="Arial"/>
          <w:sz w:val="20"/>
          <w:szCs w:val="20"/>
          <w:lang w:val="en-GB"/>
        </w:rPr>
        <w:t xml:space="preserve">adaptation. </w:t>
      </w:r>
      <w:r w:rsidR="716F3BCF" w:rsidRPr="00306F4D">
        <w:rPr>
          <w:rFonts w:ascii="Arial" w:eastAsia="Arial" w:hAnsi="Arial" w:cs="Arial"/>
          <w:color w:val="000000" w:themeColor="text1"/>
          <w:sz w:val="20"/>
          <w:szCs w:val="20"/>
          <w:lang w:val="en-GB"/>
        </w:rPr>
        <w:t>Montenegro’s Third National Communication (TNC) to the UNFCCC, published in 2020, reinforced many of the TNA’s findings.</w:t>
      </w:r>
      <w:r w:rsidR="4D48261D" w:rsidRPr="00306F4D">
        <w:rPr>
          <w:rFonts w:ascii="Arial" w:eastAsia="Arial" w:hAnsi="Arial" w:cs="Arial"/>
          <w:color w:val="000000" w:themeColor="text1"/>
          <w:sz w:val="20"/>
          <w:szCs w:val="20"/>
          <w:lang w:val="en-GB"/>
        </w:rPr>
        <w:t xml:space="preserve"> </w:t>
      </w:r>
      <w:r w:rsidR="28B8FB6F" w:rsidRPr="00306F4D">
        <w:rPr>
          <w:rFonts w:ascii="Arial" w:eastAsia="Arial" w:hAnsi="Arial" w:cs="Arial"/>
          <w:color w:val="000000" w:themeColor="text1"/>
          <w:sz w:val="20"/>
          <w:szCs w:val="20"/>
          <w:lang w:val="en-GB"/>
        </w:rPr>
        <w:t>The TNC presented projections under “without measures” and “with additional measures” scenarios, alongside sector-specific mitigation actions. It also provided a detailed assessment of climate risks, highlighting increased exposure to droughts, floods, wildfires, and heatwaves. Adaptation options were laid out for water management, forestry, agriculture, coastal protection, health, and urban resilience.</w:t>
      </w:r>
      <w:r w:rsidR="4D48261D" w:rsidRPr="00306F4D">
        <w:rPr>
          <w:rFonts w:ascii="Arial" w:eastAsia="Arial" w:hAnsi="Arial" w:cs="Arial"/>
          <w:sz w:val="20"/>
          <w:szCs w:val="20"/>
          <w:lang w:val="en-GB"/>
        </w:rPr>
        <w:t xml:space="preserve"> </w:t>
      </w:r>
      <w:r w:rsidR="3E88EAB5" w:rsidRPr="00306F4D">
        <w:rPr>
          <w:rFonts w:ascii="Arial" w:eastAsia="Arial" w:hAnsi="Arial" w:cs="Arial"/>
          <w:color w:val="000000" w:themeColor="text1"/>
          <w:sz w:val="20"/>
          <w:szCs w:val="20"/>
          <w:lang w:val="en-GB"/>
        </w:rPr>
        <w:t>For the period 2025–2035, the updated strategy and action plan will need to align the TNA’s technology priorities with the new NDC targets and NECP measures. On the adaptation side, operationalising the NAP will be critical for sequencing measures such as water balance management, flood early-warning systems, drought response, wildfire prevention, climate-resilient agriculture, and coastal protection.</w:t>
      </w:r>
      <w:r w:rsidR="00793946" w:rsidRPr="00306F4D">
        <w:rPr>
          <w:rFonts w:ascii="Arial" w:eastAsia="Arial" w:hAnsi="Arial" w:cs="Arial"/>
          <w:color w:val="000000" w:themeColor="text1"/>
          <w:sz w:val="20"/>
          <w:szCs w:val="20"/>
          <w:lang w:val="en-GB"/>
        </w:rPr>
        <w:t xml:space="preserve"> </w:t>
      </w:r>
      <w:r w:rsidR="3E88EAB5" w:rsidRPr="00306F4D">
        <w:rPr>
          <w:rFonts w:ascii="Arial" w:eastAsia="Arial" w:hAnsi="Arial" w:cs="Arial"/>
          <w:color w:val="000000" w:themeColor="text1"/>
          <w:sz w:val="20"/>
          <w:szCs w:val="20"/>
          <w:lang w:val="en-GB"/>
        </w:rPr>
        <w:t xml:space="preserve">Key enabling actions remain consistent with the original TNA recommendations but have become more urgent. These include expanding financing instruments through the Eco-Fund and international partners, strengthening and enforcing technical standards, upgrading the monitoring, reporting, and verification (MRV) system, investing in data and information services, and ensuring effective coordination among ministries and stakeholders. </w:t>
      </w:r>
    </w:p>
    <w:p w14:paraId="3D081732" w14:textId="68564972" w:rsidR="69DC7380" w:rsidRPr="00306F4D" w:rsidRDefault="69DC7380" w:rsidP="0498C52C">
      <w:pPr>
        <w:pStyle w:val="ListParagraph"/>
        <w:spacing w:before="240" w:after="240" w:line="276" w:lineRule="auto"/>
        <w:rPr>
          <w:rFonts w:ascii="Arial" w:eastAsia="Arial" w:hAnsi="Arial" w:cs="Arial"/>
          <w:b/>
          <w:bCs/>
          <w:sz w:val="20"/>
          <w:szCs w:val="20"/>
          <w:lang w:val="en-GB"/>
        </w:rPr>
      </w:pPr>
    </w:p>
    <w:p w14:paraId="45390509" w14:textId="61840EC9" w:rsidR="69DC7380" w:rsidRPr="00306F4D" w:rsidRDefault="002D38D2" w:rsidP="00D21295">
      <w:pPr>
        <w:pStyle w:val="ListParagraph"/>
        <w:numPr>
          <w:ilvl w:val="0"/>
          <w:numId w:val="115"/>
        </w:numPr>
        <w:spacing w:before="240" w:after="240" w:line="276" w:lineRule="auto"/>
        <w:jc w:val="both"/>
        <w:rPr>
          <w:rFonts w:ascii="Arial" w:eastAsia="Arial" w:hAnsi="Arial" w:cs="Arial"/>
          <w:color w:val="000000" w:themeColor="text1"/>
          <w:sz w:val="20"/>
          <w:szCs w:val="20"/>
          <w:lang w:val="en-GB"/>
        </w:rPr>
      </w:pPr>
      <w:r w:rsidRPr="00306F4D">
        <w:rPr>
          <w:rFonts w:ascii="Arial" w:eastAsia="Arial" w:hAnsi="Arial" w:cs="Arial"/>
          <w:b/>
          <w:sz w:val="20"/>
          <w:szCs w:val="20"/>
          <w:lang w:val="en-GB"/>
        </w:rPr>
        <w:t xml:space="preserve">In </w:t>
      </w:r>
      <w:proofErr w:type="gramStart"/>
      <w:r w:rsidR="332C63A9" w:rsidRPr="00306F4D">
        <w:rPr>
          <w:rFonts w:ascii="Arial" w:eastAsia="Arial" w:hAnsi="Arial" w:cs="Arial"/>
          <w:b/>
          <w:sz w:val="20"/>
          <w:szCs w:val="20"/>
          <w:lang w:val="en-GB"/>
        </w:rPr>
        <w:t>Serbia</w:t>
      </w:r>
      <w:r w:rsidR="47E59216" w:rsidRPr="00306F4D">
        <w:rPr>
          <w:rFonts w:ascii="Arial" w:eastAsia="Arial" w:hAnsi="Arial" w:cs="Arial"/>
          <w:sz w:val="20"/>
          <w:szCs w:val="20"/>
          <w:lang w:val="en-GB"/>
        </w:rPr>
        <w:t xml:space="preserve">, </w:t>
      </w:r>
      <w:r w:rsidR="1055B9E5" w:rsidRPr="00306F4D">
        <w:rPr>
          <w:rFonts w:ascii="Arial" w:eastAsia="Arial" w:hAnsi="Arial" w:cs="Arial"/>
          <w:sz w:val="20"/>
          <w:szCs w:val="20"/>
          <w:lang w:val="en-GB"/>
        </w:rPr>
        <w:t xml:space="preserve"> </w:t>
      </w:r>
      <w:r w:rsidRPr="00306F4D">
        <w:rPr>
          <w:rFonts w:ascii="Arial" w:eastAsia="Arial" w:hAnsi="Arial" w:cs="Arial"/>
          <w:sz w:val="20"/>
          <w:szCs w:val="20"/>
          <w:lang w:val="en-GB"/>
        </w:rPr>
        <w:t>the</w:t>
      </w:r>
      <w:proofErr w:type="gramEnd"/>
      <w:r w:rsidRPr="00306F4D">
        <w:rPr>
          <w:rFonts w:ascii="Arial" w:eastAsia="Arial" w:hAnsi="Arial" w:cs="Arial"/>
          <w:sz w:val="20"/>
          <w:szCs w:val="20"/>
          <w:lang w:val="en-GB"/>
        </w:rPr>
        <w:t xml:space="preserve"> </w:t>
      </w:r>
      <w:r w:rsidR="1055B9E5" w:rsidRPr="00306F4D">
        <w:rPr>
          <w:rFonts w:ascii="Arial" w:eastAsia="Arial" w:hAnsi="Arial" w:cs="Arial"/>
          <w:color w:val="000000" w:themeColor="text1"/>
          <w:sz w:val="20"/>
          <w:szCs w:val="20"/>
          <w:lang w:val="en-GB"/>
        </w:rPr>
        <w:t>Biennial Transparency Report recognizes the need for technological development and technology transfer to strengthen Serbia’s capacities and technologies, thus contributing to the achievement of long-term climate goals in accordance with the Paris Agreement and the commitments defined in NDC. T</w:t>
      </w:r>
      <w:r w:rsidR="3BA1331B" w:rsidRPr="00306F4D">
        <w:rPr>
          <w:rFonts w:ascii="Arial" w:eastAsia="Arial" w:hAnsi="Arial" w:cs="Arial"/>
          <w:color w:val="000000" w:themeColor="text1"/>
          <w:sz w:val="20"/>
          <w:szCs w:val="20"/>
          <w:lang w:val="en-GB"/>
        </w:rPr>
        <w:t>NA</w:t>
      </w:r>
      <w:r w:rsidR="1055B9E5" w:rsidRPr="00306F4D">
        <w:rPr>
          <w:rFonts w:ascii="Arial" w:eastAsia="Arial" w:hAnsi="Arial" w:cs="Arial"/>
          <w:color w:val="000000" w:themeColor="text1"/>
          <w:sz w:val="20"/>
          <w:szCs w:val="20"/>
          <w:lang w:val="en-GB"/>
        </w:rPr>
        <w:t xml:space="preserve"> identified the need for development and transfer technologies in the context of climate change, including creating, spreading, and applying new technologies that help, not only mitigate climate change, but also adapt to its effects.</w:t>
      </w:r>
      <w:r w:rsidR="5610DC01" w:rsidRPr="00306F4D">
        <w:rPr>
          <w:rFonts w:ascii="Arial" w:eastAsia="Arial" w:hAnsi="Arial" w:cs="Arial"/>
          <w:color w:val="000000" w:themeColor="text1"/>
          <w:sz w:val="20"/>
          <w:szCs w:val="20"/>
          <w:lang w:val="en-GB"/>
        </w:rPr>
        <w:t xml:space="preserve"> </w:t>
      </w:r>
      <w:r w:rsidR="1055B9E5" w:rsidRPr="00306F4D">
        <w:rPr>
          <w:rFonts w:ascii="Arial" w:eastAsia="Arial" w:hAnsi="Arial" w:cs="Arial"/>
          <w:color w:val="000000" w:themeColor="text1"/>
          <w:sz w:val="20"/>
          <w:szCs w:val="20"/>
          <w:lang w:val="en-GB"/>
        </w:rPr>
        <w:t>TNA demonstrated that assistance is needed in promoting technological development and technology transfer in the following sectors:</w:t>
      </w:r>
    </w:p>
    <w:p w14:paraId="6244B7F8" w14:textId="63EC79C6" w:rsidR="69DC7380" w:rsidRPr="00306F4D" w:rsidRDefault="4837C99C" w:rsidP="00D21295">
      <w:pPr>
        <w:pStyle w:val="ListParagraph"/>
        <w:numPr>
          <w:ilvl w:val="1"/>
          <w:numId w:val="103"/>
        </w:numPr>
        <w:spacing w:before="240" w:after="240" w:line="276" w:lineRule="auto"/>
        <w:jc w:val="both"/>
        <w:rPr>
          <w:rFonts w:ascii="Arial" w:eastAsia="Arial" w:hAnsi="Arial" w:cs="Arial"/>
          <w:color w:val="000000" w:themeColor="text1"/>
          <w:sz w:val="20"/>
          <w:szCs w:val="20"/>
          <w:lang w:val="en-GB"/>
        </w:rPr>
      </w:pPr>
      <w:r w:rsidRPr="00306F4D">
        <w:rPr>
          <w:rFonts w:ascii="Arial" w:eastAsia="Arial" w:hAnsi="Arial" w:cs="Arial"/>
          <w:color w:val="000000" w:themeColor="text1"/>
          <w:sz w:val="20"/>
          <w:szCs w:val="20"/>
          <w:lang w:val="en-GB"/>
        </w:rPr>
        <w:t>A</w:t>
      </w:r>
      <w:r w:rsidR="1055B9E5" w:rsidRPr="00306F4D">
        <w:rPr>
          <w:rFonts w:ascii="Arial" w:eastAsia="Arial" w:hAnsi="Arial" w:cs="Arial"/>
          <w:color w:val="000000" w:themeColor="text1"/>
          <w:sz w:val="20"/>
          <w:szCs w:val="20"/>
          <w:lang w:val="en-GB"/>
        </w:rPr>
        <w:t xml:space="preserve">griculture (improvement of technology and practices in the agricultural sector), e.g. Precision farming (PF), including Variable Rate Technology (VRT), Remote Sensing Technologies, Global Positioning Systems (GPS) and Geographic Information Systems (GIS) to support the more precise application of inputs and machinery, on 146 kha by 2030. This will contribute to a 20.44kt CO2 </w:t>
      </w:r>
      <w:proofErr w:type="spellStart"/>
      <w:r w:rsidR="1055B9E5" w:rsidRPr="00306F4D">
        <w:rPr>
          <w:rFonts w:ascii="Arial" w:eastAsia="Arial" w:hAnsi="Arial" w:cs="Arial"/>
          <w:color w:val="000000" w:themeColor="text1"/>
          <w:sz w:val="20"/>
          <w:szCs w:val="20"/>
          <w:lang w:val="en-GB"/>
        </w:rPr>
        <w:t>eq</w:t>
      </w:r>
      <w:proofErr w:type="spellEnd"/>
      <w:r w:rsidR="1055B9E5" w:rsidRPr="00306F4D">
        <w:rPr>
          <w:rFonts w:ascii="Arial" w:eastAsia="Arial" w:hAnsi="Arial" w:cs="Arial"/>
          <w:color w:val="000000" w:themeColor="text1"/>
          <w:sz w:val="20"/>
          <w:szCs w:val="20"/>
          <w:lang w:val="en-GB"/>
        </w:rPr>
        <w:t xml:space="preserve"> reduction compared to the WOM scenario.</w:t>
      </w:r>
    </w:p>
    <w:p w14:paraId="69B0C8E4" w14:textId="46C1F121" w:rsidR="69DC7380" w:rsidRPr="00306F4D" w:rsidRDefault="05B92CD1" w:rsidP="00885A4A">
      <w:pPr>
        <w:pStyle w:val="ListParagraph"/>
        <w:numPr>
          <w:ilvl w:val="1"/>
          <w:numId w:val="103"/>
        </w:numPr>
        <w:spacing w:before="240" w:after="240" w:line="276" w:lineRule="auto"/>
        <w:rPr>
          <w:rFonts w:ascii="Arial" w:eastAsia="Arial" w:hAnsi="Arial" w:cs="Arial"/>
          <w:color w:val="000000" w:themeColor="text1"/>
          <w:sz w:val="20"/>
          <w:szCs w:val="20"/>
          <w:lang w:val="en-GB"/>
        </w:rPr>
      </w:pPr>
      <w:r w:rsidRPr="00306F4D">
        <w:rPr>
          <w:rFonts w:ascii="Arial" w:eastAsia="Arial" w:hAnsi="Arial" w:cs="Arial"/>
          <w:color w:val="000000" w:themeColor="text1"/>
          <w:sz w:val="20"/>
          <w:szCs w:val="20"/>
          <w:lang w:val="en-GB"/>
        </w:rPr>
        <w:t>I</w:t>
      </w:r>
      <w:r w:rsidR="1055B9E5" w:rsidRPr="00306F4D">
        <w:rPr>
          <w:rFonts w:ascii="Arial" w:eastAsia="Arial" w:hAnsi="Arial" w:cs="Arial"/>
          <w:color w:val="000000" w:themeColor="text1"/>
          <w:sz w:val="20"/>
          <w:szCs w:val="20"/>
          <w:lang w:val="en-GB"/>
        </w:rPr>
        <w:t>ndustry (modernization of technological processes in industrial production),</w:t>
      </w:r>
    </w:p>
    <w:p w14:paraId="686AD90B" w14:textId="4F03B438" w:rsidR="69DC7380" w:rsidRPr="00306F4D" w:rsidRDefault="0B60C8EA" w:rsidP="00885A4A">
      <w:pPr>
        <w:pStyle w:val="ListParagraph"/>
        <w:numPr>
          <w:ilvl w:val="1"/>
          <w:numId w:val="103"/>
        </w:numPr>
        <w:spacing w:before="240" w:after="240" w:line="276" w:lineRule="auto"/>
        <w:rPr>
          <w:rFonts w:ascii="Arial" w:eastAsia="Arial" w:hAnsi="Arial" w:cs="Arial"/>
          <w:color w:val="000000" w:themeColor="text1"/>
          <w:sz w:val="20"/>
          <w:szCs w:val="20"/>
          <w:lang w:val="en-GB"/>
        </w:rPr>
      </w:pPr>
      <w:r w:rsidRPr="00306F4D">
        <w:rPr>
          <w:rFonts w:ascii="Arial" w:eastAsia="Arial" w:hAnsi="Arial" w:cs="Arial"/>
          <w:color w:val="000000" w:themeColor="text1"/>
          <w:sz w:val="20"/>
          <w:szCs w:val="20"/>
          <w:lang w:val="en-GB"/>
        </w:rPr>
        <w:t>E</w:t>
      </w:r>
      <w:r w:rsidR="1055B9E5" w:rsidRPr="00306F4D">
        <w:rPr>
          <w:rFonts w:ascii="Arial" w:eastAsia="Arial" w:hAnsi="Arial" w:cs="Arial"/>
          <w:color w:val="000000" w:themeColor="text1"/>
          <w:sz w:val="20"/>
          <w:szCs w:val="20"/>
          <w:lang w:val="en-GB"/>
        </w:rPr>
        <w:t>nergy (improvement of the use of renewable energy sources and modernization of the energy sector),</w:t>
      </w:r>
    </w:p>
    <w:p w14:paraId="1E387104" w14:textId="60051290" w:rsidR="69DC7380" w:rsidRPr="00306F4D" w:rsidRDefault="424D47DB" w:rsidP="00885A4A">
      <w:pPr>
        <w:pStyle w:val="ListParagraph"/>
        <w:numPr>
          <w:ilvl w:val="1"/>
          <w:numId w:val="103"/>
        </w:numPr>
        <w:spacing w:before="240" w:after="240" w:line="276" w:lineRule="auto"/>
        <w:rPr>
          <w:rFonts w:ascii="Arial" w:eastAsia="Arial" w:hAnsi="Arial" w:cs="Arial"/>
          <w:color w:val="000000" w:themeColor="text1"/>
          <w:sz w:val="20"/>
          <w:szCs w:val="20"/>
          <w:lang w:val="en-GB"/>
        </w:rPr>
      </w:pPr>
      <w:r w:rsidRPr="00306F4D">
        <w:rPr>
          <w:rFonts w:ascii="Arial" w:eastAsia="Arial" w:hAnsi="Arial" w:cs="Arial"/>
          <w:color w:val="000000" w:themeColor="text1"/>
          <w:sz w:val="20"/>
          <w:szCs w:val="20"/>
          <w:lang w:val="en-GB"/>
        </w:rPr>
        <w:t>T</w:t>
      </w:r>
      <w:r w:rsidR="1055B9E5" w:rsidRPr="00306F4D">
        <w:rPr>
          <w:rFonts w:ascii="Arial" w:eastAsia="Arial" w:hAnsi="Arial" w:cs="Arial"/>
          <w:color w:val="000000" w:themeColor="text1"/>
          <w:sz w:val="20"/>
          <w:szCs w:val="20"/>
          <w:lang w:val="en-GB"/>
        </w:rPr>
        <w:t>ransport (promotion of the production and use of advanced biofuels, as well as the development of infrastructure for alternative fuels).</w:t>
      </w:r>
    </w:p>
    <w:p w14:paraId="68975563" w14:textId="6B0ED34D" w:rsidR="69DC7380" w:rsidRPr="00306F4D" w:rsidRDefault="013B9F42" w:rsidP="78A23D80">
      <w:pPr>
        <w:spacing w:line="276" w:lineRule="auto"/>
        <w:rPr>
          <w:rFonts w:ascii="Arial" w:eastAsia="Arial" w:hAnsi="Arial" w:cs="Arial"/>
          <w:color w:val="000000" w:themeColor="text1"/>
          <w:sz w:val="20"/>
          <w:szCs w:val="20"/>
          <w:lang w:val="en-GB"/>
        </w:rPr>
      </w:pPr>
      <w:r w:rsidRPr="00306F4D">
        <w:rPr>
          <w:rFonts w:ascii="Arial" w:eastAsia="Arial" w:hAnsi="Arial" w:cs="Arial"/>
          <w:color w:val="000000" w:themeColor="text1"/>
          <w:sz w:val="20"/>
          <w:szCs w:val="20"/>
          <w:lang w:val="en-GB"/>
        </w:rPr>
        <w:t>Serbia</w:t>
      </w:r>
      <w:r w:rsidR="003A2E24" w:rsidRPr="00306F4D">
        <w:rPr>
          <w:rFonts w:ascii="Arial" w:eastAsia="Arial" w:hAnsi="Arial" w:cs="Arial"/>
          <w:color w:val="000000" w:themeColor="text1"/>
          <w:sz w:val="20"/>
          <w:szCs w:val="20"/>
          <w:lang w:val="en-GB"/>
        </w:rPr>
        <w:t>’s</w:t>
      </w:r>
      <w:r w:rsidRPr="00306F4D">
        <w:rPr>
          <w:rFonts w:ascii="Arial" w:eastAsia="Arial" w:hAnsi="Arial" w:cs="Arial"/>
          <w:color w:val="000000" w:themeColor="text1"/>
          <w:sz w:val="20"/>
          <w:szCs w:val="20"/>
          <w:lang w:val="en-GB"/>
        </w:rPr>
        <w:t xml:space="preserve"> National Climate Change Adaptation Programme </w:t>
      </w:r>
      <w:r w:rsidR="00D160AA" w:rsidRPr="00306F4D">
        <w:rPr>
          <w:rFonts w:ascii="Arial" w:eastAsia="Arial" w:hAnsi="Arial" w:cs="Arial"/>
          <w:color w:val="000000" w:themeColor="text1"/>
          <w:sz w:val="20"/>
          <w:szCs w:val="20"/>
          <w:lang w:val="en-GB"/>
        </w:rPr>
        <w:t>envisaged</w:t>
      </w:r>
      <w:r w:rsidRPr="00306F4D">
        <w:rPr>
          <w:rFonts w:ascii="Arial" w:eastAsia="Arial" w:hAnsi="Arial" w:cs="Arial"/>
          <w:color w:val="000000" w:themeColor="text1"/>
          <w:sz w:val="20"/>
          <w:szCs w:val="20"/>
          <w:lang w:val="en-GB"/>
        </w:rPr>
        <w:t xml:space="preserve"> the deployment of </w:t>
      </w:r>
      <w:r w:rsidRPr="00306F4D">
        <w:rPr>
          <w:rFonts w:ascii="Arial" w:eastAsia="Arial" w:hAnsi="Arial" w:cs="Arial"/>
          <w:b/>
          <w:bCs/>
          <w:color w:val="000000" w:themeColor="text1"/>
          <w:sz w:val="20"/>
          <w:szCs w:val="20"/>
          <w:lang w:val="en-GB"/>
        </w:rPr>
        <w:t>resilient infrastructure and production technologies</w:t>
      </w:r>
      <w:r w:rsidRPr="00306F4D">
        <w:rPr>
          <w:rFonts w:ascii="Arial" w:eastAsia="Arial" w:hAnsi="Arial" w:cs="Arial"/>
          <w:color w:val="000000" w:themeColor="text1"/>
          <w:sz w:val="20"/>
          <w:szCs w:val="20"/>
          <w:lang w:val="en-GB"/>
        </w:rPr>
        <w:t xml:space="preserve">—such as optimized irrigation systems, drought resistant crops, climate-smart livestock facilities, anti-hail and frost-protection systems, green infrastructure in urban planning, and sustainable soil management methods. Integrated </w:t>
      </w:r>
      <w:r w:rsidRPr="00306F4D">
        <w:rPr>
          <w:rFonts w:ascii="Arial" w:eastAsia="Arial" w:hAnsi="Arial" w:cs="Arial"/>
          <w:b/>
          <w:bCs/>
          <w:color w:val="000000" w:themeColor="text1"/>
          <w:sz w:val="20"/>
          <w:szCs w:val="20"/>
          <w:lang w:val="en-GB"/>
        </w:rPr>
        <w:t>climate information and monitoring technologies</w:t>
      </w:r>
      <w:r w:rsidRPr="00306F4D">
        <w:rPr>
          <w:rFonts w:ascii="Arial" w:eastAsia="Arial" w:hAnsi="Arial" w:cs="Arial"/>
          <w:color w:val="000000" w:themeColor="text1"/>
          <w:sz w:val="20"/>
          <w:szCs w:val="20"/>
          <w:lang w:val="en-GB"/>
        </w:rPr>
        <w:t xml:space="preserve"> (high-performance computing systems, automated meteorological, hydrological, soil-moisture and agrometeorological stations, radar and satellite remote sensing, GIS-based georeferenced data portals, biodiversity and ecosystem monitoring tools) supported by </w:t>
      </w:r>
      <w:r w:rsidRPr="00306F4D">
        <w:rPr>
          <w:rFonts w:ascii="Arial" w:eastAsia="Arial" w:hAnsi="Arial" w:cs="Arial"/>
          <w:b/>
          <w:bCs/>
          <w:color w:val="000000" w:themeColor="text1"/>
          <w:sz w:val="20"/>
          <w:szCs w:val="20"/>
          <w:lang w:val="en-GB"/>
        </w:rPr>
        <w:t>data integration and early-warning platforms</w:t>
      </w:r>
      <w:r w:rsidRPr="00306F4D">
        <w:rPr>
          <w:rFonts w:ascii="Arial" w:eastAsia="Arial" w:hAnsi="Arial" w:cs="Arial"/>
          <w:color w:val="000000" w:themeColor="text1"/>
          <w:sz w:val="20"/>
          <w:szCs w:val="20"/>
          <w:lang w:val="en-GB"/>
        </w:rPr>
        <w:t xml:space="preserve"> with advanced forecasting and </w:t>
      </w:r>
      <w:r w:rsidRPr="00306F4D">
        <w:rPr>
          <w:rFonts w:ascii="Arial" w:eastAsia="Arial" w:hAnsi="Arial" w:cs="Arial"/>
          <w:color w:val="000000" w:themeColor="text1"/>
          <w:sz w:val="20"/>
          <w:szCs w:val="20"/>
          <w:lang w:val="en-GB"/>
        </w:rPr>
        <w:lastRenderedPageBreak/>
        <w:t xml:space="preserve">dissemination capabilities; </w:t>
      </w:r>
      <w:r w:rsidRPr="00306F4D">
        <w:rPr>
          <w:rFonts w:ascii="Arial" w:eastAsia="Arial" w:hAnsi="Arial" w:cs="Arial"/>
          <w:b/>
          <w:bCs/>
          <w:color w:val="000000" w:themeColor="text1"/>
          <w:sz w:val="20"/>
          <w:szCs w:val="20"/>
          <w:lang w:val="en-GB"/>
        </w:rPr>
        <w:t>modelling and simulation tools</w:t>
      </w:r>
      <w:r w:rsidRPr="00306F4D">
        <w:rPr>
          <w:rFonts w:ascii="Arial" w:eastAsia="Arial" w:hAnsi="Arial" w:cs="Arial"/>
          <w:color w:val="000000" w:themeColor="text1"/>
          <w:sz w:val="20"/>
          <w:szCs w:val="20"/>
          <w:lang w:val="en-GB"/>
        </w:rPr>
        <w:t xml:space="preserve"> for climate risk assessments (including agriculture, forestry, infrastructure, health, and biodiversity), and </w:t>
      </w:r>
      <w:r w:rsidRPr="00306F4D">
        <w:rPr>
          <w:rFonts w:ascii="Arial" w:eastAsia="Arial" w:hAnsi="Arial" w:cs="Arial"/>
          <w:b/>
          <w:bCs/>
          <w:color w:val="000000" w:themeColor="text1"/>
          <w:sz w:val="20"/>
          <w:szCs w:val="20"/>
          <w:lang w:val="en-GB"/>
        </w:rPr>
        <w:t>decision-support systems</w:t>
      </w:r>
      <w:r w:rsidRPr="00306F4D">
        <w:rPr>
          <w:rFonts w:ascii="Arial" w:eastAsia="Arial" w:hAnsi="Arial" w:cs="Arial"/>
          <w:color w:val="000000" w:themeColor="text1"/>
          <w:sz w:val="20"/>
          <w:szCs w:val="20"/>
          <w:lang w:val="en-GB"/>
        </w:rPr>
        <w:t xml:space="preserve"> for public policy integration and budget tracking. In the field, </w:t>
      </w:r>
      <w:r w:rsidRPr="00306F4D">
        <w:rPr>
          <w:rFonts w:ascii="Arial" w:eastAsia="Arial" w:hAnsi="Arial" w:cs="Arial"/>
          <w:b/>
          <w:bCs/>
          <w:color w:val="000000" w:themeColor="text1"/>
          <w:sz w:val="20"/>
          <w:szCs w:val="20"/>
          <w:lang w:val="en-GB"/>
        </w:rPr>
        <w:t>specialized sensors, drones, and remote monitoring devices</w:t>
      </w:r>
      <w:r w:rsidRPr="00306F4D">
        <w:rPr>
          <w:rFonts w:ascii="Arial" w:eastAsia="Arial" w:hAnsi="Arial" w:cs="Arial"/>
          <w:color w:val="000000" w:themeColor="text1"/>
          <w:sz w:val="20"/>
          <w:szCs w:val="20"/>
          <w:lang w:val="en-GB"/>
        </w:rPr>
        <w:t xml:space="preserve"> for damage and loss </w:t>
      </w:r>
      <w:proofErr w:type="spellStart"/>
      <w:proofErr w:type="gramStart"/>
      <w:r w:rsidRPr="00306F4D">
        <w:rPr>
          <w:rFonts w:ascii="Arial" w:eastAsia="Arial" w:hAnsi="Arial" w:cs="Arial"/>
          <w:color w:val="000000" w:themeColor="text1"/>
          <w:sz w:val="20"/>
          <w:szCs w:val="20"/>
          <w:lang w:val="en-GB"/>
        </w:rPr>
        <w:t>assessments.</w:t>
      </w:r>
      <w:r w:rsidR="29AA7E13" w:rsidRPr="00306F4D">
        <w:rPr>
          <w:rFonts w:ascii="Arial" w:eastAsia="Arial" w:hAnsi="Arial" w:cs="Arial"/>
          <w:color w:val="000000" w:themeColor="text1"/>
          <w:sz w:val="20"/>
          <w:szCs w:val="20"/>
          <w:lang w:val="en-GB"/>
        </w:rPr>
        <w:t>The</w:t>
      </w:r>
      <w:proofErr w:type="spellEnd"/>
      <w:proofErr w:type="gramEnd"/>
      <w:r w:rsidR="29AA7E13" w:rsidRPr="00306F4D">
        <w:rPr>
          <w:rFonts w:ascii="Arial" w:eastAsia="Arial" w:hAnsi="Arial" w:cs="Arial"/>
          <w:color w:val="000000" w:themeColor="text1"/>
          <w:sz w:val="20"/>
          <w:szCs w:val="20"/>
          <w:lang w:val="en-GB"/>
        </w:rPr>
        <w:t xml:space="preserve"> </w:t>
      </w:r>
      <w:r w:rsidR="506F4766" w:rsidRPr="00306F4D">
        <w:rPr>
          <w:rFonts w:ascii="Arial" w:eastAsia="Arial" w:hAnsi="Arial" w:cs="Arial"/>
          <w:color w:val="000000" w:themeColor="text1"/>
          <w:sz w:val="20"/>
          <w:szCs w:val="20"/>
          <w:lang w:val="en-GB"/>
        </w:rPr>
        <w:t>regional</w:t>
      </w:r>
      <w:r w:rsidR="29AA7E13" w:rsidRPr="00306F4D">
        <w:rPr>
          <w:rFonts w:ascii="Arial" w:eastAsia="Arial" w:hAnsi="Arial" w:cs="Arial"/>
          <w:color w:val="000000" w:themeColor="text1"/>
          <w:sz w:val="20"/>
          <w:szCs w:val="20"/>
          <w:lang w:val="en-GB"/>
        </w:rPr>
        <w:t xml:space="preserve"> project will review and incorporate the findings of these TNAs, TAPs, and equivalent instruments during implementation—particularly within the due diligence and technical support processes. This will help guide the selection and scaling of locally led innovations, ensuring their alignment with national technology priorities. Integrating these instruments will further enhance country ownership, policy coherence, and the long-term sustainability of project outcomes.</w:t>
      </w:r>
      <w:bookmarkStart w:id="117" w:name="_Toc1537471959"/>
      <w:bookmarkStart w:id="118" w:name="_Toc781001914"/>
    </w:p>
    <w:p w14:paraId="45862C30" w14:textId="77777777" w:rsidR="00D21295" w:rsidRPr="00306F4D" w:rsidRDefault="00D21295" w:rsidP="78A23D80">
      <w:pPr>
        <w:spacing w:before="240" w:after="240"/>
        <w:rPr>
          <w:lang w:val="en-GB"/>
        </w:rPr>
      </w:pPr>
    </w:p>
    <w:p w14:paraId="34DE3553" w14:textId="366BFE63" w:rsidR="29AA7E13" w:rsidRPr="00306F4D" w:rsidRDefault="6210601B" w:rsidP="78A23D80">
      <w:pPr>
        <w:spacing w:before="240" w:after="240"/>
        <w:rPr>
          <w:rFonts w:ascii="Arial" w:eastAsia="Arial" w:hAnsi="Arial" w:cs="Arial"/>
          <w:sz w:val="20"/>
          <w:szCs w:val="20"/>
          <w:lang w:val="en-GB"/>
        </w:rPr>
      </w:pPr>
      <w:r w:rsidRPr="00306F4D">
        <w:rPr>
          <w:lang w:val="en-GB"/>
        </w:rPr>
        <w:t>Regional and Multi-Country Value</w:t>
      </w:r>
      <w:bookmarkEnd w:id="117"/>
      <w:bookmarkEnd w:id="118"/>
    </w:p>
    <w:p w14:paraId="5B4E6B50" w14:textId="4AD3C1C2" w:rsidR="5DA54458" w:rsidRPr="00306F4D" w:rsidRDefault="5DA54458" w:rsidP="5DA54458">
      <w:pPr>
        <w:spacing w:before="240" w:after="240"/>
        <w:rPr>
          <w:rFonts w:ascii="Arial" w:eastAsia="Arial" w:hAnsi="Arial" w:cs="Arial"/>
          <w:sz w:val="20"/>
          <w:szCs w:val="20"/>
          <w:lang w:val="en-GB"/>
        </w:rPr>
      </w:pPr>
      <w:r w:rsidRPr="00306F4D">
        <w:rPr>
          <w:rFonts w:ascii="Arial" w:eastAsia="Arial" w:hAnsi="Arial" w:cs="Arial"/>
          <w:sz w:val="20"/>
          <w:szCs w:val="20"/>
          <w:lang w:val="en-GB"/>
        </w:rPr>
        <w:t>As a regional initiative, the project adds unique value by facilitating:</w:t>
      </w:r>
    </w:p>
    <w:p w14:paraId="4E27FA25" w14:textId="348B412F" w:rsidR="69DC7380" w:rsidRPr="00306F4D" w:rsidRDefault="69DC7380" w:rsidP="4186447D">
      <w:pPr>
        <w:pStyle w:val="ListParagraph"/>
        <w:numPr>
          <w:ilvl w:val="0"/>
          <w:numId w:val="28"/>
        </w:numPr>
        <w:spacing w:before="240" w:after="240" w:line="276" w:lineRule="auto"/>
        <w:jc w:val="both"/>
        <w:rPr>
          <w:rFonts w:ascii="Arial" w:eastAsia="Arial" w:hAnsi="Arial" w:cs="Arial"/>
          <w:sz w:val="20"/>
          <w:szCs w:val="20"/>
          <w:lang w:val="en-GB"/>
        </w:rPr>
      </w:pPr>
      <w:r w:rsidRPr="00306F4D">
        <w:rPr>
          <w:rFonts w:ascii="Arial" w:eastAsia="Arial" w:hAnsi="Arial" w:cs="Arial"/>
          <w:b/>
          <w:sz w:val="20"/>
          <w:szCs w:val="20"/>
          <w:lang w:val="en-GB"/>
        </w:rPr>
        <w:t>Cross-border knowledge exchange</w:t>
      </w:r>
      <w:r w:rsidRPr="00306F4D">
        <w:rPr>
          <w:rFonts w:ascii="Arial" w:eastAsia="Arial" w:hAnsi="Arial" w:cs="Arial"/>
          <w:sz w:val="20"/>
          <w:szCs w:val="20"/>
          <w:lang w:val="en-GB"/>
        </w:rPr>
        <w:t xml:space="preserve"> on shared climate </w:t>
      </w:r>
      <w:proofErr w:type="gramStart"/>
      <w:r w:rsidRPr="00306F4D">
        <w:rPr>
          <w:rFonts w:ascii="Arial" w:eastAsia="Arial" w:hAnsi="Arial" w:cs="Arial"/>
          <w:sz w:val="20"/>
          <w:szCs w:val="20"/>
          <w:lang w:val="en-GB"/>
        </w:rPr>
        <w:t>risks;</w:t>
      </w:r>
      <w:proofErr w:type="gramEnd"/>
    </w:p>
    <w:p w14:paraId="1834AC81" w14:textId="30A2AA40" w:rsidR="69DC7380" w:rsidRPr="00306F4D" w:rsidRDefault="69DC7380" w:rsidP="4186447D">
      <w:pPr>
        <w:pStyle w:val="ListParagraph"/>
        <w:numPr>
          <w:ilvl w:val="0"/>
          <w:numId w:val="28"/>
        </w:numPr>
        <w:spacing w:before="240" w:after="240" w:line="276" w:lineRule="auto"/>
        <w:jc w:val="both"/>
        <w:rPr>
          <w:rFonts w:ascii="Arial" w:eastAsia="Arial" w:hAnsi="Arial" w:cs="Arial"/>
          <w:sz w:val="20"/>
          <w:szCs w:val="20"/>
          <w:lang w:val="en-GB"/>
        </w:rPr>
      </w:pPr>
      <w:r w:rsidRPr="00306F4D">
        <w:rPr>
          <w:rFonts w:ascii="Arial" w:eastAsia="Arial" w:hAnsi="Arial" w:cs="Arial"/>
          <w:b/>
          <w:sz w:val="20"/>
          <w:szCs w:val="20"/>
          <w:lang w:val="en-GB"/>
        </w:rPr>
        <w:t>Replication of tested practices</w:t>
      </w:r>
      <w:r w:rsidRPr="00306F4D">
        <w:rPr>
          <w:rFonts w:ascii="Arial" w:eastAsia="Arial" w:hAnsi="Arial" w:cs="Arial"/>
          <w:sz w:val="20"/>
          <w:szCs w:val="20"/>
          <w:lang w:val="en-GB"/>
        </w:rPr>
        <w:t xml:space="preserve"> across similar ecological and socio-economic </w:t>
      </w:r>
      <w:proofErr w:type="gramStart"/>
      <w:r w:rsidRPr="00306F4D">
        <w:rPr>
          <w:rFonts w:ascii="Arial" w:eastAsia="Arial" w:hAnsi="Arial" w:cs="Arial"/>
          <w:sz w:val="20"/>
          <w:szCs w:val="20"/>
          <w:lang w:val="en-GB"/>
        </w:rPr>
        <w:t>contexts;</w:t>
      </w:r>
      <w:proofErr w:type="gramEnd"/>
    </w:p>
    <w:p w14:paraId="234B691D" w14:textId="27DD41DE" w:rsidR="69DC7380" w:rsidRPr="00306F4D" w:rsidRDefault="69DC7380" w:rsidP="4186447D">
      <w:pPr>
        <w:pStyle w:val="ListParagraph"/>
        <w:numPr>
          <w:ilvl w:val="0"/>
          <w:numId w:val="28"/>
        </w:numPr>
        <w:spacing w:before="240" w:after="240" w:line="276" w:lineRule="auto"/>
        <w:jc w:val="both"/>
        <w:rPr>
          <w:rFonts w:ascii="Arial" w:eastAsia="Arial" w:hAnsi="Arial" w:cs="Arial"/>
          <w:sz w:val="20"/>
          <w:szCs w:val="20"/>
          <w:lang w:val="en-GB"/>
        </w:rPr>
      </w:pPr>
      <w:r w:rsidRPr="00306F4D">
        <w:rPr>
          <w:rFonts w:ascii="Arial" w:eastAsia="Arial" w:hAnsi="Arial" w:cs="Arial"/>
          <w:b/>
          <w:sz w:val="20"/>
          <w:szCs w:val="20"/>
          <w:lang w:val="en-GB"/>
        </w:rPr>
        <w:t>Regional collaboration mechanisms</w:t>
      </w:r>
      <w:r w:rsidRPr="00306F4D">
        <w:rPr>
          <w:rFonts w:ascii="Arial" w:eastAsia="Arial" w:hAnsi="Arial" w:cs="Arial"/>
          <w:sz w:val="20"/>
          <w:szCs w:val="20"/>
          <w:lang w:val="en-GB"/>
        </w:rPr>
        <w:t xml:space="preserve"> that support the diffusion of innovative solutions, alignment of policy instruments, and strengthening of collective resilience.</w:t>
      </w:r>
    </w:p>
    <w:p w14:paraId="72376908" w14:textId="24D74EB9" w:rsidR="00F04FEE" w:rsidRPr="00306F4D" w:rsidRDefault="69DC7380" w:rsidP="4186447D">
      <w:p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 xml:space="preserve">Rather than duplicating isolated national efforts, this regional approach allows countries to </w:t>
      </w:r>
      <w:r w:rsidRPr="00306F4D">
        <w:rPr>
          <w:rFonts w:ascii="Arial" w:eastAsia="Arial" w:hAnsi="Arial" w:cs="Arial"/>
          <w:b/>
          <w:sz w:val="20"/>
          <w:szCs w:val="20"/>
          <w:lang w:val="en-GB"/>
        </w:rPr>
        <w:t>benefit from economies of scale</w:t>
      </w:r>
      <w:r w:rsidRPr="00306F4D">
        <w:rPr>
          <w:rFonts w:ascii="Arial" w:eastAsia="Arial" w:hAnsi="Arial" w:cs="Arial"/>
          <w:sz w:val="20"/>
          <w:szCs w:val="20"/>
          <w:lang w:val="en-GB"/>
        </w:rPr>
        <w:t>, shared learning platforms, and coordinated support systems. It enhances regional capacity while reinforcing country ownership and leadership in climate adaptation.</w:t>
      </w:r>
      <w:r w:rsidR="25E69381" w:rsidRPr="00306F4D">
        <w:rPr>
          <w:rFonts w:ascii="Arial" w:eastAsia="Arial" w:hAnsi="Arial" w:cs="Arial"/>
          <w:sz w:val="20"/>
          <w:szCs w:val="20"/>
          <w:lang w:val="en-GB"/>
        </w:rPr>
        <w:t xml:space="preserve"> </w:t>
      </w:r>
      <w:r w:rsidR="293DD95E" w:rsidRPr="00306F4D">
        <w:rPr>
          <w:rFonts w:ascii="Arial" w:eastAsia="Arial" w:hAnsi="Arial" w:cs="Arial"/>
          <w:sz w:val="20"/>
          <w:szCs w:val="20"/>
          <w:lang w:val="en-GB"/>
        </w:rPr>
        <w:t>This alignment ensures that the project effectively addresses local vulnerabilities while also making a valuable contribution to the broader regional and global climate resilience agenda.</w:t>
      </w:r>
    </w:p>
    <w:p w14:paraId="1B14AC7C" w14:textId="77777777" w:rsidR="00623FC0" w:rsidRPr="00306F4D" w:rsidRDefault="00623FC0" w:rsidP="00623FC0">
      <w:pPr>
        <w:pStyle w:val="Footer"/>
        <w:numPr>
          <w:ilvl w:val="0"/>
          <w:numId w:val="23"/>
        </w:numPr>
        <w:tabs>
          <w:tab w:val="clear" w:pos="720"/>
          <w:tab w:val="clear" w:pos="4680"/>
          <w:tab w:val="clear" w:pos="9360"/>
          <w:tab w:val="num" w:pos="360"/>
        </w:tabs>
        <w:spacing w:line="276" w:lineRule="auto"/>
        <w:ind w:left="360"/>
        <w:rPr>
          <w:rFonts w:ascii="Arial" w:eastAsia="Arial" w:hAnsi="Arial" w:cs="Arial"/>
          <w:color w:val="AEAAAA" w:themeColor="background2" w:themeShade="BF"/>
          <w:lang w:val="en-GB"/>
        </w:rPr>
      </w:pPr>
      <w:r w:rsidRPr="00306F4D">
        <w:rPr>
          <w:rFonts w:ascii="Arial" w:eastAsia="Arial" w:hAnsi="Arial" w:cs="Arial"/>
          <w:color w:val="AEAAAA" w:themeColor="background2" w:themeShade="BF"/>
          <w:lang w:val="en-GB"/>
        </w:rPr>
        <w:t>Describe how the project / programme meets relevant national technical standards, where applicable, such as standards for environmental assessment, building codes, etc., and complies with the Environmental and Social Policy of the Adaptation Fund.</w:t>
      </w:r>
    </w:p>
    <w:p w14:paraId="4094544C" w14:textId="22F8F58B" w:rsidR="511828C5" w:rsidRPr="00306F4D" w:rsidRDefault="173108B8" w:rsidP="58D8FBEF">
      <w:pPr>
        <w:pStyle w:val="Heading2"/>
        <w:spacing w:line="276" w:lineRule="auto"/>
        <w:rPr>
          <w:rFonts w:ascii="Arial" w:eastAsia="Arial" w:hAnsi="Arial" w:cs="Arial"/>
          <w:b/>
          <w:sz w:val="20"/>
          <w:szCs w:val="20"/>
          <w:lang w:val="en-GB"/>
        </w:rPr>
      </w:pPr>
      <w:bookmarkStart w:id="119" w:name="_Toc1406285917"/>
      <w:bookmarkStart w:id="120" w:name="_Toc792247029"/>
      <w:bookmarkStart w:id="121" w:name="_Toc202165713"/>
      <w:bookmarkStart w:id="122" w:name="_Toc202893744"/>
      <w:r w:rsidRPr="00306F4D">
        <w:rPr>
          <w:rFonts w:ascii="Arial" w:eastAsia="Arial" w:hAnsi="Arial" w:cs="Arial"/>
          <w:sz w:val="20"/>
          <w:szCs w:val="20"/>
          <w:lang w:val="en-GB"/>
        </w:rPr>
        <w:t>Compliance with National Technical Standards and the Adaptation Fund’s Environmental and Social Policy</w:t>
      </w:r>
      <w:bookmarkEnd w:id="119"/>
      <w:bookmarkEnd w:id="120"/>
      <w:bookmarkEnd w:id="121"/>
      <w:bookmarkEnd w:id="122"/>
    </w:p>
    <w:p w14:paraId="7940ED44" w14:textId="0D9B4113" w:rsidR="511828C5" w:rsidRPr="00306F4D" w:rsidRDefault="511828C5" w:rsidP="4186447D">
      <w:p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 xml:space="preserve">The Regional Project is designed to ensure full compliance with relevant </w:t>
      </w:r>
      <w:r w:rsidRPr="00306F4D">
        <w:rPr>
          <w:rFonts w:ascii="Arial" w:eastAsia="Arial" w:hAnsi="Arial" w:cs="Arial"/>
          <w:b/>
          <w:sz w:val="20"/>
          <w:szCs w:val="20"/>
          <w:lang w:val="en-GB"/>
        </w:rPr>
        <w:t>national technical standards</w:t>
      </w:r>
      <w:r w:rsidRPr="00306F4D">
        <w:rPr>
          <w:rFonts w:ascii="Arial" w:eastAsia="Arial" w:hAnsi="Arial" w:cs="Arial"/>
          <w:sz w:val="20"/>
          <w:szCs w:val="20"/>
          <w:lang w:val="en-GB"/>
        </w:rPr>
        <w:t xml:space="preserve">, </w:t>
      </w:r>
      <w:r w:rsidRPr="00306F4D">
        <w:rPr>
          <w:rFonts w:ascii="Arial" w:eastAsia="Arial" w:hAnsi="Arial" w:cs="Arial"/>
          <w:b/>
          <w:sz w:val="20"/>
          <w:szCs w:val="20"/>
          <w:lang w:val="en-GB"/>
        </w:rPr>
        <w:t>sectoral regulations</w:t>
      </w:r>
      <w:r w:rsidRPr="00306F4D">
        <w:rPr>
          <w:rFonts w:ascii="Arial" w:eastAsia="Arial" w:hAnsi="Arial" w:cs="Arial"/>
          <w:sz w:val="20"/>
          <w:szCs w:val="20"/>
          <w:lang w:val="en-GB"/>
        </w:rPr>
        <w:t xml:space="preserve">, and the </w:t>
      </w:r>
      <w:r w:rsidRPr="00306F4D">
        <w:rPr>
          <w:rFonts w:ascii="Arial" w:eastAsia="Arial" w:hAnsi="Arial" w:cs="Arial"/>
          <w:b/>
          <w:sz w:val="20"/>
          <w:szCs w:val="20"/>
          <w:lang w:val="en-GB"/>
        </w:rPr>
        <w:t>Environmental and Social Policy (ESP)</w:t>
      </w:r>
      <w:r w:rsidRPr="00306F4D">
        <w:rPr>
          <w:rFonts w:ascii="Arial" w:eastAsia="Arial" w:hAnsi="Arial" w:cs="Arial"/>
          <w:sz w:val="20"/>
          <w:szCs w:val="20"/>
          <w:lang w:val="en-GB"/>
        </w:rPr>
        <w:t xml:space="preserve"> and </w:t>
      </w:r>
      <w:r w:rsidRPr="00306F4D">
        <w:rPr>
          <w:rFonts w:ascii="Arial" w:eastAsia="Arial" w:hAnsi="Arial" w:cs="Arial"/>
          <w:b/>
          <w:sz w:val="20"/>
          <w:szCs w:val="20"/>
          <w:lang w:val="en-GB"/>
        </w:rPr>
        <w:t>Gender Policy (GP)</w:t>
      </w:r>
      <w:r w:rsidRPr="00306F4D">
        <w:rPr>
          <w:rFonts w:ascii="Arial" w:eastAsia="Arial" w:hAnsi="Arial" w:cs="Arial"/>
          <w:sz w:val="20"/>
          <w:szCs w:val="20"/>
          <w:lang w:val="en-GB"/>
        </w:rPr>
        <w:t xml:space="preserve"> of the Adaptation Fund (AF). Alignment with these frameworks is embedded in both the </w:t>
      </w:r>
      <w:r w:rsidRPr="00306F4D">
        <w:rPr>
          <w:rFonts w:ascii="Arial" w:eastAsia="Arial" w:hAnsi="Arial" w:cs="Arial"/>
          <w:b/>
          <w:sz w:val="20"/>
          <w:szCs w:val="20"/>
          <w:lang w:val="en-GB"/>
        </w:rPr>
        <w:t>design</w:t>
      </w:r>
      <w:r w:rsidRPr="00306F4D">
        <w:rPr>
          <w:rFonts w:ascii="Arial" w:eastAsia="Arial" w:hAnsi="Arial" w:cs="Arial"/>
          <w:sz w:val="20"/>
          <w:szCs w:val="20"/>
          <w:lang w:val="en-GB"/>
        </w:rPr>
        <w:t xml:space="preserve"> and </w:t>
      </w:r>
      <w:r w:rsidRPr="00306F4D">
        <w:rPr>
          <w:rFonts w:ascii="Arial" w:eastAsia="Arial" w:hAnsi="Arial" w:cs="Arial"/>
          <w:b/>
          <w:sz w:val="20"/>
          <w:szCs w:val="20"/>
          <w:lang w:val="en-GB"/>
        </w:rPr>
        <w:t>implementation modalities</w:t>
      </w:r>
      <w:r w:rsidRPr="00306F4D">
        <w:rPr>
          <w:rFonts w:ascii="Arial" w:eastAsia="Arial" w:hAnsi="Arial" w:cs="Arial"/>
          <w:sz w:val="20"/>
          <w:szCs w:val="20"/>
          <w:lang w:val="en-GB"/>
        </w:rPr>
        <w:t xml:space="preserve"> of the project.</w:t>
      </w:r>
    </w:p>
    <w:p w14:paraId="3342FCAF" w14:textId="6F71431B" w:rsidR="511828C5" w:rsidRPr="00306F4D" w:rsidRDefault="173108B8" w:rsidP="4186447D">
      <w:pPr>
        <w:pStyle w:val="Heading3"/>
        <w:spacing w:line="276" w:lineRule="auto"/>
        <w:jc w:val="both"/>
        <w:rPr>
          <w:rFonts w:ascii="Arial" w:eastAsia="Arial" w:hAnsi="Arial" w:cs="Arial"/>
          <w:b/>
          <w:sz w:val="20"/>
          <w:szCs w:val="20"/>
          <w:lang w:val="en-GB"/>
        </w:rPr>
      </w:pPr>
      <w:bookmarkStart w:id="123" w:name="_Toc1170148298"/>
      <w:bookmarkStart w:id="124" w:name="_Toc510097933"/>
      <w:r w:rsidRPr="00306F4D">
        <w:rPr>
          <w:rFonts w:ascii="Arial" w:eastAsia="Arial" w:hAnsi="Arial" w:cs="Arial"/>
          <w:sz w:val="20"/>
          <w:szCs w:val="20"/>
          <w:lang w:val="en-GB"/>
        </w:rPr>
        <w:t>Integration into Grant Proposal and Selection Process</w:t>
      </w:r>
      <w:bookmarkEnd w:id="123"/>
      <w:bookmarkEnd w:id="124"/>
    </w:p>
    <w:p w14:paraId="549A0FDA" w14:textId="1D846AC0" w:rsidR="511828C5" w:rsidRPr="00306F4D" w:rsidRDefault="511828C5" w:rsidP="4186447D">
      <w:p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As part of the competitive grant process, all applicants will be required to:</w:t>
      </w:r>
    </w:p>
    <w:p w14:paraId="2EF8B240" w14:textId="028D846A" w:rsidR="511828C5" w:rsidRPr="00306F4D" w:rsidRDefault="511828C5" w:rsidP="4186447D">
      <w:pPr>
        <w:pStyle w:val="ListParagraph"/>
        <w:numPr>
          <w:ilvl w:val="0"/>
          <w:numId w:val="27"/>
        </w:numPr>
        <w:spacing w:before="240" w:after="240" w:line="276" w:lineRule="auto"/>
        <w:jc w:val="both"/>
        <w:rPr>
          <w:rFonts w:ascii="Arial" w:eastAsia="Arial" w:hAnsi="Arial" w:cs="Arial"/>
          <w:sz w:val="20"/>
          <w:szCs w:val="20"/>
          <w:lang w:val="en-GB"/>
        </w:rPr>
      </w:pPr>
      <w:r w:rsidRPr="00306F4D">
        <w:rPr>
          <w:rFonts w:ascii="Arial" w:eastAsia="Arial" w:hAnsi="Arial" w:cs="Arial"/>
          <w:b/>
          <w:sz w:val="20"/>
          <w:szCs w:val="20"/>
          <w:lang w:val="en-GB"/>
        </w:rPr>
        <w:t>Demonstrate alignment with national technical regulations and standards</w:t>
      </w:r>
      <w:r w:rsidRPr="00306F4D">
        <w:rPr>
          <w:rFonts w:ascii="Arial" w:eastAsia="Arial" w:hAnsi="Arial" w:cs="Arial"/>
          <w:sz w:val="20"/>
          <w:szCs w:val="20"/>
          <w:lang w:val="en-GB"/>
        </w:rPr>
        <w:t xml:space="preserve">, including but not limited to environmental assessments, building codes, agricultural practices, water management protocols, and public health standards relevant to the nature and scope of their proposed </w:t>
      </w:r>
      <w:proofErr w:type="gramStart"/>
      <w:r w:rsidRPr="00306F4D">
        <w:rPr>
          <w:rFonts w:ascii="Arial" w:eastAsia="Arial" w:hAnsi="Arial" w:cs="Arial"/>
          <w:sz w:val="20"/>
          <w:szCs w:val="20"/>
          <w:lang w:val="en-GB"/>
        </w:rPr>
        <w:t>innovation;</w:t>
      </w:r>
      <w:proofErr w:type="gramEnd"/>
    </w:p>
    <w:p w14:paraId="43A92E8A" w14:textId="71818941" w:rsidR="4186447D" w:rsidRPr="00306F4D" w:rsidRDefault="4186447D" w:rsidP="4186447D">
      <w:pPr>
        <w:pStyle w:val="ListParagraph"/>
        <w:spacing w:before="240" w:after="240" w:line="276" w:lineRule="auto"/>
        <w:jc w:val="both"/>
        <w:rPr>
          <w:rFonts w:ascii="Arial" w:eastAsia="Arial" w:hAnsi="Arial" w:cs="Arial"/>
          <w:sz w:val="20"/>
          <w:szCs w:val="20"/>
          <w:lang w:val="en-GB"/>
        </w:rPr>
      </w:pPr>
    </w:p>
    <w:p w14:paraId="0334B3F9" w14:textId="5997BB16" w:rsidR="511828C5" w:rsidRPr="00306F4D" w:rsidRDefault="511828C5" w:rsidP="4186447D">
      <w:pPr>
        <w:pStyle w:val="ListParagraph"/>
        <w:numPr>
          <w:ilvl w:val="0"/>
          <w:numId w:val="27"/>
        </w:numPr>
        <w:spacing w:before="240" w:after="240" w:line="276" w:lineRule="auto"/>
        <w:jc w:val="both"/>
        <w:rPr>
          <w:rFonts w:ascii="Arial" w:eastAsia="Arial" w:hAnsi="Arial" w:cs="Arial"/>
          <w:sz w:val="20"/>
          <w:szCs w:val="20"/>
          <w:lang w:val="en-GB"/>
        </w:rPr>
      </w:pPr>
      <w:r w:rsidRPr="00306F4D">
        <w:rPr>
          <w:rFonts w:ascii="Arial" w:eastAsia="Arial" w:hAnsi="Arial" w:cs="Arial"/>
          <w:b/>
          <w:sz w:val="20"/>
          <w:szCs w:val="20"/>
          <w:lang w:val="en-GB"/>
        </w:rPr>
        <w:t>Describe how proposed products, services, or technologies comply</w:t>
      </w:r>
      <w:r w:rsidRPr="00306F4D">
        <w:rPr>
          <w:rFonts w:ascii="Arial" w:eastAsia="Arial" w:hAnsi="Arial" w:cs="Arial"/>
          <w:sz w:val="20"/>
          <w:szCs w:val="20"/>
          <w:lang w:val="en-GB"/>
        </w:rPr>
        <w:t xml:space="preserve"> with applicable national and—where relevant—international standards, especially for innovations intended for broader replication or export.</w:t>
      </w:r>
    </w:p>
    <w:p w14:paraId="1C0AFDE1" w14:textId="01F522B6" w:rsidR="511828C5" w:rsidRPr="00306F4D" w:rsidRDefault="511828C5" w:rsidP="4186447D">
      <w:p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lastRenderedPageBreak/>
        <w:t xml:space="preserve">This requirement is clearly outlined in the </w:t>
      </w:r>
      <w:r w:rsidRPr="00306F4D">
        <w:rPr>
          <w:rFonts w:ascii="Arial" w:eastAsia="Arial" w:hAnsi="Arial" w:cs="Arial"/>
          <w:b/>
          <w:sz w:val="20"/>
          <w:szCs w:val="20"/>
          <w:lang w:val="en-GB"/>
        </w:rPr>
        <w:t>grant application template</w:t>
      </w:r>
      <w:r w:rsidRPr="00306F4D">
        <w:rPr>
          <w:rFonts w:ascii="Arial" w:eastAsia="Arial" w:hAnsi="Arial" w:cs="Arial"/>
          <w:sz w:val="20"/>
          <w:szCs w:val="20"/>
          <w:lang w:val="en-GB"/>
        </w:rPr>
        <w:t xml:space="preserve"> and forms a core part of the proposal evaluation and due diligence process.</w:t>
      </w:r>
    </w:p>
    <w:p w14:paraId="504F02F4" w14:textId="169F02AF" w:rsidR="511828C5" w:rsidRPr="00306F4D" w:rsidRDefault="173108B8" w:rsidP="4186447D">
      <w:pPr>
        <w:pStyle w:val="Heading3"/>
        <w:spacing w:line="276" w:lineRule="auto"/>
        <w:jc w:val="both"/>
        <w:rPr>
          <w:rFonts w:ascii="Arial" w:eastAsia="Arial" w:hAnsi="Arial" w:cs="Arial"/>
          <w:b/>
          <w:sz w:val="20"/>
          <w:szCs w:val="20"/>
          <w:lang w:val="en-GB"/>
        </w:rPr>
      </w:pPr>
      <w:bookmarkStart w:id="125" w:name="_Toc1892270142"/>
      <w:bookmarkStart w:id="126" w:name="_Toc1374311268"/>
      <w:r w:rsidRPr="00306F4D">
        <w:rPr>
          <w:rFonts w:ascii="Arial" w:eastAsia="Arial" w:hAnsi="Arial" w:cs="Arial"/>
          <w:sz w:val="20"/>
          <w:szCs w:val="20"/>
          <w:lang w:val="en-GB"/>
        </w:rPr>
        <w:t>Verification During Implementation</w:t>
      </w:r>
      <w:bookmarkEnd w:id="125"/>
      <w:bookmarkEnd w:id="126"/>
    </w:p>
    <w:p w14:paraId="1628C15C" w14:textId="3A616727" w:rsidR="511828C5" w:rsidRPr="00306F4D" w:rsidRDefault="511828C5" w:rsidP="4186447D">
      <w:p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Once grants are awarded, grantees will be expected to:</w:t>
      </w:r>
    </w:p>
    <w:p w14:paraId="00ACE9A1" w14:textId="22FD0A62" w:rsidR="511828C5" w:rsidRPr="00306F4D" w:rsidRDefault="511828C5" w:rsidP="4186447D">
      <w:pPr>
        <w:pStyle w:val="ListParagraph"/>
        <w:numPr>
          <w:ilvl w:val="0"/>
          <w:numId w:val="26"/>
        </w:numPr>
        <w:spacing w:before="240" w:after="240" w:line="276" w:lineRule="auto"/>
        <w:jc w:val="both"/>
        <w:rPr>
          <w:rFonts w:ascii="Arial" w:eastAsia="Arial" w:hAnsi="Arial" w:cs="Arial"/>
          <w:sz w:val="20"/>
          <w:szCs w:val="20"/>
          <w:lang w:val="en-GB"/>
        </w:rPr>
      </w:pPr>
      <w:r w:rsidRPr="00306F4D">
        <w:rPr>
          <w:rFonts w:ascii="Arial" w:eastAsia="Arial" w:hAnsi="Arial" w:cs="Arial"/>
          <w:b/>
          <w:sz w:val="20"/>
          <w:szCs w:val="20"/>
          <w:lang w:val="en-GB"/>
        </w:rPr>
        <w:t>Report on their compliance</w:t>
      </w:r>
      <w:r w:rsidRPr="00306F4D">
        <w:rPr>
          <w:rFonts w:ascii="Arial" w:eastAsia="Arial" w:hAnsi="Arial" w:cs="Arial"/>
          <w:sz w:val="20"/>
          <w:szCs w:val="20"/>
          <w:lang w:val="en-GB"/>
        </w:rPr>
        <w:t xml:space="preserve"> with the national technical standards outlined in their original </w:t>
      </w:r>
      <w:proofErr w:type="gramStart"/>
      <w:r w:rsidRPr="00306F4D">
        <w:rPr>
          <w:rFonts w:ascii="Arial" w:eastAsia="Arial" w:hAnsi="Arial" w:cs="Arial"/>
          <w:sz w:val="20"/>
          <w:szCs w:val="20"/>
          <w:lang w:val="en-GB"/>
        </w:rPr>
        <w:t>proposal;</w:t>
      </w:r>
      <w:proofErr w:type="gramEnd"/>
    </w:p>
    <w:p w14:paraId="1ECD49A4" w14:textId="08DF621A" w:rsidR="511828C5" w:rsidRPr="00306F4D" w:rsidRDefault="511828C5" w:rsidP="4186447D">
      <w:pPr>
        <w:pStyle w:val="ListParagraph"/>
        <w:numPr>
          <w:ilvl w:val="0"/>
          <w:numId w:val="26"/>
        </w:numPr>
        <w:spacing w:before="240" w:after="240" w:line="276" w:lineRule="auto"/>
        <w:jc w:val="both"/>
        <w:rPr>
          <w:rFonts w:ascii="Arial" w:eastAsia="Arial" w:hAnsi="Arial" w:cs="Arial"/>
          <w:sz w:val="20"/>
          <w:szCs w:val="20"/>
          <w:lang w:val="en-GB"/>
        </w:rPr>
      </w:pPr>
      <w:r w:rsidRPr="00306F4D">
        <w:rPr>
          <w:rFonts w:ascii="Arial" w:eastAsia="Arial" w:hAnsi="Arial" w:cs="Arial"/>
          <w:b/>
          <w:sz w:val="20"/>
          <w:szCs w:val="20"/>
          <w:lang w:val="en-GB"/>
        </w:rPr>
        <w:t>Provide supporting documentation or certificates</w:t>
      </w:r>
      <w:r w:rsidRPr="00306F4D">
        <w:rPr>
          <w:rFonts w:ascii="Arial" w:eastAsia="Arial" w:hAnsi="Arial" w:cs="Arial"/>
          <w:sz w:val="20"/>
          <w:szCs w:val="20"/>
          <w:lang w:val="en-GB"/>
        </w:rPr>
        <w:t xml:space="preserve"> (where applicable), such as approvals, permits, or independent verification of conformity with </w:t>
      </w:r>
      <w:proofErr w:type="gramStart"/>
      <w:r w:rsidRPr="00306F4D">
        <w:rPr>
          <w:rFonts w:ascii="Arial" w:eastAsia="Arial" w:hAnsi="Arial" w:cs="Arial"/>
          <w:sz w:val="20"/>
          <w:szCs w:val="20"/>
          <w:lang w:val="en-GB"/>
        </w:rPr>
        <w:t>standards;</w:t>
      </w:r>
      <w:proofErr w:type="gramEnd"/>
    </w:p>
    <w:p w14:paraId="080F7239" w14:textId="58DEF7FB" w:rsidR="511828C5" w:rsidRPr="00306F4D" w:rsidRDefault="511828C5" w:rsidP="4186447D">
      <w:pPr>
        <w:pStyle w:val="ListParagraph"/>
        <w:numPr>
          <w:ilvl w:val="0"/>
          <w:numId w:val="26"/>
        </w:numPr>
        <w:spacing w:before="240" w:after="240" w:line="276" w:lineRule="auto"/>
        <w:jc w:val="both"/>
        <w:rPr>
          <w:rFonts w:ascii="Arial" w:eastAsia="Arial" w:hAnsi="Arial" w:cs="Arial"/>
          <w:sz w:val="20"/>
          <w:szCs w:val="20"/>
          <w:lang w:val="en-GB"/>
        </w:rPr>
      </w:pPr>
      <w:r w:rsidRPr="00306F4D">
        <w:rPr>
          <w:rFonts w:ascii="Arial" w:eastAsia="Arial" w:hAnsi="Arial" w:cs="Arial"/>
          <w:b/>
          <w:sz w:val="20"/>
          <w:szCs w:val="20"/>
          <w:lang w:val="en-GB"/>
        </w:rPr>
        <w:t>Submit to compliance monitoring</w:t>
      </w:r>
      <w:r w:rsidRPr="00306F4D">
        <w:rPr>
          <w:rFonts w:ascii="Arial" w:eastAsia="Arial" w:hAnsi="Arial" w:cs="Arial"/>
          <w:sz w:val="20"/>
          <w:szCs w:val="20"/>
          <w:lang w:val="en-GB"/>
        </w:rPr>
        <w:t xml:space="preserve"> conducted through the project’s monitoring and evaluation framework, in collaboration with UNDP Country Offices and technical experts.</w:t>
      </w:r>
    </w:p>
    <w:p w14:paraId="08283495" w14:textId="63701F32" w:rsidR="511828C5" w:rsidRPr="00306F4D" w:rsidRDefault="511828C5" w:rsidP="4186447D">
      <w:p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 xml:space="preserve">This process will ensure that innovations supported by the project are </w:t>
      </w:r>
      <w:r w:rsidRPr="00306F4D">
        <w:rPr>
          <w:rFonts w:ascii="Arial" w:eastAsia="Arial" w:hAnsi="Arial" w:cs="Arial"/>
          <w:b/>
          <w:sz w:val="20"/>
          <w:szCs w:val="20"/>
          <w:lang w:val="en-GB"/>
        </w:rPr>
        <w:t>not only context-appropriate and effective</w:t>
      </w:r>
      <w:r w:rsidRPr="00306F4D">
        <w:rPr>
          <w:rFonts w:ascii="Arial" w:eastAsia="Arial" w:hAnsi="Arial" w:cs="Arial"/>
          <w:sz w:val="20"/>
          <w:szCs w:val="20"/>
          <w:lang w:val="en-GB"/>
        </w:rPr>
        <w:t>, but also safe, legally compliant, and scalable.</w:t>
      </w:r>
    </w:p>
    <w:p w14:paraId="06E17446" w14:textId="13134DD8" w:rsidR="511828C5" w:rsidRPr="00306F4D" w:rsidRDefault="4A9E6A68" w:rsidP="1014F6FC">
      <w:pPr>
        <w:pStyle w:val="Heading3"/>
        <w:spacing w:line="276" w:lineRule="auto"/>
        <w:jc w:val="both"/>
        <w:rPr>
          <w:rFonts w:ascii="Arial" w:eastAsia="Arial" w:hAnsi="Arial" w:cs="Arial"/>
          <w:b/>
          <w:bCs/>
          <w:sz w:val="20"/>
          <w:szCs w:val="20"/>
          <w:lang w:val="en-GB"/>
        </w:rPr>
      </w:pPr>
      <w:bookmarkStart w:id="127" w:name="_Toc109892108"/>
      <w:bookmarkStart w:id="128" w:name="_Toc2141206280"/>
      <w:r w:rsidRPr="00306F4D">
        <w:rPr>
          <w:rFonts w:ascii="Arial" w:eastAsia="Arial" w:hAnsi="Arial" w:cs="Arial"/>
          <w:sz w:val="20"/>
          <w:szCs w:val="20"/>
          <w:lang w:val="en-GB"/>
        </w:rPr>
        <w:t>Environmental and Social Safeguards</w:t>
      </w:r>
      <w:bookmarkEnd w:id="127"/>
      <w:bookmarkEnd w:id="128"/>
    </w:p>
    <w:p w14:paraId="0D69045F" w14:textId="4AA50568" w:rsidR="511828C5" w:rsidRPr="00306F4D" w:rsidRDefault="404E51E5" w:rsidP="74BA0670">
      <w:pPr>
        <w:spacing w:before="240" w:after="240" w:line="276" w:lineRule="auto"/>
        <w:jc w:val="both"/>
        <w:rPr>
          <w:rFonts w:ascii="Arial" w:eastAsia="Arial" w:hAnsi="Arial" w:cs="Arial"/>
          <w:sz w:val="20"/>
          <w:szCs w:val="20"/>
          <w:lang w:val="en-GB"/>
        </w:rPr>
      </w:pPr>
      <w:r w:rsidRPr="00306F4D">
        <w:rPr>
          <w:rFonts w:ascii="Arial" w:eastAsia="Arial" w:hAnsi="Arial" w:cs="Arial"/>
          <w:color w:val="000000" w:themeColor="text1"/>
          <w:sz w:val="20"/>
          <w:szCs w:val="20"/>
          <w:lang w:val="en-GB"/>
        </w:rPr>
        <w:t xml:space="preserve">Since the project includes a range of activities and sub-projects with yet unknown design parameters and uncertain social and environmental risks that cannot be fully assessed during the project appraisal, this Environmental and Social Management Framework (ESMF) has been developed to guide further assessment and management of the expected environmental and social risks of the project based on the applicable UNDP's </w:t>
      </w:r>
      <w:r w:rsidR="511828C5" w:rsidRPr="00306F4D">
        <w:rPr>
          <w:rFonts w:ascii="Arial" w:eastAsia="Arial" w:hAnsi="Arial" w:cs="Arial"/>
          <w:sz w:val="20"/>
          <w:szCs w:val="20"/>
          <w:lang w:val="en-GB"/>
        </w:rPr>
        <w:t>Social and Environmental Standards (SES) and the Adaptation Fund’s ESP and GP</w:t>
      </w:r>
      <w:r w:rsidR="492C4A9B" w:rsidRPr="00306F4D">
        <w:rPr>
          <w:rFonts w:ascii="Arial" w:eastAsia="Arial" w:hAnsi="Arial" w:cs="Arial"/>
          <w:sz w:val="20"/>
          <w:szCs w:val="20"/>
          <w:lang w:val="en-GB"/>
        </w:rPr>
        <w:t>.</w:t>
      </w:r>
    </w:p>
    <w:p w14:paraId="26F89884" w14:textId="7EBD21BB" w:rsidR="511828C5" w:rsidRPr="00306F4D" w:rsidRDefault="492C4A9B" w:rsidP="4186447D">
      <w:p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In line with the ESMF</w:t>
      </w:r>
      <w:r w:rsidR="511828C5" w:rsidRPr="00306F4D">
        <w:rPr>
          <w:rFonts w:ascii="Arial" w:eastAsia="Arial" w:hAnsi="Arial" w:cs="Arial"/>
          <w:sz w:val="20"/>
          <w:szCs w:val="20"/>
          <w:lang w:val="en-GB"/>
        </w:rPr>
        <w:t>:</w:t>
      </w:r>
    </w:p>
    <w:p w14:paraId="62250DA9" w14:textId="450708A4" w:rsidR="511828C5" w:rsidRPr="00306F4D" w:rsidRDefault="511828C5" w:rsidP="4186447D">
      <w:pPr>
        <w:pStyle w:val="ListParagraph"/>
        <w:numPr>
          <w:ilvl w:val="0"/>
          <w:numId w:val="25"/>
        </w:num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 xml:space="preserve">All grantees will undergo a </w:t>
      </w:r>
      <w:r w:rsidRPr="00306F4D">
        <w:rPr>
          <w:rFonts w:ascii="Arial" w:eastAsia="Arial" w:hAnsi="Arial" w:cs="Arial"/>
          <w:b/>
          <w:sz w:val="20"/>
          <w:szCs w:val="20"/>
          <w:lang w:val="en-GB"/>
        </w:rPr>
        <w:t>preliminary environmental and social risk screening</w:t>
      </w:r>
      <w:r w:rsidRPr="00306F4D">
        <w:rPr>
          <w:rFonts w:ascii="Arial" w:eastAsia="Arial" w:hAnsi="Arial" w:cs="Arial"/>
          <w:sz w:val="20"/>
          <w:szCs w:val="20"/>
          <w:lang w:val="en-GB"/>
        </w:rPr>
        <w:t xml:space="preserve"> as part of the proposal assessment </w:t>
      </w:r>
      <w:proofErr w:type="gramStart"/>
      <w:r w:rsidRPr="00306F4D">
        <w:rPr>
          <w:rFonts w:ascii="Arial" w:eastAsia="Arial" w:hAnsi="Arial" w:cs="Arial"/>
          <w:sz w:val="20"/>
          <w:szCs w:val="20"/>
          <w:lang w:val="en-GB"/>
        </w:rPr>
        <w:t>process;</w:t>
      </w:r>
      <w:proofErr w:type="gramEnd"/>
    </w:p>
    <w:p w14:paraId="17784553" w14:textId="1700C5CC" w:rsidR="511828C5" w:rsidRPr="00306F4D" w:rsidRDefault="511828C5" w:rsidP="4186447D">
      <w:pPr>
        <w:pStyle w:val="ListParagraph"/>
        <w:numPr>
          <w:ilvl w:val="0"/>
          <w:numId w:val="25"/>
        </w:num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A qualified safeguards expert</w:t>
      </w:r>
      <w:r w:rsidR="0E9130E0" w:rsidRPr="00306F4D">
        <w:rPr>
          <w:rFonts w:ascii="Arial" w:eastAsia="Arial" w:hAnsi="Arial" w:cs="Arial"/>
          <w:sz w:val="20"/>
          <w:szCs w:val="20"/>
          <w:lang w:val="en-GB"/>
        </w:rPr>
        <w:t xml:space="preserve"> in coordination with the </w:t>
      </w:r>
      <w:r w:rsidR="55CD6E74" w:rsidRPr="00306F4D">
        <w:rPr>
          <w:rFonts w:ascii="Arial" w:eastAsia="Arial" w:hAnsi="Arial" w:cs="Arial"/>
          <w:sz w:val="20"/>
          <w:szCs w:val="20"/>
          <w:lang w:val="en-GB"/>
        </w:rPr>
        <w:t xml:space="preserve">Performance and Data </w:t>
      </w:r>
      <w:proofErr w:type="spellStart"/>
      <w:r w:rsidR="55CD6E74" w:rsidRPr="00306F4D">
        <w:rPr>
          <w:rFonts w:ascii="Arial" w:eastAsia="Arial" w:hAnsi="Arial" w:cs="Arial"/>
          <w:sz w:val="20"/>
          <w:szCs w:val="20"/>
          <w:lang w:val="en-GB"/>
        </w:rPr>
        <w:t>Analyst</w:t>
      </w:r>
      <w:r w:rsidR="0E9130E0" w:rsidRPr="00306F4D">
        <w:rPr>
          <w:rFonts w:ascii="Arial" w:eastAsia="Arial" w:hAnsi="Arial" w:cs="Arial"/>
          <w:sz w:val="20"/>
          <w:szCs w:val="20"/>
          <w:lang w:val="en-GB"/>
        </w:rPr>
        <w:t>expert</w:t>
      </w:r>
      <w:proofErr w:type="spellEnd"/>
      <w:r w:rsidRPr="00306F4D">
        <w:rPr>
          <w:rFonts w:ascii="Arial" w:eastAsia="Arial" w:hAnsi="Arial" w:cs="Arial"/>
          <w:sz w:val="20"/>
          <w:szCs w:val="20"/>
          <w:lang w:val="en-GB"/>
        </w:rPr>
        <w:t xml:space="preserve"> will provide </w:t>
      </w:r>
      <w:r w:rsidRPr="00306F4D">
        <w:rPr>
          <w:rFonts w:ascii="Arial" w:eastAsia="Arial" w:hAnsi="Arial" w:cs="Arial"/>
          <w:b/>
          <w:sz w:val="20"/>
          <w:szCs w:val="20"/>
          <w:lang w:val="en-GB"/>
        </w:rPr>
        <w:t>technical support and quality assurance</w:t>
      </w:r>
      <w:r w:rsidRPr="00306F4D">
        <w:rPr>
          <w:rFonts w:ascii="Arial" w:eastAsia="Arial" w:hAnsi="Arial" w:cs="Arial"/>
          <w:sz w:val="20"/>
          <w:szCs w:val="20"/>
          <w:lang w:val="en-GB"/>
        </w:rPr>
        <w:t xml:space="preserve"> to grantees throughout the project lifecycle.</w:t>
      </w:r>
    </w:p>
    <w:p w14:paraId="236C4AC6" w14:textId="69DF8582" w:rsidR="00D348B8" w:rsidRPr="00306F4D" w:rsidRDefault="620F4722" w:rsidP="4186447D">
      <w:p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 xml:space="preserve">UNDP will ensure that </w:t>
      </w:r>
      <w:r w:rsidRPr="00306F4D">
        <w:rPr>
          <w:rFonts w:ascii="Arial" w:eastAsia="Arial" w:hAnsi="Arial" w:cs="Arial"/>
          <w:b/>
          <w:sz w:val="20"/>
          <w:szCs w:val="20"/>
          <w:lang w:val="en-GB"/>
        </w:rPr>
        <w:t>no activity causes or contributes to adverse environmental or social impacts</w:t>
      </w:r>
      <w:r w:rsidRPr="00306F4D">
        <w:rPr>
          <w:rFonts w:ascii="Arial" w:eastAsia="Arial" w:hAnsi="Arial" w:cs="Arial"/>
          <w:sz w:val="20"/>
          <w:szCs w:val="20"/>
          <w:lang w:val="en-GB"/>
        </w:rPr>
        <w:t>, particularly on vulnerable or marginalized groups. Local consultations and grievance mechanisms will be implemented where necessary, consistent with national requirements and AF policy.</w:t>
      </w:r>
    </w:p>
    <w:p w14:paraId="6CF88167" w14:textId="77777777" w:rsidR="00D348B8" w:rsidRPr="00306F4D" w:rsidRDefault="00D348B8" w:rsidP="00D348B8">
      <w:pPr>
        <w:pStyle w:val="Footer"/>
        <w:numPr>
          <w:ilvl w:val="0"/>
          <w:numId w:val="23"/>
        </w:numPr>
        <w:tabs>
          <w:tab w:val="clear" w:pos="720"/>
          <w:tab w:val="clear" w:pos="4680"/>
          <w:tab w:val="clear" w:pos="9360"/>
          <w:tab w:val="num" w:pos="360"/>
        </w:tabs>
        <w:spacing w:line="276" w:lineRule="auto"/>
        <w:ind w:left="360"/>
        <w:jc w:val="both"/>
        <w:rPr>
          <w:rFonts w:ascii="Arial" w:eastAsia="Arial" w:hAnsi="Arial" w:cs="Arial"/>
          <w:color w:val="AEAAAA" w:themeColor="background2" w:themeShade="BF"/>
          <w:lang w:val="en-GB"/>
        </w:rPr>
      </w:pPr>
      <w:r w:rsidRPr="00306F4D">
        <w:rPr>
          <w:rFonts w:ascii="Arial" w:eastAsia="Arial" w:hAnsi="Arial" w:cs="Arial"/>
          <w:color w:val="AEAAAA" w:themeColor="background2" w:themeShade="BF"/>
          <w:lang w:val="en-GB"/>
        </w:rPr>
        <w:t>Describe if there is duplication of project / programme with other funding sources, if any.</w:t>
      </w:r>
    </w:p>
    <w:p w14:paraId="347CEFE2" w14:textId="7EF35450" w:rsidR="59380CD7" w:rsidRPr="00306F4D" w:rsidRDefault="33799DE2" w:rsidP="4186447D">
      <w:pPr>
        <w:pStyle w:val="Heading2"/>
        <w:spacing w:line="276" w:lineRule="auto"/>
        <w:jc w:val="both"/>
        <w:rPr>
          <w:rFonts w:ascii="Arial" w:eastAsia="Arial" w:hAnsi="Arial" w:cs="Arial"/>
          <w:b/>
          <w:sz w:val="20"/>
          <w:szCs w:val="20"/>
          <w:lang w:val="en-GB"/>
        </w:rPr>
      </w:pPr>
      <w:bookmarkStart w:id="129" w:name="_Toc1031984666"/>
      <w:bookmarkStart w:id="130" w:name="_Toc544955973"/>
      <w:bookmarkStart w:id="131" w:name="_Toc202165714"/>
      <w:bookmarkStart w:id="132" w:name="_Toc202893745"/>
      <w:r w:rsidRPr="00306F4D">
        <w:rPr>
          <w:rFonts w:ascii="Arial" w:eastAsia="Arial" w:hAnsi="Arial" w:cs="Arial"/>
          <w:sz w:val="20"/>
          <w:szCs w:val="20"/>
          <w:lang w:val="en-GB"/>
        </w:rPr>
        <w:t>Maximizing Synergy: Enhancing Regional Climate Resilience through Complementary Adaptation Initiatives</w:t>
      </w:r>
      <w:bookmarkEnd w:id="129"/>
      <w:bookmarkEnd w:id="130"/>
      <w:bookmarkEnd w:id="131"/>
      <w:bookmarkEnd w:id="132"/>
    </w:p>
    <w:p w14:paraId="1C2E1F6B" w14:textId="59D346E3" w:rsidR="391AC739" w:rsidRPr="00306F4D" w:rsidRDefault="391AC739" w:rsidP="4186447D">
      <w:p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 xml:space="preserve">The </w:t>
      </w:r>
      <w:r w:rsidR="721DBB04" w:rsidRPr="00306F4D">
        <w:rPr>
          <w:rFonts w:ascii="Arial" w:eastAsia="Arial" w:hAnsi="Arial" w:cs="Arial"/>
          <w:sz w:val="20"/>
          <w:szCs w:val="20"/>
          <w:lang w:val="en-GB"/>
        </w:rPr>
        <w:t xml:space="preserve">Regional Project </w:t>
      </w:r>
      <w:r w:rsidRPr="00306F4D">
        <w:rPr>
          <w:rFonts w:ascii="Arial" w:eastAsia="Arial" w:hAnsi="Arial" w:cs="Arial"/>
          <w:sz w:val="20"/>
          <w:szCs w:val="20"/>
          <w:lang w:val="en-GB"/>
        </w:rPr>
        <w:t>has been designed to complement</w:t>
      </w:r>
      <w:r w:rsidR="6F3A825C" w:rsidRPr="00306F4D">
        <w:rPr>
          <w:rFonts w:ascii="Arial" w:eastAsia="Arial" w:hAnsi="Arial" w:cs="Arial"/>
          <w:sz w:val="20"/>
          <w:szCs w:val="20"/>
          <w:lang w:val="en-GB"/>
        </w:rPr>
        <w:t>, rather than duplicate,</w:t>
      </w:r>
      <w:r w:rsidRPr="00306F4D">
        <w:rPr>
          <w:rFonts w:ascii="Arial" w:eastAsia="Arial" w:hAnsi="Arial" w:cs="Arial"/>
          <w:sz w:val="20"/>
          <w:szCs w:val="20"/>
          <w:lang w:val="en-GB"/>
        </w:rPr>
        <w:t xml:space="preserve"> existing regional adaptation initiatives, </w:t>
      </w:r>
      <w:r w:rsidR="6F3A825C" w:rsidRPr="00306F4D">
        <w:rPr>
          <w:rFonts w:ascii="Arial" w:eastAsia="Arial" w:hAnsi="Arial" w:cs="Arial"/>
          <w:sz w:val="20"/>
          <w:szCs w:val="20"/>
          <w:lang w:val="en-GB"/>
        </w:rPr>
        <w:t xml:space="preserve">ensuring its alignment with </w:t>
      </w:r>
      <w:r w:rsidRPr="00306F4D">
        <w:rPr>
          <w:rFonts w:ascii="Arial" w:eastAsia="Arial" w:hAnsi="Arial" w:cs="Arial"/>
          <w:sz w:val="20"/>
          <w:szCs w:val="20"/>
          <w:lang w:val="en-GB"/>
        </w:rPr>
        <w:t xml:space="preserve">the broader regional and global climate adaptation agenda. </w:t>
      </w:r>
      <w:r w:rsidR="6F3A825C" w:rsidRPr="00306F4D">
        <w:rPr>
          <w:rFonts w:ascii="Arial" w:eastAsia="Arial" w:hAnsi="Arial" w:cs="Arial"/>
          <w:sz w:val="20"/>
          <w:szCs w:val="20"/>
          <w:lang w:val="en-GB"/>
        </w:rPr>
        <w:t>By</w:t>
      </w:r>
      <w:r w:rsidRPr="00306F4D">
        <w:rPr>
          <w:rFonts w:ascii="Arial" w:eastAsia="Arial" w:hAnsi="Arial" w:cs="Arial"/>
          <w:sz w:val="20"/>
          <w:szCs w:val="20"/>
          <w:lang w:val="en-GB"/>
        </w:rPr>
        <w:t xml:space="preserve"> addressing local vulnerabilities and supporting climate resilience</w:t>
      </w:r>
      <w:r w:rsidR="6F3A825C" w:rsidRPr="00306F4D">
        <w:rPr>
          <w:rFonts w:ascii="Arial" w:eastAsia="Arial" w:hAnsi="Arial" w:cs="Arial"/>
          <w:sz w:val="20"/>
          <w:szCs w:val="20"/>
          <w:lang w:val="en-GB"/>
        </w:rPr>
        <w:t>, the project will build on and scale up adaptation innovations</w:t>
      </w:r>
      <w:r w:rsidRPr="00306F4D">
        <w:rPr>
          <w:rFonts w:ascii="Arial" w:eastAsia="Arial" w:hAnsi="Arial" w:cs="Arial"/>
          <w:sz w:val="20"/>
          <w:szCs w:val="20"/>
          <w:lang w:val="en-GB"/>
        </w:rPr>
        <w:t xml:space="preserve"> in </w:t>
      </w:r>
      <w:r w:rsidR="6F3A825C" w:rsidRPr="00306F4D">
        <w:rPr>
          <w:rFonts w:ascii="Arial" w:eastAsia="Arial" w:hAnsi="Arial" w:cs="Arial"/>
          <w:sz w:val="20"/>
          <w:szCs w:val="20"/>
          <w:lang w:val="en-GB"/>
        </w:rPr>
        <w:t xml:space="preserve">synergy with </w:t>
      </w:r>
      <w:r w:rsidRPr="00306F4D">
        <w:rPr>
          <w:rFonts w:ascii="Arial" w:eastAsia="Arial" w:hAnsi="Arial" w:cs="Arial"/>
          <w:sz w:val="20"/>
          <w:szCs w:val="20"/>
          <w:lang w:val="en-GB"/>
        </w:rPr>
        <w:t xml:space="preserve">ongoing initiatives. </w:t>
      </w:r>
      <w:r w:rsidR="6F3A825C" w:rsidRPr="00306F4D">
        <w:rPr>
          <w:rFonts w:ascii="Arial" w:eastAsia="Arial" w:hAnsi="Arial" w:cs="Arial"/>
          <w:sz w:val="20"/>
          <w:szCs w:val="20"/>
          <w:lang w:val="en-GB"/>
        </w:rPr>
        <w:t>Efforts will be made to avoid the duplication of activities, with careful attention to leveraging existing resources, structures, infrastructures, and services from other projects to maximize efficiency and impact.</w:t>
      </w:r>
    </w:p>
    <w:p w14:paraId="11E99D98" w14:textId="2F25AE0A" w:rsidR="391AC739" w:rsidRPr="00306F4D" w:rsidRDefault="6F3A825C" w:rsidP="4186447D">
      <w:p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 xml:space="preserve">During the preparatory phase, the project will assess relevant ongoing and past initiatives to ensure proper alignment, complementarity, and compatibility. This process will occur during the concept and proposal stages, facilitating coordination with other organizations and program focal points in the project area. By prioritizing </w:t>
      </w:r>
      <w:r w:rsidRPr="00306F4D">
        <w:rPr>
          <w:rFonts w:ascii="Arial" w:eastAsia="Arial" w:hAnsi="Arial" w:cs="Arial"/>
          <w:sz w:val="20"/>
          <w:szCs w:val="20"/>
          <w:lang w:val="en-GB"/>
        </w:rPr>
        <w:lastRenderedPageBreak/>
        <w:t>consultation and collaboration, the project will avoid redundancy and ensure that activities are well-integrated within the broader landscape of regional adaptation efforts.</w:t>
      </w:r>
    </w:p>
    <w:p w14:paraId="6F3745C3" w14:textId="1D7C57E4" w:rsidR="391AC739" w:rsidRPr="00306F4D" w:rsidRDefault="6F3A825C" w:rsidP="4186447D">
      <w:p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 xml:space="preserve">Through a structured approach to coordination, the project will enhance its contributions to regional adaptation goals, driving innovation while supporting and building on existing frameworks. This proactive strategy will ensure that the project complements and strengthens existing efforts, fostering a collaborative environment where synergies can be </w:t>
      </w:r>
      <w:proofErr w:type="gramStart"/>
      <w:r w:rsidRPr="00306F4D">
        <w:rPr>
          <w:rFonts w:ascii="Arial" w:eastAsia="Arial" w:hAnsi="Arial" w:cs="Arial"/>
          <w:sz w:val="20"/>
          <w:szCs w:val="20"/>
          <w:lang w:val="en-GB"/>
        </w:rPr>
        <w:t>realized</w:t>
      </w:r>
      <w:proofErr w:type="gramEnd"/>
      <w:r w:rsidRPr="00306F4D">
        <w:rPr>
          <w:rFonts w:ascii="Arial" w:eastAsia="Arial" w:hAnsi="Arial" w:cs="Arial"/>
          <w:sz w:val="20"/>
          <w:szCs w:val="20"/>
          <w:lang w:val="en-GB"/>
        </w:rPr>
        <w:t xml:space="preserve"> and outcomes can be maximized.</w:t>
      </w:r>
    </w:p>
    <w:p w14:paraId="64E3EDD9" w14:textId="04D4167C" w:rsidR="391AC739" w:rsidRPr="00306F4D" w:rsidRDefault="09528587" w:rsidP="4186447D">
      <w:p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T</w:t>
      </w:r>
      <w:r w:rsidR="5F2FF932" w:rsidRPr="00306F4D">
        <w:rPr>
          <w:rFonts w:ascii="Arial" w:eastAsia="Arial" w:hAnsi="Arial" w:cs="Arial"/>
          <w:sz w:val="20"/>
          <w:szCs w:val="20"/>
          <w:lang w:val="en-GB"/>
        </w:rPr>
        <w:t>he following provides a comprehensive analysis of how the proposed project aligns with and contributes to the broader spectrum of existing adaptation initiatives in the region</w:t>
      </w:r>
      <w:r w:rsidR="391AC739" w:rsidRPr="00306F4D">
        <w:rPr>
          <w:rFonts w:ascii="Arial" w:eastAsia="Arial" w:hAnsi="Arial" w:cs="Arial"/>
          <w:sz w:val="20"/>
          <w:szCs w:val="20"/>
          <w:lang w:val="en-GB"/>
        </w:rPr>
        <w:t>:</w:t>
      </w:r>
    </w:p>
    <w:p w14:paraId="0510AE42" w14:textId="3E2BB1AF" w:rsidR="004109C6" w:rsidRPr="00306F4D" w:rsidRDefault="391AC739" w:rsidP="4186447D">
      <w:pPr>
        <w:pStyle w:val="ListParagraph"/>
        <w:numPr>
          <w:ilvl w:val="0"/>
          <w:numId w:val="6"/>
        </w:numPr>
        <w:spacing w:before="240" w:after="240" w:line="276" w:lineRule="auto"/>
        <w:jc w:val="both"/>
        <w:rPr>
          <w:rFonts w:ascii="Arial" w:eastAsia="Arial" w:hAnsi="Arial" w:cs="Arial"/>
          <w:sz w:val="20"/>
          <w:szCs w:val="20"/>
          <w:lang w:val="en-GB"/>
        </w:rPr>
      </w:pPr>
      <w:r w:rsidRPr="00306F4D">
        <w:rPr>
          <w:rFonts w:ascii="Arial" w:eastAsia="Arial" w:hAnsi="Arial" w:cs="Arial"/>
          <w:b/>
          <w:sz w:val="20"/>
          <w:szCs w:val="20"/>
          <w:lang w:val="en-GB"/>
        </w:rPr>
        <w:t>Regional Cooperation Council (RCC)</w:t>
      </w:r>
    </w:p>
    <w:p w14:paraId="61BF0569" w14:textId="3A187B6C" w:rsidR="515AB70C" w:rsidRPr="00306F4D" w:rsidRDefault="4AF48DD2" w:rsidP="00E60D8F">
      <w:p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 xml:space="preserve">The RCC is a key regional platform that promotes cooperation, sustainable development, and integration across the Western Balkans. While it focuses on economic growth, green transformation, and reducing regional disparities, the </w:t>
      </w:r>
      <w:r w:rsidRPr="00306F4D">
        <w:rPr>
          <w:rFonts w:ascii="Arial" w:eastAsia="Arial" w:hAnsi="Arial" w:cs="Arial"/>
          <w:b/>
          <w:sz w:val="20"/>
          <w:szCs w:val="20"/>
          <w:lang w:val="en-GB"/>
        </w:rPr>
        <w:t>Regional Project</w:t>
      </w:r>
      <w:r w:rsidRPr="00306F4D">
        <w:rPr>
          <w:rFonts w:ascii="Arial" w:eastAsia="Arial" w:hAnsi="Arial" w:cs="Arial"/>
          <w:sz w:val="20"/>
          <w:szCs w:val="20"/>
          <w:lang w:val="en-GB"/>
        </w:rPr>
        <w:t xml:space="preserve"> complements these efforts by addressing specific climate adaptation challenges through </w:t>
      </w:r>
      <w:proofErr w:type="gramStart"/>
      <w:r w:rsidRPr="00306F4D">
        <w:rPr>
          <w:rFonts w:ascii="Arial" w:eastAsia="Arial" w:hAnsi="Arial" w:cs="Arial"/>
          <w:sz w:val="20"/>
          <w:szCs w:val="20"/>
          <w:lang w:val="en-GB"/>
        </w:rPr>
        <w:t>locally-driven</w:t>
      </w:r>
      <w:proofErr w:type="gramEnd"/>
      <w:r w:rsidRPr="00306F4D">
        <w:rPr>
          <w:rFonts w:ascii="Arial" w:eastAsia="Arial" w:hAnsi="Arial" w:cs="Arial"/>
          <w:sz w:val="20"/>
          <w:szCs w:val="20"/>
          <w:lang w:val="en-GB"/>
        </w:rPr>
        <w:t xml:space="preserve"> solutions. The project will contribute to the RCC's broader objectives by focusing on the practical implementation of climate adaptation innovations, ensuring alignment with the region's sustainable development goals without overlapping with RCC's broader political, economic, and environmental initiatives.</w:t>
      </w:r>
    </w:p>
    <w:p w14:paraId="6D752012" w14:textId="227B1C8D" w:rsidR="004109C6" w:rsidRPr="00306F4D" w:rsidRDefault="391AC739" w:rsidP="4186447D">
      <w:pPr>
        <w:pStyle w:val="ListParagraph"/>
        <w:numPr>
          <w:ilvl w:val="0"/>
          <w:numId w:val="6"/>
        </w:numPr>
        <w:spacing w:before="240" w:after="240" w:line="276" w:lineRule="auto"/>
        <w:jc w:val="both"/>
        <w:rPr>
          <w:rFonts w:ascii="Arial" w:eastAsia="Arial" w:hAnsi="Arial" w:cs="Arial"/>
          <w:sz w:val="20"/>
          <w:szCs w:val="20"/>
        </w:rPr>
      </w:pPr>
      <w:r w:rsidRPr="00306F4D">
        <w:rPr>
          <w:rFonts w:ascii="Arial" w:eastAsia="Arial" w:hAnsi="Arial" w:cs="Arial"/>
          <w:b/>
          <w:sz w:val="20"/>
          <w:szCs w:val="20"/>
          <w:lang w:val="en-GB"/>
        </w:rPr>
        <w:t>Biodiversity Task Force of the Western Balkans (BDTF WB)</w:t>
      </w:r>
    </w:p>
    <w:p w14:paraId="0A1516AD" w14:textId="595F17DD" w:rsidR="515AB70C" w:rsidRPr="00306F4D" w:rsidRDefault="34E79782" w:rsidP="00E60D8F">
      <w:pPr>
        <w:spacing w:before="240" w:after="240" w:line="276" w:lineRule="auto"/>
        <w:jc w:val="both"/>
        <w:rPr>
          <w:rFonts w:ascii="Arial" w:eastAsia="Arial" w:hAnsi="Arial" w:cs="Arial"/>
          <w:sz w:val="20"/>
          <w:szCs w:val="20"/>
        </w:rPr>
      </w:pPr>
      <w:r w:rsidRPr="00306F4D">
        <w:rPr>
          <w:rFonts w:ascii="Arial" w:eastAsia="Arial" w:hAnsi="Arial" w:cs="Arial"/>
          <w:sz w:val="20"/>
          <w:szCs w:val="20"/>
        </w:rPr>
        <w:t xml:space="preserve">The BDTF WB focuses on integrating biodiversity into regional environmental policy and fostering cooperation on biodiversity conservation. The </w:t>
      </w:r>
      <w:r w:rsidRPr="00306F4D">
        <w:rPr>
          <w:rFonts w:ascii="Arial" w:eastAsia="Arial" w:hAnsi="Arial" w:cs="Arial"/>
          <w:b/>
          <w:sz w:val="20"/>
          <w:szCs w:val="20"/>
        </w:rPr>
        <w:t>Regional Project</w:t>
      </w:r>
      <w:r w:rsidRPr="00306F4D">
        <w:rPr>
          <w:rFonts w:ascii="Arial" w:eastAsia="Arial" w:hAnsi="Arial" w:cs="Arial"/>
          <w:sz w:val="20"/>
          <w:szCs w:val="20"/>
        </w:rPr>
        <w:t xml:space="preserve"> complements these efforts by incorporating biodiversity considerations into local climate adaptation strategies, promoting climate-resilient solutions that enhance ecosystem stability. By addressing local climate vulnerabilities, the Regional Project supports the region's biodiversity goals without duplicating the BDTF WB's core work, ensuring alignment with broader sustainability and </w:t>
      </w:r>
      <w:r w:rsidR="00E60D8F" w:rsidRPr="00306F4D">
        <w:rPr>
          <w:rFonts w:ascii="Arial" w:eastAsia="Arial" w:hAnsi="Arial" w:cs="Arial"/>
          <w:sz w:val="20"/>
          <w:szCs w:val="20"/>
        </w:rPr>
        <w:t>r</w:t>
      </w:r>
      <w:r w:rsidRPr="00306F4D">
        <w:rPr>
          <w:rFonts w:ascii="Arial" w:eastAsia="Arial" w:hAnsi="Arial" w:cs="Arial"/>
          <w:sz w:val="20"/>
          <w:szCs w:val="20"/>
        </w:rPr>
        <w:t>esource management objectives.</w:t>
      </w:r>
    </w:p>
    <w:p w14:paraId="51DD4730" w14:textId="50B1C6E4" w:rsidR="004109C6" w:rsidRPr="00306F4D" w:rsidRDefault="391AC739" w:rsidP="4186447D">
      <w:pPr>
        <w:pStyle w:val="ListParagraph"/>
        <w:numPr>
          <w:ilvl w:val="0"/>
          <w:numId w:val="6"/>
        </w:numPr>
        <w:spacing w:before="240" w:after="240" w:line="276" w:lineRule="auto"/>
        <w:jc w:val="both"/>
        <w:rPr>
          <w:rFonts w:ascii="Arial" w:eastAsia="Arial" w:hAnsi="Arial" w:cs="Arial"/>
          <w:color w:val="000000" w:themeColor="text1"/>
          <w:sz w:val="20"/>
          <w:szCs w:val="20"/>
          <w:lang w:val="en-GB"/>
        </w:rPr>
      </w:pPr>
      <w:r w:rsidRPr="00306F4D">
        <w:rPr>
          <w:rFonts w:ascii="Arial" w:eastAsia="Arial" w:hAnsi="Arial" w:cs="Arial"/>
          <w:b/>
          <w:sz w:val="20"/>
          <w:szCs w:val="20"/>
          <w:lang w:val="en-GB"/>
        </w:rPr>
        <w:t>Green Agenda for the Western Balkans (GAWB)</w:t>
      </w:r>
    </w:p>
    <w:p w14:paraId="0AC04A5D" w14:textId="3C450AF1" w:rsidR="515AB70C" w:rsidRPr="00306F4D" w:rsidRDefault="4834954A" w:rsidP="00E60D8F">
      <w:pPr>
        <w:spacing w:before="240" w:after="240" w:line="276" w:lineRule="auto"/>
        <w:jc w:val="both"/>
        <w:rPr>
          <w:rFonts w:ascii="Arial" w:eastAsia="Arial" w:hAnsi="Arial" w:cs="Arial"/>
          <w:color w:val="000000" w:themeColor="text1"/>
          <w:sz w:val="20"/>
          <w:szCs w:val="20"/>
          <w:lang w:val="en-GB"/>
        </w:rPr>
      </w:pPr>
      <w:r w:rsidRPr="00306F4D">
        <w:rPr>
          <w:rFonts w:ascii="Arial" w:eastAsia="Arial" w:hAnsi="Arial" w:cs="Arial"/>
          <w:sz w:val="20"/>
          <w:szCs w:val="20"/>
          <w:lang w:val="en-GB"/>
        </w:rPr>
        <w:t xml:space="preserve">The GAWB is a strategic framework designed to align the region with the European Green Deal and the 2030 Biodiversity Strategy, promoting sustainable economic transformation and carbon neutrality by 2050. The </w:t>
      </w:r>
      <w:r w:rsidRPr="00306F4D">
        <w:rPr>
          <w:rFonts w:ascii="Arial" w:eastAsia="Arial" w:hAnsi="Arial" w:cs="Arial"/>
          <w:b/>
          <w:sz w:val="20"/>
          <w:szCs w:val="20"/>
          <w:lang w:val="en-GB"/>
        </w:rPr>
        <w:t>Regional Project</w:t>
      </w:r>
      <w:r w:rsidRPr="00306F4D">
        <w:rPr>
          <w:rFonts w:ascii="Arial" w:eastAsia="Arial" w:hAnsi="Arial" w:cs="Arial"/>
          <w:sz w:val="20"/>
          <w:szCs w:val="20"/>
          <w:lang w:val="en-GB"/>
        </w:rPr>
        <w:t xml:space="preserve"> supports GAWB’s goals by scaling </w:t>
      </w:r>
      <w:proofErr w:type="gramStart"/>
      <w:r w:rsidRPr="00306F4D">
        <w:rPr>
          <w:rFonts w:ascii="Arial" w:eastAsia="Arial" w:hAnsi="Arial" w:cs="Arial"/>
          <w:sz w:val="20"/>
          <w:szCs w:val="20"/>
          <w:lang w:val="en-GB"/>
        </w:rPr>
        <w:t>locally-led</w:t>
      </w:r>
      <w:proofErr w:type="gramEnd"/>
      <w:r w:rsidRPr="00306F4D">
        <w:rPr>
          <w:rFonts w:ascii="Arial" w:eastAsia="Arial" w:hAnsi="Arial" w:cs="Arial"/>
          <w:sz w:val="20"/>
          <w:szCs w:val="20"/>
          <w:lang w:val="en-GB"/>
        </w:rPr>
        <w:t xml:space="preserve"> climate adaptation solutions that address specific climate vulnerabilities. While GAWB focuses on broader sustainability objectives, the </w:t>
      </w:r>
      <w:r w:rsidRPr="00306F4D">
        <w:rPr>
          <w:rFonts w:ascii="Arial" w:eastAsia="Arial" w:hAnsi="Arial" w:cs="Arial"/>
          <w:b/>
          <w:sz w:val="20"/>
          <w:szCs w:val="20"/>
          <w:lang w:val="en-GB"/>
        </w:rPr>
        <w:t>Regional Project</w:t>
      </w:r>
      <w:r w:rsidRPr="00306F4D">
        <w:rPr>
          <w:rFonts w:ascii="Arial" w:eastAsia="Arial" w:hAnsi="Arial" w:cs="Arial"/>
          <w:sz w:val="20"/>
          <w:szCs w:val="20"/>
          <w:lang w:val="en-GB"/>
        </w:rPr>
        <w:t xml:space="preserve"> takes a more targeted approach, accelerating innovation at the community level and complementing the Green Agenda’s vision by strengthening local capacities for climate resilience and adaptation.</w:t>
      </w:r>
    </w:p>
    <w:p w14:paraId="5C6DE0D6" w14:textId="36BDC7EB" w:rsidR="004109C6" w:rsidRPr="00306F4D" w:rsidRDefault="391AC739" w:rsidP="4186447D">
      <w:pPr>
        <w:pStyle w:val="ListParagraph"/>
        <w:numPr>
          <w:ilvl w:val="0"/>
          <w:numId w:val="6"/>
        </w:numPr>
        <w:spacing w:before="240" w:after="240" w:line="276" w:lineRule="auto"/>
        <w:jc w:val="both"/>
        <w:rPr>
          <w:rFonts w:ascii="Arial" w:eastAsia="Arial" w:hAnsi="Arial" w:cs="Arial"/>
          <w:color w:val="000000" w:themeColor="text1"/>
          <w:sz w:val="20"/>
          <w:szCs w:val="20"/>
          <w:lang w:val="en-GB"/>
        </w:rPr>
      </w:pPr>
      <w:r w:rsidRPr="00306F4D">
        <w:rPr>
          <w:rFonts w:ascii="Arial" w:eastAsia="Arial" w:hAnsi="Arial" w:cs="Arial"/>
          <w:b/>
          <w:sz w:val="20"/>
          <w:szCs w:val="20"/>
          <w:lang w:val="en-GB"/>
        </w:rPr>
        <w:t>IUCN: Greening the Western Balkans Project (2024–2028)</w:t>
      </w:r>
    </w:p>
    <w:p w14:paraId="38DD0496" w14:textId="316E6735" w:rsidR="515AB70C" w:rsidRPr="00306F4D" w:rsidRDefault="05B73754" w:rsidP="00E60D8F">
      <w:pPr>
        <w:spacing w:before="240" w:after="240" w:line="276" w:lineRule="auto"/>
        <w:jc w:val="both"/>
        <w:rPr>
          <w:rFonts w:ascii="Arial" w:eastAsia="Arial" w:hAnsi="Arial" w:cs="Arial"/>
          <w:color w:val="000000" w:themeColor="text1"/>
          <w:sz w:val="20"/>
          <w:szCs w:val="20"/>
          <w:lang w:val="en-GB"/>
        </w:rPr>
      </w:pPr>
      <w:r w:rsidRPr="00306F4D">
        <w:rPr>
          <w:rFonts w:ascii="Arial" w:eastAsia="Arial" w:hAnsi="Arial" w:cs="Arial"/>
          <w:sz w:val="20"/>
          <w:szCs w:val="20"/>
        </w:rPr>
        <w:t>The Greening the Western Balkans Project</w:t>
      </w:r>
      <w:r w:rsidR="61BDFEF9" w:rsidRPr="00306F4D">
        <w:rPr>
          <w:rFonts w:ascii="Arial" w:eastAsia="Arial" w:hAnsi="Arial" w:cs="Arial"/>
          <w:sz w:val="20"/>
          <w:szCs w:val="20"/>
        </w:rPr>
        <w:t xml:space="preserve"> focuses on restoring and protecting biodiversity across the </w:t>
      </w:r>
      <w:r w:rsidRPr="00306F4D">
        <w:rPr>
          <w:rFonts w:ascii="Arial" w:eastAsia="Arial" w:hAnsi="Arial" w:cs="Arial"/>
          <w:sz w:val="20"/>
          <w:szCs w:val="20"/>
        </w:rPr>
        <w:t>region</w:t>
      </w:r>
      <w:r w:rsidR="61BDFEF9" w:rsidRPr="00306F4D">
        <w:rPr>
          <w:rFonts w:ascii="Arial" w:eastAsia="Arial" w:hAnsi="Arial" w:cs="Arial"/>
          <w:sz w:val="20"/>
          <w:szCs w:val="20"/>
        </w:rPr>
        <w:t>, strengthening governance</w:t>
      </w:r>
      <w:r w:rsidRPr="00306F4D">
        <w:rPr>
          <w:rFonts w:ascii="Arial" w:eastAsia="Arial" w:hAnsi="Arial" w:cs="Arial"/>
          <w:sz w:val="20"/>
          <w:szCs w:val="20"/>
        </w:rPr>
        <w:t>,</w:t>
      </w:r>
      <w:r w:rsidR="61BDFEF9" w:rsidRPr="00306F4D">
        <w:rPr>
          <w:rFonts w:ascii="Arial" w:eastAsia="Arial" w:hAnsi="Arial" w:cs="Arial"/>
          <w:sz w:val="20"/>
          <w:szCs w:val="20"/>
        </w:rPr>
        <w:t xml:space="preserve"> and promoting regional cooperation. The </w:t>
      </w:r>
      <w:r w:rsidR="61BDFEF9" w:rsidRPr="00306F4D">
        <w:rPr>
          <w:rFonts w:ascii="Arial" w:eastAsia="Arial" w:hAnsi="Arial" w:cs="Arial"/>
          <w:b/>
          <w:sz w:val="20"/>
          <w:szCs w:val="20"/>
        </w:rPr>
        <w:t>Regional Project</w:t>
      </w:r>
      <w:r w:rsidR="61BDFEF9" w:rsidRPr="00306F4D">
        <w:rPr>
          <w:rFonts w:ascii="Arial" w:eastAsia="Arial" w:hAnsi="Arial" w:cs="Arial"/>
          <w:sz w:val="20"/>
          <w:szCs w:val="20"/>
        </w:rPr>
        <w:t xml:space="preserve"> complements </w:t>
      </w:r>
      <w:r w:rsidRPr="00306F4D">
        <w:rPr>
          <w:rFonts w:ascii="Arial" w:eastAsia="Arial" w:hAnsi="Arial" w:cs="Arial"/>
          <w:sz w:val="20"/>
          <w:szCs w:val="20"/>
        </w:rPr>
        <w:t>these</w:t>
      </w:r>
      <w:r w:rsidR="61BDFEF9" w:rsidRPr="00306F4D">
        <w:rPr>
          <w:rFonts w:ascii="Arial" w:eastAsia="Arial" w:hAnsi="Arial" w:cs="Arial"/>
          <w:sz w:val="20"/>
          <w:szCs w:val="20"/>
        </w:rPr>
        <w:t xml:space="preserve"> efforts by enhancing climate resilience through </w:t>
      </w:r>
      <w:proofErr w:type="gramStart"/>
      <w:r w:rsidR="61BDFEF9" w:rsidRPr="00306F4D">
        <w:rPr>
          <w:rFonts w:ascii="Arial" w:eastAsia="Arial" w:hAnsi="Arial" w:cs="Arial"/>
          <w:sz w:val="20"/>
          <w:szCs w:val="20"/>
        </w:rPr>
        <w:t>locally-led</w:t>
      </w:r>
      <w:proofErr w:type="gramEnd"/>
      <w:r w:rsidR="61BDFEF9" w:rsidRPr="00306F4D">
        <w:rPr>
          <w:rFonts w:ascii="Arial" w:eastAsia="Arial" w:hAnsi="Arial" w:cs="Arial"/>
          <w:sz w:val="20"/>
          <w:szCs w:val="20"/>
        </w:rPr>
        <w:t xml:space="preserve"> adaptation innovations, addressing local climate risks</w:t>
      </w:r>
      <w:r w:rsidRPr="00306F4D">
        <w:rPr>
          <w:rFonts w:ascii="Arial" w:eastAsia="Arial" w:hAnsi="Arial" w:cs="Arial"/>
          <w:sz w:val="20"/>
          <w:szCs w:val="20"/>
        </w:rPr>
        <w:t>, and scaling up climate adaptation solutions.</w:t>
      </w:r>
      <w:r w:rsidR="391AC739" w:rsidRPr="00306F4D">
        <w:rPr>
          <w:rFonts w:ascii="Arial" w:eastAsia="Arial" w:hAnsi="Arial" w:cs="Arial"/>
          <w:sz w:val="20"/>
          <w:szCs w:val="20"/>
        </w:rPr>
        <w:t xml:space="preserve"> While </w:t>
      </w:r>
      <w:r w:rsidRPr="00306F4D">
        <w:rPr>
          <w:rFonts w:ascii="Arial" w:eastAsia="Arial" w:hAnsi="Arial" w:cs="Arial"/>
          <w:sz w:val="20"/>
          <w:szCs w:val="20"/>
        </w:rPr>
        <w:t>both projects share a</w:t>
      </w:r>
      <w:r w:rsidR="391AC739" w:rsidRPr="00306F4D">
        <w:rPr>
          <w:rFonts w:ascii="Arial" w:eastAsia="Arial" w:hAnsi="Arial" w:cs="Arial"/>
          <w:sz w:val="20"/>
          <w:szCs w:val="20"/>
        </w:rPr>
        <w:t xml:space="preserve"> focus on environmental sustainability, the </w:t>
      </w:r>
      <w:r w:rsidR="391AC739" w:rsidRPr="00306F4D">
        <w:rPr>
          <w:rFonts w:ascii="Arial" w:eastAsia="Arial" w:hAnsi="Arial" w:cs="Arial"/>
          <w:b/>
          <w:sz w:val="20"/>
          <w:szCs w:val="20"/>
        </w:rPr>
        <w:t>Regional Project</w:t>
      </w:r>
      <w:r w:rsidR="391AC739" w:rsidRPr="00306F4D">
        <w:rPr>
          <w:rFonts w:ascii="Arial" w:eastAsia="Arial" w:hAnsi="Arial" w:cs="Arial"/>
          <w:sz w:val="20"/>
          <w:szCs w:val="20"/>
        </w:rPr>
        <w:t xml:space="preserve"> </w:t>
      </w:r>
      <w:r w:rsidRPr="00306F4D">
        <w:rPr>
          <w:rFonts w:ascii="Arial" w:eastAsia="Arial" w:hAnsi="Arial" w:cs="Arial"/>
          <w:sz w:val="20"/>
          <w:szCs w:val="20"/>
        </w:rPr>
        <w:t>extends</w:t>
      </w:r>
      <w:r w:rsidR="391AC739" w:rsidRPr="00306F4D">
        <w:rPr>
          <w:rFonts w:ascii="Arial" w:eastAsia="Arial" w:hAnsi="Arial" w:cs="Arial"/>
          <w:sz w:val="20"/>
          <w:szCs w:val="20"/>
        </w:rPr>
        <w:t xml:space="preserve"> IUCN’s work by introducing new practices for climate resilience and supporting communities in adapting to climate change, without duplicating conservation activities.</w:t>
      </w:r>
    </w:p>
    <w:p w14:paraId="411658D4" w14:textId="312C81D8" w:rsidR="004109C6" w:rsidRPr="00306F4D" w:rsidRDefault="391AC739" w:rsidP="4186447D">
      <w:pPr>
        <w:pStyle w:val="ListParagraph"/>
        <w:numPr>
          <w:ilvl w:val="0"/>
          <w:numId w:val="6"/>
        </w:numPr>
        <w:spacing w:before="240" w:after="240" w:line="276" w:lineRule="auto"/>
        <w:jc w:val="both"/>
        <w:rPr>
          <w:rFonts w:ascii="Arial" w:eastAsia="Arial" w:hAnsi="Arial" w:cs="Arial"/>
          <w:color w:val="000000" w:themeColor="text1"/>
          <w:sz w:val="20"/>
          <w:szCs w:val="20"/>
          <w:lang w:val="en-GB"/>
        </w:rPr>
      </w:pPr>
      <w:r w:rsidRPr="00306F4D">
        <w:rPr>
          <w:rFonts w:ascii="Arial" w:eastAsia="Arial" w:hAnsi="Arial" w:cs="Arial"/>
          <w:b/>
          <w:sz w:val="20"/>
          <w:szCs w:val="20"/>
          <w:lang w:val="en-GB"/>
        </w:rPr>
        <w:t>IUCN (SIDA): ADAPT 2.0: Nature-based Solutions (</w:t>
      </w:r>
      <w:proofErr w:type="spellStart"/>
      <w:r w:rsidRPr="00306F4D">
        <w:rPr>
          <w:rFonts w:ascii="Arial" w:eastAsia="Arial" w:hAnsi="Arial" w:cs="Arial"/>
          <w:b/>
          <w:sz w:val="20"/>
          <w:szCs w:val="20"/>
          <w:lang w:val="en-GB"/>
        </w:rPr>
        <w:t>NbS</w:t>
      </w:r>
      <w:proofErr w:type="spellEnd"/>
      <w:r w:rsidRPr="00306F4D">
        <w:rPr>
          <w:rFonts w:ascii="Arial" w:eastAsia="Arial" w:hAnsi="Arial" w:cs="Arial"/>
          <w:b/>
          <w:sz w:val="20"/>
          <w:szCs w:val="20"/>
          <w:lang w:val="en-GB"/>
        </w:rPr>
        <w:t>) for Climate Change Mitigation and Adaptation</w:t>
      </w:r>
    </w:p>
    <w:p w14:paraId="3392FA4A" w14:textId="04CF15F0" w:rsidR="515AB70C" w:rsidRPr="00306F4D" w:rsidRDefault="3FA50768" w:rsidP="00E60D8F">
      <w:pPr>
        <w:spacing w:before="240" w:after="240" w:line="276" w:lineRule="auto"/>
        <w:jc w:val="both"/>
        <w:rPr>
          <w:rFonts w:ascii="Arial" w:eastAsia="Arial" w:hAnsi="Arial" w:cs="Arial"/>
          <w:color w:val="000000" w:themeColor="text1"/>
          <w:sz w:val="20"/>
          <w:szCs w:val="20"/>
          <w:lang w:val="en-GB"/>
        </w:rPr>
      </w:pPr>
      <w:r w:rsidRPr="00306F4D">
        <w:rPr>
          <w:rFonts w:ascii="Arial" w:eastAsia="Arial" w:hAnsi="Arial" w:cs="Arial"/>
          <w:sz w:val="20"/>
          <w:szCs w:val="20"/>
        </w:rPr>
        <w:lastRenderedPageBreak/>
        <w:t xml:space="preserve">ADAPT 2.0 integrates </w:t>
      </w:r>
      <w:r w:rsidR="621C8261" w:rsidRPr="00306F4D">
        <w:rPr>
          <w:rFonts w:ascii="Arial" w:eastAsia="Arial" w:hAnsi="Arial" w:cs="Arial"/>
          <w:sz w:val="20"/>
          <w:szCs w:val="20"/>
        </w:rPr>
        <w:t>Nature-based Solutions (</w:t>
      </w:r>
      <w:proofErr w:type="spellStart"/>
      <w:r w:rsidR="621C8261" w:rsidRPr="00306F4D">
        <w:rPr>
          <w:rFonts w:ascii="Arial" w:eastAsia="Arial" w:hAnsi="Arial" w:cs="Arial"/>
          <w:sz w:val="20"/>
          <w:szCs w:val="20"/>
        </w:rPr>
        <w:t>NbS</w:t>
      </w:r>
      <w:proofErr w:type="spellEnd"/>
      <w:r w:rsidR="621C8261" w:rsidRPr="00306F4D">
        <w:rPr>
          <w:rFonts w:ascii="Arial" w:eastAsia="Arial" w:hAnsi="Arial" w:cs="Arial"/>
          <w:sz w:val="20"/>
          <w:szCs w:val="20"/>
        </w:rPr>
        <w:t xml:space="preserve">) </w:t>
      </w:r>
      <w:r w:rsidRPr="00306F4D">
        <w:rPr>
          <w:rFonts w:ascii="Arial" w:eastAsia="Arial" w:hAnsi="Arial" w:cs="Arial"/>
          <w:sz w:val="20"/>
          <w:szCs w:val="20"/>
        </w:rPr>
        <w:t xml:space="preserve">into regional policies and development frameworks to address climate and biodiversity challenges in the Western Balkans. The </w:t>
      </w:r>
      <w:r w:rsidRPr="00306F4D">
        <w:rPr>
          <w:rFonts w:ascii="Arial" w:eastAsia="Arial" w:hAnsi="Arial" w:cs="Arial"/>
          <w:b/>
          <w:sz w:val="20"/>
          <w:szCs w:val="20"/>
        </w:rPr>
        <w:t>Regional Project</w:t>
      </w:r>
      <w:r w:rsidRPr="00306F4D">
        <w:rPr>
          <w:rFonts w:ascii="Arial" w:eastAsia="Arial" w:hAnsi="Arial" w:cs="Arial"/>
          <w:sz w:val="20"/>
          <w:szCs w:val="20"/>
        </w:rPr>
        <w:t xml:space="preserve"> complements ADAPT 2.0 by extending </w:t>
      </w:r>
      <w:proofErr w:type="spellStart"/>
      <w:r w:rsidRPr="00306F4D">
        <w:rPr>
          <w:rFonts w:ascii="Arial" w:eastAsia="Arial" w:hAnsi="Arial" w:cs="Arial"/>
          <w:sz w:val="20"/>
          <w:szCs w:val="20"/>
        </w:rPr>
        <w:t>NbS</w:t>
      </w:r>
      <w:proofErr w:type="spellEnd"/>
      <w:r w:rsidRPr="00306F4D">
        <w:rPr>
          <w:rFonts w:ascii="Arial" w:eastAsia="Arial" w:hAnsi="Arial" w:cs="Arial"/>
          <w:sz w:val="20"/>
          <w:szCs w:val="20"/>
        </w:rPr>
        <w:t xml:space="preserve"> into a broader adaptation strategy</w:t>
      </w:r>
      <w:r w:rsidR="621C8261" w:rsidRPr="00306F4D">
        <w:rPr>
          <w:rFonts w:ascii="Arial" w:eastAsia="Arial" w:hAnsi="Arial" w:cs="Arial"/>
          <w:sz w:val="20"/>
          <w:szCs w:val="20"/>
        </w:rPr>
        <w:t xml:space="preserve"> that addresses a wider range of </w:t>
      </w:r>
      <w:r w:rsidRPr="00306F4D">
        <w:rPr>
          <w:rFonts w:ascii="Arial" w:eastAsia="Arial" w:hAnsi="Arial" w:cs="Arial"/>
          <w:sz w:val="20"/>
          <w:szCs w:val="20"/>
        </w:rPr>
        <w:t xml:space="preserve">climate vulnerabilities and </w:t>
      </w:r>
      <w:r w:rsidR="621C8261" w:rsidRPr="00306F4D">
        <w:rPr>
          <w:rFonts w:ascii="Arial" w:eastAsia="Arial" w:hAnsi="Arial" w:cs="Arial"/>
          <w:sz w:val="20"/>
          <w:szCs w:val="20"/>
        </w:rPr>
        <w:t xml:space="preserve">promotes </w:t>
      </w:r>
      <w:proofErr w:type="gramStart"/>
      <w:r w:rsidR="621C8261" w:rsidRPr="00306F4D">
        <w:rPr>
          <w:rFonts w:ascii="Arial" w:eastAsia="Arial" w:hAnsi="Arial" w:cs="Arial"/>
          <w:sz w:val="20"/>
          <w:szCs w:val="20"/>
        </w:rPr>
        <w:t>locally-led</w:t>
      </w:r>
      <w:proofErr w:type="gramEnd"/>
      <w:r w:rsidR="621C8261" w:rsidRPr="00306F4D">
        <w:rPr>
          <w:rFonts w:ascii="Arial" w:eastAsia="Arial" w:hAnsi="Arial" w:cs="Arial"/>
          <w:sz w:val="20"/>
          <w:szCs w:val="20"/>
        </w:rPr>
        <w:t xml:space="preserve"> </w:t>
      </w:r>
      <w:r w:rsidRPr="00306F4D">
        <w:rPr>
          <w:rFonts w:ascii="Arial" w:eastAsia="Arial" w:hAnsi="Arial" w:cs="Arial"/>
          <w:sz w:val="20"/>
          <w:szCs w:val="20"/>
        </w:rPr>
        <w:t xml:space="preserve">solutions </w:t>
      </w:r>
      <w:r w:rsidR="621C8261" w:rsidRPr="00306F4D">
        <w:rPr>
          <w:rFonts w:ascii="Arial" w:eastAsia="Arial" w:hAnsi="Arial" w:cs="Arial"/>
          <w:sz w:val="20"/>
          <w:szCs w:val="20"/>
        </w:rPr>
        <w:t xml:space="preserve">to </w:t>
      </w:r>
      <w:r w:rsidRPr="00306F4D">
        <w:rPr>
          <w:rFonts w:ascii="Arial" w:eastAsia="Arial" w:hAnsi="Arial" w:cs="Arial"/>
          <w:sz w:val="20"/>
          <w:szCs w:val="20"/>
        </w:rPr>
        <w:t xml:space="preserve">enhance resilience across the region. </w:t>
      </w:r>
      <w:r w:rsidR="58383EA4" w:rsidRPr="00306F4D">
        <w:rPr>
          <w:rFonts w:ascii="Arial" w:eastAsia="Arial" w:hAnsi="Arial" w:cs="Arial"/>
          <w:sz w:val="20"/>
          <w:szCs w:val="20"/>
        </w:rPr>
        <w:t xml:space="preserve">While ADAPT 2.0 focuses primarily on </w:t>
      </w:r>
      <w:proofErr w:type="spellStart"/>
      <w:r w:rsidR="58383EA4" w:rsidRPr="00306F4D">
        <w:rPr>
          <w:rFonts w:ascii="Arial" w:eastAsia="Arial" w:hAnsi="Arial" w:cs="Arial"/>
          <w:sz w:val="20"/>
          <w:szCs w:val="20"/>
        </w:rPr>
        <w:t>NbS</w:t>
      </w:r>
      <w:proofErr w:type="spellEnd"/>
      <w:r w:rsidR="58383EA4" w:rsidRPr="00306F4D">
        <w:rPr>
          <w:rFonts w:ascii="Arial" w:eastAsia="Arial" w:hAnsi="Arial" w:cs="Arial"/>
          <w:sz w:val="20"/>
          <w:szCs w:val="20"/>
        </w:rPr>
        <w:t xml:space="preserve"> for climate mitigation and adaptation, the </w:t>
      </w:r>
      <w:r w:rsidR="58383EA4" w:rsidRPr="00306F4D">
        <w:rPr>
          <w:rFonts w:ascii="Arial" w:eastAsia="Arial" w:hAnsi="Arial" w:cs="Arial"/>
          <w:b/>
          <w:sz w:val="20"/>
          <w:szCs w:val="20"/>
        </w:rPr>
        <w:t>Regional Project</w:t>
      </w:r>
      <w:r w:rsidR="58383EA4" w:rsidRPr="00306F4D">
        <w:rPr>
          <w:rFonts w:ascii="Arial" w:eastAsia="Arial" w:hAnsi="Arial" w:cs="Arial"/>
          <w:sz w:val="20"/>
          <w:szCs w:val="20"/>
        </w:rPr>
        <w:t xml:space="preserve"> </w:t>
      </w:r>
      <w:r w:rsidR="621C8261" w:rsidRPr="00306F4D">
        <w:rPr>
          <w:rFonts w:ascii="Arial" w:eastAsia="Arial" w:hAnsi="Arial" w:cs="Arial"/>
          <w:sz w:val="20"/>
          <w:szCs w:val="20"/>
        </w:rPr>
        <w:t xml:space="preserve">incorporates </w:t>
      </w:r>
      <w:proofErr w:type="spellStart"/>
      <w:r w:rsidR="621C8261" w:rsidRPr="00306F4D">
        <w:rPr>
          <w:rFonts w:ascii="Arial" w:eastAsia="Arial" w:hAnsi="Arial" w:cs="Arial"/>
          <w:sz w:val="20"/>
          <w:szCs w:val="20"/>
        </w:rPr>
        <w:t>NbS</w:t>
      </w:r>
      <w:proofErr w:type="spellEnd"/>
      <w:r w:rsidR="621C8261" w:rsidRPr="00306F4D">
        <w:rPr>
          <w:rFonts w:ascii="Arial" w:eastAsia="Arial" w:hAnsi="Arial" w:cs="Arial"/>
          <w:sz w:val="20"/>
          <w:szCs w:val="20"/>
        </w:rPr>
        <w:t xml:space="preserve"> as a key component while introducing additional innovative </w:t>
      </w:r>
      <w:r w:rsidR="58383EA4" w:rsidRPr="00306F4D">
        <w:rPr>
          <w:rFonts w:ascii="Arial" w:eastAsia="Arial" w:hAnsi="Arial" w:cs="Arial"/>
          <w:sz w:val="20"/>
          <w:szCs w:val="20"/>
        </w:rPr>
        <w:t>adaptation practices</w:t>
      </w:r>
      <w:r w:rsidR="621C8261" w:rsidRPr="00306F4D">
        <w:rPr>
          <w:rFonts w:ascii="Arial" w:eastAsia="Arial" w:hAnsi="Arial" w:cs="Arial"/>
          <w:sz w:val="20"/>
          <w:szCs w:val="20"/>
        </w:rPr>
        <w:t>, ensuring alignment</w:t>
      </w:r>
      <w:r w:rsidR="58383EA4" w:rsidRPr="00306F4D">
        <w:rPr>
          <w:rFonts w:ascii="Arial" w:eastAsia="Arial" w:hAnsi="Arial" w:cs="Arial"/>
          <w:sz w:val="20"/>
          <w:szCs w:val="20"/>
        </w:rPr>
        <w:t xml:space="preserve"> with the broader climate adaptation agenda without duplicating </w:t>
      </w:r>
      <w:r w:rsidR="621C8261" w:rsidRPr="00306F4D">
        <w:rPr>
          <w:rFonts w:ascii="Arial" w:eastAsia="Arial" w:hAnsi="Arial" w:cs="Arial"/>
          <w:sz w:val="20"/>
          <w:szCs w:val="20"/>
        </w:rPr>
        <w:t>ADAPT 2.0’s</w:t>
      </w:r>
      <w:r w:rsidR="58383EA4" w:rsidRPr="00306F4D">
        <w:rPr>
          <w:rFonts w:ascii="Arial" w:eastAsia="Arial" w:hAnsi="Arial" w:cs="Arial"/>
          <w:sz w:val="20"/>
          <w:szCs w:val="20"/>
        </w:rPr>
        <w:t xml:space="preserve"> focus.</w:t>
      </w:r>
    </w:p>
    <w:p w14:paraId="32D3686C" w14:textId="43F0AE67" w:rsidR="004109C6" w:rsidRPr="00306F4D" w:rsidRDefault="391AC739" w:rsidP="4186447D">
      <w:pPr>
        <w:pStyle w:val="ListParagraph"/>
        <w:numPr>
          <w:ilvl w:val="0"/>
          <w:numId w:val="6"/>
        </w:numPr>
        <w:spacing w:before="240" w:after="240" w:line="276" w:lineRule="auto"/>
        <w:jc w:val="both"/>
        <w:rPr>
          <w:rFonts w:ascii="Arial" w:eastAsia="Arial" w:hAnsi="Arial" w:cs="Arial"/>
          <w:color w:val="000000" w:themeColor="text1"/>
          <w:sz w:val="20"/>
          <w:szCs w:val="20"/>
        </w:rPr>
      </w:pPr>
      <w:r w:rsidRPr="00306F4D">
        <w:rPr>
          <w:rFonts w:ascii="Arial" w:eastAsia="Arial" w:hAnsi="Arial" w:cs="Arial"/>
          <w:b/>
          <w:sz w:val="20"/>
          <w:szCs w:val="20"/>
          <w:lang w:val="en-GB"/>
        </w:rPr>
        <w:t>EU’s Economic and Investment Plan for the Western Balkans (EIP)</w:t>
      </w:r>
    </w:p>
    <w:p w14:paraId="05B87FB1" w14:textId="237E883A" w:rsidR="515AB70C" w:rsidRPr="00306F4D" w:rsidRDefault="76C6F259" w:rsidP="00E60D8F">
      <w:pPr>
        <w:spacing w:before="240" w:after="240" w:line="276" w:lineRule="auto"/>
        <w:jc w:val="both"/>
        <w:rPr>
          <w:rFonts w:ascii="Arial" w:eastAsia="Arial" w:hAnsi="Arial" w:cs="Arial"/>
          <w:color w:val="000000" w:themeColor="text1"/>
          <w:sz w:val="20"/>
          <w:szCs w:val="20"/>
        </w:rPr>
      </w:pPr>
      <w:r w:rsidRPr="00306F4D">
        <w:rPr>
          <w:rFonts w:ascii="Arial" w:eastAsia="Arial" w:hAnsi="Arial" w:cs="Arial"/>
          <w:sz w:val="20"/>
          <w:szCs w:val="20"/>
        </w:rPr>
        <w:t xml:space="preserve">The EIP </w:t>
      </w:r>
      <w:r w:rsidR="013E1DA8" w:rsidRPr="00306F4D">
        <w:rPr>
          <w:rFonts w:ascii="Arial" w:eastAsia="Arial" w:hAnsi="Arial" w:cs="Arial"/>
          <w:sz w:val="20"/>
          <w:szCs w:val="20"/>
        </w:rPr>
        <w:t>focuses on driving</w:t>
      </w:r>
      <w:r w:rsidRPr="00306F4D">
        <w:rPr>
          <w:rFonts w:ascii="Arial" w:eastAsia="Arial" w:hAnsi="Arial" w:cs="Arial"/>
          <w:sz w:val="20"/>
          <w:szCs w:val="20"/>
        </w:rPr>
        <w:t xml:space="preserve"> long-term economic recovery and green transition</w:t>
      </w:r>
      <w:r w:rsidR="013E1DA8" w:rsidRPr="00306F4D">
        <w:rPr>
          <w:rFonts w:ascii="Arial" w:eastAsia="Arial" w:hAnsi="Arial" w:cs="Arial"/>
          <w:sz w:val="20"/>
          <w:szCs w:val="20"/>
        </w:rPr>
        <w:t xml:space="preserve"> through</w:t>
      </w:r>
      <w:r w:rsidRPr="00306F4D">
        <w:rPr>
          <w:rFonts w:ascii="Arial" w:eastAsia="Arial" w:hAnsi="Arial" w:cs="Arial"/>
          <w:sz w:val="20"/>
          <w:szCs w:val="20"/>
        </w:rPr>
        <w:t xml:space="preserve"> infrastructure and economic development. The </w:t>
      </w:r>
      <w:r w:rsidRPr="00306F4D">
        <w:rPr>
          <w:rFonts w:ascii="Arial" w:eastAsia="Arial" w:hAnsi="Arial" w:cs="Arial"/>
          <w:b/>
          <w:sz w:val="20"/>
          <w:szCs w:val="20"/>
        </w:rPr>
        <w:t>Regional Project</w:t>
      </w:r>
      <w:r w:rsidRPr="00306F4D">
        <w:rPr>
          <w:rFonts w:ascii="Arial" w:eastAsia="Arial" w:hAnsi="Arial" w:cs="Arial"/>
          <w:sz w:val="20"/>
          <w:szCs w:val="20"/>
        </w:rPr>
        <w:t xml:space="preserve"> complements the EIP by </w:t>
      </w:r>
      <w:r w:rsidR="010046C8" w:rsidRPr="00306F4D">
        <w:rPr>
          <w:rFonts w:ascii="Arial" w:eastAsia="Arial" w:hAnsi="Arial" w:cs="Arial"/>
          <w:sz w:val="20"/>
          <w:szCs w:val="20"/>
        </w:rPr>
        <w:t>scaling up climate adaptation solutions at the local level</w:t>
      </w:r>
      <w:r w:rsidR="013E1DA8" w:rsidRPr="00306F4D">
        <w:rPr>
          <w:rFonts w:ascii="Arial" w:eastAsia="Arial" w:hAnsi="Arial" w:cs="Arial"/>
          <w:sz w:val="20"/>
          <w:szCs w:val="20"/>
        </w:rPr>
        <w:t>, addressing the specific</w:t>
      </w:r>
      <w:r w:rsidR="010046C8" w:rsidRPr="00306F4D">
        <w:rPr>
          <w:rFonts w:ascii="Arial" w:eastAsia="Arial" w:hAnsi="Arial" w:cs="Arial"/>
          <w:sz w:val="20"/>
          <w:szCs w:val="20"/>
        </w:rPr>
        <w:t xml:space="preserve"> climate vulnerabilities of communities and ecosystems. </w:t>
      </w:r>
      <w:r w:rsidR="013E1DA8" w:rsidRPr="00306F4D">
        <w:rPr>
          <w:rFonts w:ascii="Arial" w:eastAsia="Arial" w:hAnsi="Arial" w:cs="Arial"/>
          <w:sz w:val="20"/>
          <w:szCs w:val="20"/>
        </w:rPr>
        <w:t>While the EIP emphasizes sustainable economic growth and green transformation</w:t>
      </w:r>
      <w:r w:rsidR="010046C8" w:rsidRPr="00306F4D">
        <w:rPr>
          <w:rFonts w:ascii="Arial" w:eastAsia="Arial" w:hAnsi="Arial" w:cs="Arial"/>
          <w:sz w:val="20"/>
          <w:szCs w:val="20"/>
        </w:rPr>
        <w:t xml:space="preserve">, the </w:t>
      </w:r>
      <w:r w:rsidR="010046C8" w:rsidRPr="00306F4D">
        <w:rPr>
          <w:rFonts w:ascii="Arial" w:eastAsia="Arial" w:hAnsi="Arial" w:cs="Arial"/>
          <w:b/>
          <w:sz w:val="20"/>
          <w:szCs w:val="20"/>
        </w:rPr>
        <w:t>Regional Project</w:t>
      </w:r>
      <w:r w:rsidR="010046C8" w:rsidRPr="00306F4D">
        <w:rPr>
          <w:rFonts w:ascii="Arial" w:eastAsia="Arial" w:hAnsi="Arial" w:cs="Arial"/>
          <w:sz w:val="20"/>
          <w:szCs w:val="20"/>
        </w:rPr>
        <w:t xml:space="preserve"> </w:t>
      </w:r>
      <w:r w:rsidR="013E1DA8" w:rsidRPr="00306F4D">
        <w:rPr>
          <w:rFonts w:ascii="Arial" w:eastAsia="Arial" w:hAnsi="Arial" w:cs="Arial"/>
          <w:sz w:val="20"/>
          <w:szCs w:val="20"/>
        </w:rPr>
        <w:t xml:space="preserve">ensures that </w:t>
      </w:r>
      <w:r w:rsidR="010046C8" w:rsidRPr="00306F4D">
        <w:rPr>
          <w:rFonts w:ascii="Arial" w:eastAsia="Arial" w:hAnsi="Arial" w:cs="Arial"/>
          <w:sz w:val="20"/>
          <w:szCs w:val="20"/>
        </w:rPr>
        <w:t xml:space="preserve">climate resilience is integrated into the </w:t>
      </w:r>
      <w:r w:rsidR="013E1DA8" w:rsidRPr="00306F4D">
        <w:rPr>
          <w:rFonts w:ascii="Arial" w:eastAsia="Arial" w:hAnsi="Arial" w:cs="Arial"/>
          <w:sz w:val="20"/>
          <w:szCs w:val="20"/>
        </w:rPr>
        <w:t xml:space="preserve">region’s </w:t>
      </w:r>
      <w:r w:rsidR="010046C8" w:rsidRPr="00306F4D">
        <w:rPr>
          <w:rFonts w:ascii="Arial" w:eastAsia="Arial" w:hAnsi="Arial" w:cs="Arial"/>
          <w:sz w:val="20"/>
          <w:szCs w:val="20"/>
        </w:rPr>
        <w:t xml:space="preserve">broader development </w:t>
      </w:r>
      <w:r w:rsidR="013E1DA8" w:rsidRPr="00306F4D">
        <w:rPr>
          <w:rFonts w:ascii="Arial" w:eastAsia="Arial" w:hAnsi="Arial" w:cs="Arial"/>
          <w:sz w:val="20"/>
          <w:szCs w:val="20"/>
        </w:rPr>
        <w:t>strategies, filling an important gap in local adaptation efforts.</w:t>
      </w:r>
      <w:r w:rsidR="010046C8" w:rsidRPr="00306F4D">
        <w:rPr>
          <w:rFonts w:ascii="Arial" w:eastAsia="Arial" w:hAnsi="Arial" w:cs="Arial"/>
          <w:sz w:val="20"/>
          <w:szCs w:val="20"/>
        </w:rPr>
        <w:t xml:space="preserve"> This alignment </w:t>
      </w:r>
      <w:r w:rsidR="013E1DA8" w:rsidRPr="00306F4D">
        <w:rPr>
          <w:rFonts w:ascii="Arial" w:eastAsia="Arial" w:hAnsi="Arial" w:cs="Arial"/>
          <w:sz w:val="20"/>
          <w:szCs w:val="20"/>
        </w:rPr>
        <w:t xml:space="preserve">allows </w:t>
      </w:r>
      <w:r w:rsidR="010046C8" w:rsidRPr="00306F4D">
        <w:rPr>
          <w:rFonts w:ascii="Arial" w:eastAsia="Arial" w:hAnsi="Arial" w:cs="Arial"/>
          <w:sz w:val="20"/>
          <w:szCs w:val="20"/>
        </w:rPr>
        <w:t xml:space="preserve">both projects </w:t>
      </w:r>
      <w:r w:rsidR="013E1DA8" w:rsidRPr="00306F4D">
        <w:rPr>
          <w:rFonts w:ascii="Arial" w:eastAsia="Arial" w:hAnsi="Arial" w:cs="Arial"/>
          <w:sz w:val="20"/>
          <w:szCs w:val="20"/>
        </w:rPr>
        <w:t xml:space="preserve">to </w:t>
      </w:r>
      <w:r w:rsidR="010046C8" w:rsidRPr="00306F4D">
        <w:rPr>
          <w:rFonts w:ascii="Arial" w:eastAsia="Arial" w:hAnsi="Arial" w:cs="Arial"/>
          <w:sz w:val="20"/>
          <w:szCs w:val="20"/>
        </w:rPr>
        <w:t xml:space="preserve">contribute to a cohesive strategy for sustainable development without </w:t>
      </w:r>
      <w:r w:rsidR="013E1DA8" w:rsidRPr="00306F4D">
        <w:rPr>
          <w:rFonts w:ascii="Arial" w:eastAsia="Arial" w:hAnsi="Arial" w:cs="Arial"/>
          <w:sz w:val="20"/>
          <w:szCs w:val="20"/>
        </w:rPr>
        <w:t>overlapping</w:t>
      </w:r>
      <w:r w:rsidR="010046C8" w:rsidRPr="00306F4D">
        <w:rPr>
          <w:rFonts w:ascii="Arial" w:eastAsia="Arial" w:hAnsi="Arial" w:cs="Arial"/>
          <w:sz w:val="20"/>
          <w:szCs w:val="20"/>
        </w:rPr>
        <w:t xml:space="preserve"> in their core activities.</w:t>
      </w:r>
    </w:p>
    <w:p w14:paraId="66DFD2DE" w14:textId="74ADE030" w:rsidR="004109C6" w:rsidRPr="00306F4D" w:rsidRDefault="391AC739" w:rsidP="4186447D">
      <w:pPr>
        <w:pStyle w:val="ListParagraph"/>
        <w:numPr>
          <w:ilvl w:val="0"/>
          <w:numId w:val="6"/>
        </w:numPr>
        <w:spacing w:before="240" w:after="240" w:line="276" w:lineRule="auto"/>
        <w:jc w:val="both"/>
        <w:rPr>
          <w:rFonts w:ascii="Arial" w:eastAsia="Arial" w:hAnsi="Arial" w:cs="Arial"/>
          <w:color w:val="000000" w:themeColor="text1"/>
          <w:sz w:val="20"/>
          <w:szCs w:val="20"/>
          <w:lang w:val="en-GB"/>
        </w:rPr>
      </w:pPr>
      <w:r w:rsidRPr="00306F4D">
        <w:rPr>
          <w:rFonts w:ascii="Arial" w:eastAsia="Arial" w:hAnsi="Arial" w:cs="Arial"/>
          <w:b/>
          <w:sz w:val="20"/>
          <w:szCs w:val="20"/>
          <w:lang w:val="en-GB"/>
        </w:rPr>
        <w:t>AF-UNDP: Integrated Climate-resilient Transboundary Flood Risk Management in the Drin River Basin</w:t>
      </w:r>
    </w:p>
    <w:p w14:paraId="3FB9D37F" w14:textId="6C2F1FB2" w:rsidR="391AC739" w:rsidRPr="00306F4D" w:rsidRDefault="4A713974" w:rsidP="4186447D">
      <w:pPr>
        <w:spacing w:before="240" w:after="240" w:line="276" w:lineRule="auto"/>
        <w:jc w:val="both"/>
        <w:rPr>
          <w:rFonts w:ascii="Arial" w:eastAsia="Arial" w:hAnsi="Arial" w:cs="Arial"/>
          <w:color w:val="000000" w:themeColor="text1"/>
          <w:sz w:val="20"/>
          <w:szCs w:val="20"/>
          <w:lang w:val="en-GB"/>
        </w:rPr>
      </w:pPr>
      <w:r w:rsidRPr="00306F4D">
        <w:rPr>
          <w:rFonts w:ascii="Arial" w:eastAsia="Arial" w:hAnsi="Arial" w:cs="Arial"/>
          <w:sz w:val="20"/>
          <w:szCs w:val="20"/>
        </w:rPr>
        <w:t xml:space="preserve">The AF-UNDP project focuses on transboundary flood risk management in the Drin River Basin, addressing climate-induced risks through improved coordination and resilience-building measures. The </w:t>
      </w:r>
      <w:r w:rsidRPr="00306F4D">
        <w:rPr>
          <w:rFonts w:ascii="Arial" w:eastAsia="Arial" w:hAnsi="Arial" w:cs="Arial"/>
          <w:b/>
          <w:sz w:val="20"/>
          <w:szCs w:val="20"/>
        </w:rPr>
        <w:t>Regional Project</w:t>
      </w:r>
      <w:r w:rsidRPr="00306F4D">
        <w:rPr>
          <w:rFonts w:ascii="Arial" w:eastAsia="Arial" w:hAnsi="Arial" w:cs="Arial"/>
          <w:sz w:val="20"/>
          <w:szCs w:val="20"/>
        </w:rPr>
        <w:t xml:space="preserve"> complements this initiative by expanding its scope beyond flood risk management, addressing a wider range of climate adaptation challenges across the Western Balkans. While both projects aim to enhance climate resilience, the </w:t>
      </w:r>
      <w:r w:rsidRPr="00306F4D">
        <w:rPr>
          <w:rFonts w:ascii="Arial" w:eastAsia="Arial" w:hAnsi="Arial" w:cs="Arial"/>
          <w:b/>
          <w:sz w:val="20"/>
          <w:szCs w:val="20"/>
        </w:rPr>
        <w:t>Regional Project</w:t>
      </w:r>
      <w:r w:rsidRPr="00306F4D">
        <w:rPr>
          <w:rFonts w:ascii="Arial" w:eastAsia="Arial" w:hAnsi="Arial" w:cs="Arial"/>
          <w:sz w:val="20"/>
          <w:szCs w:val="20"/>
        </w:rPr>
        <w:t xml:space="preserve"> introduces innovative solutions to various climate impacts and scales them beyond the Drin River Basin, ensuring a holistic approach to regional climate adaptation.</w:t>
      </w:r>
    </w:p>
    <w:p w14:paraId="343C9521" w14:textId="5F174592" w:rsidR="33BACA80" w:rsidRPr="00306F4D" w:rsidRDefault="0CC8CFD5" w:rsidP="4186447D">
      <w:p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 xml:space="preserve">The Regional Project is strategically designed to complement the ongoing adaptation initiatives in the region, contributing to the broader climate resilience agenda without duplicating existing efforts. By focusing on </w:t>
      </w:r>
      <w:proofErr w:type="gramStart"/>
      <w:r w:rsidRPr="00306F4D">
        <w:rPr>
          <w:rFonts w:ascii="Arial" w:eastAsia="Arial" w:hAnsi="Arial" w:cs="Arial"/>
          <w:sz w:val="20"/>
          <w:szCs w:val="20"/>
          <w:lang w:val="en-GB"/>
        </w:rPr>
        <w:t>locally-driven</w:t>
      </w:r>
      <w:proofErr w:type="gramEnd"/>
      <w:r w:rsidRPr="00306F4D">
        <w:rPr>
          <w:rFonts w:ascii="Arial" w:eastAsia="Arial" w:hAnsi="Arial" w:cs="Arial"/>
          <w:sz w:val="20"/>
          <w:szCs w:val="20"/>
          <w:lang w:val="en-GB"/>
        </w:rPr>
        <w:t xml:space="preserve"> innovations, enhancing community-level resilience, and fostering regional collaboration, the project will add value to the existing adaptation framework in the Western Balkans, ensuring that adaptation solutions are scalable, inclusive, and aligned with broader regional and global goals.</w:t>
      </w:r>
    </w:p>
    <w:p w14:paraId="36E268DE" w14:textId="77777777" w:rsidR="009E1211" w:rsidRPr="00306F4D" w:rsidRDefault="009E1211" w:rsidP="009E1211">
      <w:pPr>
        <w:pStyle w:val="Footer"/>
        <w:numPr>
          <w:ilvl w:val="0"/>
          <w:numId w:val="23"/>
        </w:numPr>
        <w:tabs>
          <w:tab w:val="clear" w:pos="720"/>
          <w:tab w:val="clear" w:pos="4680"/>
          <w:tab w:val="clear" w:pos="9360"/>
          <w:tab w:val="num" w:pos="360"/>
        </w:tabs>
        <w:spacing w:line="276" w:lineRule="auto"/>
        <w:ind w:left="360"/>
        <w:rPr>
          <w:rFonts w:ascii="Arial" w:eastAsia="Arial" w:hAnsi="Arial" w:cs="Arial"/>
          <w:color w:val="AEAAAA" w:themeColor="background2" w:themeShade="BF"/>
          <w:lang w:val="en-GB"/>
        </w:rPr>
      </w:pPr>
      <w:r w:rsidRPr="00306F4D">
        <w:rPr>
          <w:rFonts w:ascii="Arial" w:eastAsia="Arial" w:hAnsi="Arial" w:cs="Arial"/>
          <w:color w:val="AEAAAA" w:themeColor="background2" w:themeShade="BF"/>
          <w:lang w:val="en-GB"/>
        </w:rPr>
        <w:t>Describe the learning and knowledge management component to capture and disseminate lessons learned.</w:t>
      </w:r>
    </w:p>
    <w:p w14:paraId="249A12C8" w14:textId="6D0ACBAA" w:rsidR="214DD442" w:rsidRPr="00306F4D" w:rsidRDefault="36AEB2C2" w:rsidP="58D8FBEF">
      <w:pPr>
        <w:pStyle w:val="Heading2"/>
        <w:spacing w:line="276" w:lineRule="auto"/>
        <w:rPr>
          <w:rFonts w:ascii="Arial" w:eastAsia="Arial" w:hAnsi="Arial" w:cs="Arial"/>
          <w:sz w:val="20"/>
          <w:szCs w:val="20"/>
          <w:lang w:val="en-GB"/>
        </w:rPr>
      </w:pPr>
      <w:bookmarkStart w:id="133" w:name="_Toc607980024"/>
      <w:bookmarkStart w:id="134" w:name="_Toc1131838938"/>
      <w:bookmarkStart w:id="135" w:name="_Toc202165715"/>
      <w:bookmarkStart w:id="136" w:name="_Toc202893746"/>
      <w:r w:rsidRPr="00306F4D">
        <w:rPr>
          <w:rFonts w:ascii="Arial" w:eastAsia="Arial" w:hAnsi="Arial" w:cs="Arial"/>
          <w:sz w:val="20"/>
          <w:szCs w:val="20"/>
          <w:lang w:val="en-GB"/>
        </w:rPr>
        <w:t xml:space="preserve">Learning and Knowledge Management </w:t>
      </w:r>
      <w:bookmarkEnd w:id="133"/>
      <w:bookmarkEnd w:id="134"/>
      <w:bookmarkEnd w:id="135"/>
      <w:bookmarkEnd w:id="136"/>
    </w:p>
    <w:p w14:paraId="32ED843E" w14:textId="77777777" w:rsidR="00BC3363" w:rsidRPr="00306F4D" w:rsidRDefault="00BC3363" w:rsidP="00BC3363">
      <w:pPr>
        <w:rPr>
          <w:lang w:val="en-GB"/>
        </w:rPr>
      </w:pPr>
    </w:p>
    <w:p w14:paraId="08944D29" w14:textId="6A8D23CE" w:rsidR="70645B50" w:rsidRPr="00306F4D" w:rsidRDefault="60B608C9" w:rsidP="58D8FBEF">
      <w:pPr>
        <w:pStyle w:val="Heading3"/>
        <w:spacing w:line="276" w:lineRule="auto"/>
        <w:rPr>
          <w:rFonts w:ascii="Arial" w:eastAsia="Arial" w:hAnsi="Arial" w:cs="Arial"/>
          <w:b/>
          <w:sz w:val="20"/>
          <w:szCs w:val="20"/>
          <w:lang w:val="en-GB"/>
        </w:rPr>
      </w:pPr>
      <w:bookmarkStart w:id="137" w:name="_Toc91006035"/>
      <w:bookmarkStart w:id="138" w:name="_Toc750710800"/>
      <w:r w:rsidRPr="00306F4D">
        <w:rPr>
          <w:rFonts w:ascii="Arial" w:eastAsia="Arial" w:hAnsi="Arial" w:cs="Arial"/>
          <w:sz w:val="20"/>
          <w:szCs w:val="20"/>
          <w:lang w:val="en-GB"/>
        </w:rPr>
        <w:t>Empowering Grantees and Strengthening Local Adaptation through Knowledge Exchange</w:t>
      </w:r>
      <w:bookmarkEnd w:id="137"/>
      <w:bookmarkEnd w:id="138"/>
    </w:p>
    <w:p w14:paraId="31B79126" w14:textId="51FD82B5" w:rsidR="00F04FEE" w:rsidRPr="00306F4D" w:rsidRDefault="3559EA4A" w:rsidP="4186447D">
      <w:p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Knowledge exchange and peer-to-peer learning are fundamental to the Regional Project as they create opportunities for grantees to share valuable insights, best practices, and lessons learned from their own experiences. By facilitating networking and providing direct communication channels between grantees, the project fosters a collaborative environment where participants can learn from one another and collectively address common challenges. This approach promotes the cross-pollination of ideas and solutions, enhancing local adaptation efforts while scaling up successful initiatives. Peer-to-peer exchange not only strengthens the impact of the project but also empowers grantees by building valuable connections and creating opportunities for collaboration and growth across the region.</w:t>
      </w:r>
    </w:p>
    <w:p w14:paraId="4E3B45DE" w14:textId="2F534540" w:rsidR="30B2BCF1" w:rsidRPr="00306F4D" w:rsidRDefault="154C483C" w:rsidP="4186447D">
      <w:pPr>
        <w:pStyle w:val="Heading3"/>
        <w:spacing w:line="276" w:lineRule="auto"/>
        <w:jc w:val="both"/>
        <w:rPr>
          <w:rFonts w:ascii="Arial" w:eastAsia="Arial" w:hAnsi="Arial" w:cs="Arial"/>
          <w:b/>
          <w:sz w:val="20"/>
          <w:szCs w:val="20"/>
          <w:lang w:val="en-GB"/>
        </w:rPr>
      </w:pPr>
      <w:bookmarkStart w:id="139" w:name="_Toc935851398"/>
      <w:bookmarkStart w:id="140" w:name="_Toc21632595"/>
      <w:r w:rsidRPr="00306F4D">
        <w:rPr>
          <w:rFonts w:ascii="Arial" w:eastAsia="Arial" w:hAnsi="Arial" w:cs="Arial"/>
          <w:sz w:val="20"/>
          <w:szCs w:val="20"/>
          <w:lang w:val="en-GB"/>
        </w:rPr>
        <w:lastRenderedPageBreak/>
        <w:t>Fostering Knowledge Exchange and Capacity Building through the MBA Internship Program</w:t>
      </w:r>
      <w:bookmarkEnd w:id="139"/>
      <w:bookmarkEnd w:id="140"/>
    </w:p>
    <w:p w14:paraId="50C4927A" w14:textId="38D29ABD" w:rsidR="7CBA9F61" w:rsidRPr="00306F4D" w:rsidRDefault="7CBA9F61" w:rsidP="4186447D">
      <w:p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 xml:space="preserve">The MBA Internship Programme is a powerful tool for knowledge exchange, strategically linking academic expertise from leading business schools with the practical needs of </w:t>
      </w:r>
      <w:proofErr w:type="gramStart"/>
      <w:r w:rsidRPr="00306F4D">
        <w:rPr>
          <w:rFonts w:ascii="Arial" w:eastAsia="Arial" w:hAnsi="Arial" w:cs="Arial"/>
          <w:sz w:val="20"/>
          <w:szCs w:val="20"/>
          <w:lang w:val="en-GB"/>
        </w:rPr>
        <w:t>locally-led</w:t>
      </w:r>
      <w:proofErr w:type="gramEnd"/>
      <w:r w:rsidRPr="00306F4D">
        <w:rPr>
          <w:rFonts w:ascii="Arial" w:eastAsia="Arial" w:hAnsi="Arial" w:cs="Arial"/>
          <w:sz w:val="20"/>
          <w:szCs w:val="20"/>
          <w:lang w:val="en-GB"/>
        </w:rPr>
        <w:t xml:space="preserve"> climate adaptation initiatives. This unique partnership, which includes UNDP, a responsible party selected within UNDP’s procurement standards, and top-tier universities, fosters an environment for cross-disciplinary collaboration. By embedding MBA students with Regional Project grantees, the program facilitates the transfer of essential business knowledge, particularly in areas such as business model refinement, financial strategy, and market expansion. In turn, students gain valuable insights into the complexities of climate adaptation in the Global South, deepening their understanding of real-world challenges faced by grassroots organizations. This exchange not only bridges the gap between academic theory and practical application but also contributes to the development of a more robust, evidence-based understanding of climate adaptation and innovation.</w:t>
      </w:r>
    </w:p>
    <w:p w14:paraId="18CE4908" w14:textId="384E17BE" w:rsidR="7CBA9F61" w:rsidRPr="00306F4D" w:rsidRDefault="7CBA9F61" w:rsidP="4186447D">
      <w:p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From a knowledge management perspective, the MBA internship program serves as a platform for the continuous documentation and sharing of lessons learned from both students and grantees. Grantees benefit from the strategic support provided by students, which enhances their ability to scale successful climate solutions and strengthen their organizational capacity. For students, the program offers a rare opportunity to apply academic knowledge in real-world settings, contributing to meaningful solutions for complex climate issues. Through this continuous knowledge exchange, the program helps create a living repository of insights, best practices, and case studies, which can be leveraged to inform future adaptation strategies. By fostering a culture of mutual learning, the program ensures that innovative climate solutions are better supported and more widely replicated, strengthening the knowledge base of all stakeholders involved.</w:t>
      </w:r>
    </w:p>
    <w:p w14:paraId="5FC94BF5" w14:textId="775B18AA" w:rsidR="7CBA9F61" w:rsidRPr="00306F4D" w:rsidRDefault="2527FF7E" w:rsidP="4186447D">
      <w:p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The structure of the MBA internship program also promotes systemic learning and knowledge exchange on a broader scale. Through collaboration between academia, development organizations, and the private sector, the program creates an inclusive environment for shared learning, facilitating discussions on critical issues such as blended finance and how to scale financing models to support climate adaptation projects. Students’ exposure to these innovative financial mechanisms contributes to an evolving understanding of how to effectively address funding gaps for adaptation initiatives. The program helps to build a knowledge ecosystem where students, local organizations, and global experts can collaborate and share insights. This continuous learning process not only addresses immediate challenges but also generates long-term value by fostering sustainable and scalable solutions. Ultimately, the MBA internship program contributes to building a more resilient climate adaptation landscape, ensuring that lessons learned can be applied to future projects and scaled across regions.</w:t>
      </w:r>
    </w:p>
    <w:p w14:paraId="0790C00E" w14:textId="341BA898" w:rsidR="5959CEC9" w:rsidRPr="00306F4D" w:rsidRDefault="0021F005" w:rsidP="4186447D">
      <w:p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The results from the knowledge management component can also be fed into the work that the three Collaborative Working Groups established with support from UNDP-AFCIA, to explore and advance the potential of micro-bonds and blended finance as innovative mechanisms to mobilize capital for climate resilience and adaptation at the local level. Key partners like the Global Resilience Partnership and the MBA schools engaged in the MBA internship programme, have also expressed interest in</w:t>
      </w:r>
      <w:r w:rsidR="7232324A" w:rsidRPr="00306F4D">
        <w:rPr>
          <w:rFonts w:ascii="Arial" w:eastAsia="Arial" w:hAnsi="Arial" w:cs="Arial"/>
          <w:sz w:val="20"/>
          <w:szCs w:val="20"/>
          <w:lang w:val="en-GB"/>
        </w:rPr>
        <w:t xml:space="preserve"> continuing to </w:t>
      </w:r>
      <w:r w:rsidR="348C5652" w:rsidRPr="00306F4D">
        <w:rPr>
          <w:rFonts w:ascii="Arial" w:eastAsia="Arial" w:hAnsi="Arial" w:cs="Arial"/>
          <w:sz w:val="20"/>
          <w:szCs w:val="20"/>
          <w:lang w:val="en-GB"/>
        </w:rPr>
        <w:t>co-</w:t>
      </w:r>
      <w:r w:rsidR="7232324A" w:rsidRPr="00306F4D">
        <w:rPr>
          <w:rFonts w:ascii="Arial" w:eastAsia="Arial" w:hAnsi="Arial" w:cs="Arial"/>
          <w:sz w:val="20"/>
          <w:szCs w:val="20"/>
          <w:lang w:val="en-GB"/>
        </w:rPr>
        <w:t>develop</w:t>
      </w:r>
      <w:r w:rsidR="72C6E005" w:rsidRPr="00306F4D">
        <w:rPr>
          <w:rFonts w:ascii="Arial" w:eastAsia="Arial" w:hAnsi="Arial" w:cs="Arial"/>
          <w:sz w:val="20"/>
          <w:szCs w:val="20"/>
          <w:lang w:val="en-GB"/>
        </w:rPr>
        <w:t>ing</w:t>
      </w:r>
      <w:r w:rsidR="7232324A" w:rsidRPr="00306F4D">
        <w:rPr>
          <w:rFonts w:ascii="Arial" w:eastAsia="Arial" w:hAnsi="Arial" w:cs="Arial"/>
          <w:sz w:val="20"/>
          <w:szCs w:val="20"/>
          <w:lang w:val="en-GB"/>
        </w:rPr>
        <w:t xml:space="preserve"> case studies and </w:t>
      </w:r>
      <w:r w:rsidR="05F8DADB" w:rsidRPr="00306F4D">
        <w:rPr>
          <w:rFonts w:ascii="Arial" w:eastAsia="Arial" w:hAnsi="Arial" w:cs="Arial"/>
          <w:sz w:val="20"/>
          <w:szCs w:val="20"/>
          <w:lang w:val="en-GB"/>
        </w:rPr>
        <w:t xml:space="preserve">specialized </w:t>
      </w:r>
      <w:r w:rsidR="7232324A" w:rsidRPr="00306F4D">
        <w:rPr>
          <w:rFonts w:ascii="Arial" w:eastAsia="Arial" w:hAnsi="Arial" w:cs="Arial"/>
          <w:sz w:val="20"/>
          <w:szCs w:val="20"/>
          <w:lang w:val="en-GB"/>
        </w:rPr>
        <w:t xml:space="preserve">research about </w:t>
      </w:r>
      <w:r w:rsidR="6109A960" w:rsidRPr="00306F4D">
        <w:rPr>
          <w:rFonts w:ascii="Arial" w:eastAsia="Arial" w:hAnsi="Arial" w:cs="Arial"/>
          <w:sz w:val="20"/>
          <w:szCs w:val="20"/>
          <w:lang w:val="en-GB"/>
        </w:rPr>
        <w:t>scaling</w:t>
      </w:r>
      <w:r w:rsidR="7232324A" w:rsidRPr="00306F4D">
        <w:rPr>
          <w:rFonts w:ascii="Arial" w:eastAsia="Arial" w:hAnsi="Arial" w:cs="Arial"/>
          <w:sz w:val="20"/>
          <w:szCs w:val="20"/>
          <w:lang w:val="en-GB"/>
        </w:rPr>
        <w:t xml:space="preserve"> locally led adaptation solutions, </w:t>
      </w:r>
      <w:r w:rsidR="360B9362" w:rsidRPr="00306F4D">
        <w:rPr>
          <w:rFonts w:ascii="Arial" w:eastAsia="Arial" w:hAnsi="Arial" w:cs="Arial"/>
          <w:sz w:val="20"/>
          <w:szCs w:val="20"/>
          <w:lang w:val="en-GB"/>
        </w:rPr>
        <w:t xml:space="preserve">using as a base </w:t>
      </w:r>
      <w:r w:rsidR="7232324A" w:rsidRPr="00306F4D">
        <w:rPr>
          <w:rFonts w:ascii="Arial" w:eastAsia="Arial" w:hAnsi="Arial" w:cs="Arial"/>
          <w:sz w:val="20"/>
          <w:szCs w:val="20"/>
          <w:lang w:val="en-GB"/>
        </w:rPr>
        <w:t>the pipeline of projects created by UNDP under this re</w:t>
      </w:r>
      <w:r w:rsidR="5C6F26B1" w:rsidRPr="00306F4D">
        <w:rPr>
          <w:rFonts w:ascii="Arial" w:eastAsia="Arial" w:hAnsi="Arial" w:cs="Arial"/>
          <w:sz w:val="20"/>
          <w:szCs w:val="20"/>
          <w:lang w:val="en-GB"/>
        </w:rPr>
        <w:t>gional project</w:t>
      </w:r>
      <w:r w:rsidR="7232324A" w:rsidRPr="00306F4D">
        <w:rPr>
          <w:rFonts w:ascii="Arial" w:eastAsia="Arial" w:hAnsi="Arial" w:cs="Arial"/>
          <w:sz w:val="20"/>
          <w:szCs w:val="20"/>
          <w:lang w:val="en-GB"/>
        </w:rPr>
        <w:t>.</w:t>
      </w:r>
    </w:p>
    <w:p w14:paraId="35832CE2" w14:textId="38CF2131" w:rsidR="63B6AA29" w:rsidRPr="00306F4D" w:rsidRDefault="367C7A15" w:rsidP="4186447D">
      <w:pPr>
        <w:pStyle w:val="Heading3"/>
        <w:spacing w:before="240" w:after="240" w:line="276" w:lineRule="auto"/>
        <w:rPr>
          <w:rFonts w:ascii="Arial" w:eastAsia="Arial" w:hAnsi="Arial" w:cs="Arial"/>
          <w:b/>
          <w:sz w:val="20"/>
          <w:szCs w:val="20"/>
          <w:lang w:val="en-GB"/>
        </w:rPr>
      </w:pPr>
      <w:bookmarkStart w:id="141" w:name="_Toc46255284"/>
      <w:bookmarkStart w:id="142" w:name="_Toc15111556"/>
      <w:r w:rsidRPr="00306F4D">
        <w:rPr>
          <w:rFonts w:ascii="Arial" w:eastAsia="Arial" w:hAnsi="Arial" w:cs="Arial"/>
          <w:sz w:val="20"/>
          <w:szCs w:val="20"/>
          <w:lang w:val="en-GB"/>
        </w:rPr>
        <w:t>Creating a Knowledge Platform to Support Scaling and Replication</w:t>
      </w:r>
      <w:bookmarkEnd w:id="141"/>
      <w:bookmarkEnd w:id="142"/>
    </w:p>
    <w:p w14:paraId="0807FF51" w14:textId="7C550098" w:rsidR="6B1C9775" w:rsidRPr="00306F4D" w:rsidRDefault="6B1C9775" w:rsidP="4186447D">
      <w:p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 xml:space="preserve">The regional project will establish a comprehensive knowledge-sharing and learning structure designed to facilitate the exchange, scaling, and replication of climate adaptation solutions. This approach will align with the Adaptation Fund’s Monitoring and Tracking System (AF MTS), specifically focusing on Strategic Focus 3, which emphasizes sharing lessons learned and developing guidance on adaptation finance and actions. Key outcomes will include </w:t>
      </w:r>
      <w:r w:rsidRPr="00306F4D">
        <w:rPr>
          <w:rFonts w:ascii="Arial" w:eastAsia="Arial" w:hAnsi="Arial" w:cs="Arial"/>
          <w:sz w:val="20"/>
          <w:szCs w:val="20"/>
          <w:lang w:val="en-GB"/>
        </w:rPr>
        <w:lastRenderedPageBreak/>
        <w:t>identifying, codifying, and disseminating lessons learned while creating knowledge to support scaling efforts and strengthen adaptation capacities across the region.</w:t>
      </w:r>
    </w:p>
    <w:p w14:paraId="4C90612B" w14:textId="6563B1B4" w:rsidR="6B1C9775" w:rsidRPr="00306F4D" w:rsidRDefault="6B1C9775" w:rsidP="4186447D">
      <w:pPr>
        <w:spacing w:before="240" w:after="240"/>
        <w:jc w:val="both"/>
        <w:rPr>
          <w:rFonts w:ascii="Arial" w:eastAsia="Arial" w:hAnsi="Arial" w:cs="Arial"/>
          <w:sz w:val="20"/>
          <w:szCs w:val="20"/>
          <w:lang w:val="en-GB"/>
        </w:rPr>
      </w:pPr>
      <w:r w:rsidRPr="00306F4D">
        <w:rPr>
          <w:rFonts w:ascii="Arial" w:eastAsia="Arial" w:hAnsi="Arial" w:cs="Arial"/>
          <w:sz w:val="20"/>
          <w:szCs w:val="20"/>
          <w:lang w:val="en-GB"/>
        </w:rPr>
        <w:t xml:space="preserve">The structured knowledge exchange system </w:t>
      </w:r>
      <w:r w:rsidR="3FEFF3F7" w:rsidRPr="00306F4D">
        <w:rPr>
          <w:rFonts w:ascii="Arial" w:eastAsia="Arial" w:hAnsi="Arial" w:cs="Arial"/>
          <w:sz w:val="20"/>
          <w:szCs w:val="20"/>
          <w:lang w:val="en-GB"/>
        </w:rPr>
        <w:t>will</w:t>
      </w:r>
      <w:r w:rsidRPr="00306F4D">
        <w:rPr>
          <w:rFonts w:ascii="Arial" w:eastAsia="Arial" w:hAnsi="Arial" w:cs="Arial"/>
          <w:sz w:val="20"/>
          <w:szCs w:val="20"/>
          <w:lang w:val="en-GB"/>
        </w:rPr>
        <w:t xml:space="preserve"> facilitate the sharing of best practices, lessons learned, and innovative solutions. This system will not involve developing an online platform but will instead establish a structure that ensures effective knowledge dissemination across various channels. This structure will build on existing regional knowledge and experiences from ongoing UNDP Istanbul Regional Hub initiatives and UNDP Country Office initiatives in the Western Balkans, leveraging tools such as social media, blogs, working papers, case studies, and open-source applications to ensure broad access to key knowledge.</w:t>
      </w:r>
    </w:p>
    <w:p w14:paraId="5326BE77" w14:textId="2A5F06AB" w:rsidR="6B1C9775" w:rsidRPr="00306F4D" w:rsidRDefault="6B1C9775" w:rsidP="4186447D">
      <w:pPr>
        <w:spacing w:before="240" w:after="240"/>
        <w:jc w:val="both"/>
        <w:rPr>
          <w:rFonts w:ascii="Arial" w:eastAsia="Arial" w:hAnsi="Arial" w:cs="Arial"/>
          <w:sz w:val="20"/>
          <w:szCs w:val="20"/>
          <w:lang w:val="en-GB"/>
        </w:rPr>
      </w:pPr>
      <w:r w:rsidRPr="00306F4D">
        <w:rPr>
          <w:rFonts w:ascii="Arial" w:eastAsia="Arial" w:hAnsi="Arial" w:cs="Arial"/>
          <w:sz w:val="20"/>
          <w:szCs w:val="20"/>
          <w:lang w:val="en-GB"/>
        </w:rPr>
        <w:t>The knowledge exchange will be strengthened by community engagement tools such as the BOOST Alumni Network, network of AIM partners, UNDP SGP’s Global Citizens Knowledge Platform, and South-South Cooperation initiatives, which will help expand the reach and impact of the knowledge-sharing efforts.</w:t>
      </w:r>
    </w:p>
    <w:p w14:paraId="2D9C33E9" w14:textId="685FF361" w:rsidR="6B1C9775" w:rsidRPr="00306F4D" w:rsidRDefault="6B1C9775" w:rsidP="4186447D">
      <w:pPr>
        <w:spacing w:before="240" w:after="240"/>
        <w:jc w:val="both"/>
        <w:rPr>
          <w:rFonts w:ascii="Arial" w:eastAsia="Arial" w:hAnsi="Arial" w:cs="Arial"/>
          <w:sz w:val="20"/>
          <w:szCs w:val="20"/>
          <w:lang w:val="en-GB"/>
        </w:rPr>
      </w:pPr>
      <w:r w:rsidRPr="00306F4D">
        <w:rPr>
          <w:rFonts w:ascii="Arial" w:eastAsia="Arial" w:hAnsi="Arial" w:cs="Arial"/>
          <w:sz w:val="20"/>
          <w:szCs w:val="20"/>
          <w:lang w:val="en-GB"/>
        </w:rPr>
        <w:t>The peer learning opportunities are facilitated among regional grantees. These events, such as hackathons, innovation fairs, and product showcases, will encourage the cross-fertilization of ideas and foster collaboration, helping to scale and replicate successful adaptation solutions across the region. These learning events will be organized in close collaboration with direct access grantees and the broader AIM community, enabling a dynamic flow of knowledge and building a foundation for scaling impactful solutions.</w:t>
      </w:r>
    </w:p>
    <w:p w14:paraId="28103382" w14:textId="3CA73043" w:rsidR="6B1C9775" w:rsidRPr="00306F4D" w:rsidRDefault="6B1C9775" w:rsidP="4186447D">
      <w:pPr>
        <w:spacing w:before="240" w:after="240"/>
        <w:jc w:val="both"/>
        <w:rPr>
          <w:rFonts w:ascii="Arial" w:eastAsia="Arial" w:hAnsi="Arial" w:cs="Arial"/>
          <w:sz w:val="20"/>
          <w:szCs w:val="20"/>
          <w:lang w:val="en-GB"/>
        </w:rPr>
      </w:pPr>
      <w:r w:rsidRPr="00306F4D">
        <w:rPr>
          <w:rFonts w:ascii="Arial" w:eastAsia="Arial" w:hAnsi="Arial" w:cs="Arial"/>
          <w:sz w:val="20"/>
          <w:szCs w:val="20"/>
          <w:lang w:val="en-GB"/>
        </w:rPr>
        <w:t>Additionally, the project will enhance the knowledge base through virtual connections between the knowledge exchange structure and leading incubators, accelerators, innovation labs, and climate adaptation practitioners. This collaboration will help integrate diverse perspectives and expertise, enriching the capacity-building process. A strategic communication and dissemination program will also be implemented to raise visibility and highlight the Adaptation Fund’s contribution throughout the project lifecycle, ensuring that key learnings and achievements reach relevant stakeholders at national, regional, and global levels.</w:t>
      </w:r>
    </w:p>
    <w:p w14:paraId="7C259FEE" w14:textId="60C6D9B7" w:rsidR="6B1C9775" w:rsidRPr="00306F4D" w:rsidRDefault="6B1C9775" w:rsidP="4186447D">
      <w:pPr>
        <w:spacing w:before="240" w:after="240"/>
        <w:jc w:val="both"/>
        <w:rPr>
          <w:rFonts w:ascii="Arial" w:eastAsia="Arial" w:hAnsi="Arial" w:cs="Arial"/>
          <w:sz w:val="20"/>
          <w:szCs w:val="20"/>
          <w:lang w:val="en-GB"/>
        </w:rPr>
      </w:pPr>
      <w:r w:rsidRPr="00306F4D">
        <w:rPr>
          <w:rFonts w:ascii="Arial" w:eastAsia="Arial" w:hAnsi="Arial" w:cs="Arial"/>
          <w:sz w:val="20"/>
          <w:szCs w:val="20"/>
          <w:lang w:val="en-GB"/>
        </w:rPr>
        <w:t>Furthermore, the project will utilize several existing platforms and tools to further enhance knowledge exchange and peer learning, including Community of Practice (CoP) platforms like Slack and Microsoft Teams, surveys and polls through platforms such as SurveyMonkey and Google Forms, and the Adaptation Innovation Marketplace for showcasing and sharing innovative climate solutions. Learning platforms for webinars, virtual workshops, and training will be leveraged to deliver capacity-building content to grantees, enhancing their understanding of climate adaptation solutions and equipping them with practical tools to implement in their communities.</w:t>
      </w:r>
    </w:p>
    <w:p w14:paraId="4681DD13" w14:textId="3BCCD2C1" w:rsidR="6B1C9775" w:rsidRPr="00306F4D" w:rsidRDefault="6B1C9775" w:rsidP="4186447D">
      <w:pPr>
        <w:spacing w:before="240" w:after="240"/>
        <w:jc w:val="both"/>
        <w:rPr>
          <w:rFonts w:ascii="Arial" w:eastAsia="Arial" w:hAnsi="Arial" w:cs="Arial"/>
          <w:sz w:val="20"/>
          <w:szCs w:val="20"/>
          <w:lang w:val="en-GB"/>
        </w:rPr>
      </w:pPr>
      <w:r w:rsidRPr="00306F4D">
        <w:rPr>
          <w:rFonts w:ascii="Arial" w:eastAsia="Arial" w:hAnsi="Arial" w:cs="Arial"/>
          <w:sz w:val="20"/>
          <w:szCs w:val="20"/>
          <w:lang w:val="en-GB"/>
        </w:rPr>
        <w:t>Through this comprehensive structure, the project will facilitate an ongoing cycle of knowledge creation, validation, and sharing, promoting collaboration across the region and fostering the scaling of locally led, gender-responsive climate adaptation solutions.</w:t>
      </w:r>
    </w:p>
    <w:p w14:paraId="5B19AD2D" w14:textId="122A4D81" w:rsidR="00F04FEE" w:rsidRPr="00306F4D" w:rsidRDefault="00727F24" w:rsidP="4186447D">
      <w:pPr>
        <w:pStyle w:val="Heading3"/>
        <w:spacing w:before="240" w:after="240" w:line="276" w:lineRule="auto"/>
        <w:jc w:val="both"/>
        <w:rPr>
          <w:rFonts w:ascii="Arial" w:eastAsia="Arial" w:hAnsi="Arial" w:cs="Arial"/>
          <w:b/>
          <w:sz w:val="20"/>
          <w:szCs w:val="20"/>
          <w:lang w:val="en-GB"/>
        </w:rPr>
      </w:pPr>
      <w:bookmarkStart w:id="143" w:name="_Toc1953803883"/>
      <w:bookmarkStart w:id="144" w:name="_Toc1832330163"/>
      <w:r w:rsidRPr="00306F4D">
        <w:rPr>
          <w:rFonts w:ascii="Arial" w:eastAsia="Arial" w:hAnsi="Arial" w:cs="Arial"/>
          <w:sz w:val="20"/>
          <w:szCs w:val="20"/>
          <w:lang w:val="en-GB"/>
        </w:rPr>
        <w:t>Visibility and Branding of the Adaptation Fund</w:t>
      </w:r>
      <w:bookmarkEnd w:id="143"/>
      <w:bookmarkEnd w:id="144"/>
    </w:p>
    <w:p w14:paraId="1CC61551" w14:textId="65D3273B" w:rsidR="00F04FEE" w:rsidRPr="00306F4D" w:rsidRDefault="3559EA4A" w:rsidP="4186447D">
      <w:p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The Adaptation Fund’s support will be clearly visible at key stages of the project, including grant sourcing, screening, and administration. UNDP will produce knowledge products that showcase the impact of the Adaptation Fund, with success stories shared for broader external communication. Grantees will be encouraged to acknowledge the support of the Adaptation Fund and UNDP in their communications, ensuring proper recognition without co-branding.</w:t>
      </w:r>
    </w:p>
    <w:p w14:paraId="4B5ECDE9" w14:textId="31D1F780" w:rsidR="4D84853C" w:rsidRPr="00306F4D" w:rsidRDefault="3559EA4A" w:rsidP="00BC3363">
      <w:p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By creating a dynamic and inclusive learning environment, the Regional Project will enhance knowledge exchange, facilitate scaling and replication of adaptation solutions, and empower grantees to address climate challenges more effectively across the Western Balkans.</w:t>
      </w:r>
    </w:p>
    <w:p w14:paraId="2274CC9A" w14:textId="77777777" w:rsidR="007150A4" w:rsidRPr="00306F4D" w:rsidRDefault="007150A4" w:rsidP="007150A4">
      <w:pPr>
        <w:pStyle w:val="Footer"/>
        <w:numPr>
          <w:ilvl w:val="0"/>
          <w:numId w:val="23"/>
        </w:numPr>
        <w:tabs>
          <w:tab w:val="clear" w:pos="720"/>
          <w:tab w:val="clear" w:pos="4680"/>
          <w:tab w:val="clear" w:pos="9360"/>
          <w:tab w:val="num" w:pos="360"/>
        </w:tabs>
        <w:spacing w:line="276" w:lineRule="auto"/>
        <w:ind w:left="360"/>
        <w:jc w:val="both"/>
        <w:rPr>
          <w:rFonts w:ascii="Arial" w:eastAsia="Arial" w:hAnsi="Arial" w:cs="Arial"/>
          <w:b/>
          <w:bCs/>
          <w:sz w:val="24"/>
          <w:szCs w:val="24"/>
          <w:lang w:val="en-GB"/>
        </w:rPr>
      </w:pPr>
      <w:r w:rsidRPr="00306F4D">
        <w:rPr>
          <w:rFonts w:ascii="Arial" w:eastAsia="Arial" w:hAnsi="Arial" w:cs="Arial"/>
          <w:color w:val="AEAAAA" w:themeColor="background2" w:themeShade="BF"/>
          <w:lang w:val="en-GB"/>
        </w:rPr>
        <w:lastRenderedPageBreak/>
        <w:t xml:space="preserve">Describe the consultative process, including the list of stakeholders consulted, undertaken during project / programme preparation, with </w:t>
      </w:r>
      <w:proofErr w:type="gramStart"/>
      <w:r w:rsidRPr="00306F4D">
        <w:rPr>
          <w:rFonts w:ascii="Arial" w:eastAsia="Arial" w:hAnsi="Arial" w:cs="Arial"/>
          <w:color w:val="AEAAAA" w:themeColor="background2" w:themeShade="BF"/>
          <w:lang w:val="en-GB"/>
        </w:rPr>
        <w:t>particular reference</w:t>
      </w:r>
      <w:proofErr w:type="gramEnd"/>
      <w:r w:rsidRPr="00306F4D">
        <w:rPr>
          <w:rFonts w:ascii="Arial" w:eastAsia="Arial" w:hAnsi="Arial" w:cs="Arial"/>
          <w:color w:val="AEAAAA" w:themeColor="background2" w:themeShade="BF"/>
          <w:lang w:val="en-GB"/>
        </w:rPr>
        <w:t xml:space="preserve"> to vulnerable groups, including gender considerations, in compliance with the Environmental and Social Policy of the Adaptation Fund. </w:t>
      </w:r>
    </w:p>
    <w:p w14:paraId="6519AFA9" w14:textId="523416F9" w:rsidR="65E2E11F" w:rsidRPr="00306F4D" w:rsidRDefault="28ED3D59" w:rsidP="02E2BB75">
      <w:pPr>
        <w:pStyle w:val="Heading2"/>
        <w:spacing w:line="276" w:lineRule="auto"/>
        <w:jc w:val="both"/>
        <w:rPr>
          <w:rFonts w:ascii="Arial" w:eastAsia="Arial" w:hAnsi="Arial" w:cs="Arial"/>
          <w:b/>
          <w:bCs/>
          <w:sz w:val="20"/>
          <w:szCs w:val="20"/>
          <w:lang w:val="en-GB"/>
        </w:rPr>
      </w:pPr>
      <w:bookmarkStart w:id="145" w:name="_Toc473517372"/>
      <w:bookmarkStart w:id="146" w:name="_Toc603635048"/>
      <w:bookmarkStart w:id="147" w:name="_Toc202165716"/>
      <w:bookmarkStart w:id="148" w:name="_Toc202893747"/>
      <w:r w:rsidRPr="00306F4D">
        <w:rPr>
          <w:rFonts w:ascii="Arial" w:eastAsia="Arial" w:hAnsi="Arial" w:cs="Arial"/>
          <w:sz w:val="20"/>
          <w:szCs w:val="20"/>
          <w:lang w:val="en-GB"/>
        </w:rPr>
        <w:t>Consultative Process and Stakeholder Engagement</w:t>
      </w:r>
      <w:bookmarkEnd w:id="145"/>
      <w:bookmarkEnd w:id="146"/>
      <w:bookmarkEnd w:id="147"/>
      <w:r w:rsidR="5FA56042" w:rsidRPr="00306F4D">
        <w:rPr>
          <w:rFonts w:ascii="Arial" w:eastAsia="Arial" w:hAnsi="Arial" w:cs="Arial"/>
          <w:sz w:val="20"/>
          <w:szCs w:val="20"/>
          <w:lang w:val="en-GB"/>
        </w:rPr>
        <w:t xml:space="preserve"> Approach</w:t>
      </w:r>
      <w:bookmarkEnd w:id="148"/>
    </w:p>
    <w:p w14:paraId="2DBE5D23" w14:textId="78B6EDAE" w:rsidR="4D84853C" w:rsidRPr="00306F4D" w:rsidRDefault="4D84853C" w:rsidP="4186447D">
      <w:pPr>
        <w:spacing w:after="0" w:line="276" w:lineRule="auto"/>
        <w:jc w:val="both"/>
        <w:rPr>
          <w:rFonts w:ascii="Arial" w:eastAsia="Arial" w:hAnsi="Arial" w:cs="Arial"/>
          <w:sz w:val="20"/>
          <w:szCs w:val="20"/>
          <w:lang w:val="en-GB"/>
        </w:rPr>
      </w:pPr>
    </w:p>
    <w:p w14:paraId="2CAADB77" w14:textId="2B0283D3" w:rsidR="6DD2E214" w:rsidRPr="00306F4D" w:rsidRDefault="32CC0799" w:rsidP="4186447D">
      <w:pPr>
        <w:spacing w:after="0" w:line="276" w:lineRule="auto"/>
        <w:jc w:val="both"/>
        <w:rPr>
          <w:rFonts w:ascii="Arial" w:eastAsia="Arial" w:hAnsi="Arial" w:cs="Arial"/>
          <w:sz w:val="20"/>
          <w:szCs w:val="20"/>
          <w:lang w:val="en-GB"/>
        </w:rPr>
      </w:pPr>
      <w:r w:rsidRPr="00306F4D">
        <w:rPr>
          <w:rFonts w:ascii="Arial" w:eastAsia="Arial" w:hAnsi="Arial" w:cs="Arial"/>
          <w:sz w:val="20"/>
          <w:szCs w:val="20"/>
          <w:lang w:val="en-GB"/>
        </w:rPr>
        <w:t>At</w:t>
      </w:r>
      <w:r w:rsidR="79093D5B" w:rsidRPr="00306F4D">
        <w:rPr>
          <w:rFonts w:ascii="Arial" w:eastAsia="Arial" w:hAnsi="Arial" w:cs="Arial"/>
          <w:sz w:val="20"/>
          <w:szCs w:val="20"/>
          <w:lang w:val="en-GB"/>
        </w:rPr>
        <w:t xml:space="preserve"> the</w:t>
      </w:r>
      <w:r w:rsidRPr="00306F4D">
        <w:rPr>
          <w:rFonts w:ascii="Arial" w:eastAsia="Arial" w:hAnsi="Arial" w:cs="Arial"/>
          <w:sz w:val="20"/>
          <w:szCs w:val="20"/>
          <w:lang w:val="en-GB"/>
        </w:rPr>
        <w:t xml:space="preserve"> stage of the </w:t>
      </w:r>
      <w:r w:rsidR="4692CF20" w:rsidRPr="00306F4D">
        <w:rPr>
          <w:rFonts w:ascii="Arial" w:eastAsia="Arial" w:hAnsi="Arial" w:cs="Arial"/>
          <w:sz w:val="20"/>
          <w:szCs w:val="20"/>
          <w:lang w:val="en-GB"/>
        </w:rPr>
        <w:t xml:space="preserve">Regional Project´s </w:t>
      </w:r>
      <w:r w:rsidR="24B517AE" w:rsidRPr="00306F4D">
        <w:rPr>
          <w:rFonts w:ascii="Arial" w:eastAsia="Arial" w:hAnsi="Arial" w:cs="Arial"/>
          <w:sz w:val="20"/>
          <w:szCs w:val="20"/>
          <w:lang w:val="en-GB"/>
        </w:rPr>
        <w:t>preparation</w:t>
      </w:r>
      <w:r w:rsidRPr="00306F4D">
        <w:rPr>
          <w:rFonts w:ascii="Arial" w:eastAsia="Arial" w:hAnsi="Arial" w:cs="Arial"/>
          <w:sz w:val="20"/>
          <w:szCs w:val="20"/>
          <w:lang w:val="en-GB"/>
        </w:rPr>
        <w:t xml:space="preserve">, it </w:t>
      </w:r>
      <w:r w:rsidR="472BDF7B" w:rsidRPr="00306F4D">
        <w:rPr>
          <w:rFonts w:ascii="Arial" w:eastAsia="Arial" w:hAnsi="Arial" w:cs="Arial"/>
          <w:sz w:val="20"/>
          <w:szCs w:val="20"/>
          <w:lang w:val="en-GB"/>
        </w:rPr>
        <w:t>was</w:t>
      </w:r>
      <w:r w:rsidRPr="00306F4D">
        <w:rPr>
          <w:rFonts w:ascii="Arial" w:eastAsia="Arial" w:hAnsi="Arial" w:cs="Arial"/>
          <w:sz w:val="20"/>
          <w:szCs w:val="20"/>
          <w:lang w:val="en-GB"/>
        </w:rPr>
        <w:t xml:space="preserve"> not yet feasible to conduct deeper consultations at the level of specific project sites or with stakeholders that will ultimately be engaged by the grantees. This is because the specific sub-projects and implementing partners (grantees) across the three target countries will be identified through a transparent open call for proposals, which will take place at the beginning of implementation. As such, the project currently includes Unidentified Sub-Projects (USPs), consistent with the nature of the innovation process being supported and in line with guidance from the Adaptation Fund (Decision B.39/52).</w:t>
      </w:r>
    </w:p>
    <w:p w14:paraId="6DD1EE2F" w14:textId="77777777" w:rsidR="6367AF87" w:rsidRPr="00306F4D" w:rsidRDefault="6367AF87" w:rsidP="4186447D">
      <w:pPr>
        <w:spacing w:after="0" w:line="276" w:lineRule="auto"/>
        <w:jc w:val="both"/>
        <w:rPr>
          <w:rFonts w:ascii="Arial" w:eastAsia="Arial" w:hAnsi="Arial" w:cs="Arial"/>
          <w:sz w:val="20"/>
          <w:szCs w:val="20"/>
          <w:lang w:val="en-GB"/>
        </w:rPr>
      </w:pPr>
    </w:p>
    <w:p w14:paraId="3BAE8836" w14:textId="5B4F6E4D" w:rsidR="6DD2E214" w:rsidRPr="00306F4D" w:rsidRDefault="32CC0799" w:rsidP="4186447D">
      <w:pPr>
        <w:spacing w:after="0" w:line="276" w:lineRule="auto"/>
        <w:jc w:val="both"/>
        <w:rPr>
          <w:rFonts w:ascii="Arial" w:eastAsia="Arial" w:hAnsi="Arial" w:cs="Arial"/>
          <w:sz w:val="20"/>
          <w:szCs w:val="20"/>
          <w:lang w:val="en-GB"/>
        </w:rPr>
      </w:pPr>
      <w:r w:rsidRPr="00306F4D">
        <w:rPr>
          <w:rFonts w:ascii="Arial" w:eastAsia="Arial" w:hAnsi="Arial" w:cs="Arial"/>
          <w:sz w:val="20"/>
          <w:szCs w:val="20"/>
          <w:lang w:val="en-GB"/>
        </w:rPr>
        <w:t>Given this structure, UNDP´s approach to stakeholder consultation has been adapted accordingly. In line with the Adaptation Fund’s Environmental and Social Policy (ESP) and Gender Policy (GP), we are undertaking initial virtual consultations with key national stakeholders—coordinated through the respective UNDP Country Offices in the 4 participating countries. These consultations include representatives from government agencies, civil society organizations, research centres and other relevant institutions, and are intended to inform the overall project framework, including implementation principles and safeguards.</w:t>
      </w:r>
    </w:p>
    <w:p w14:paraId="3F09A948" w14:textId="5D695F4B" w:rsidR="6367AF87" w:rsidRPr="00306F4D" w:rsidRDefault="6367AF87" w:rsidP="4186447D">
      <w:pPr>
        <w:spacing w:after="0" w:line="276" w:lineRule="auto"/>
        <w:jc w:val="both"/>
        <w:rPr>
          <w:rFonts w:ascii="Arial" w:eastAsia="Arial" w:hAnsi="Arial" w:cs="Arial"/>
          <w:sz w:val="20"/>
          <w:szCs w:val="20"/>
          <w:lang w:val="en-GB"/>
        </w:rPr>
      </w:pPr>
    </w:p>
    <w:p w14:paraId="4B8C46CF" w14:textId="6CE9E802" w:rsidR="6DD2E214" w:rsidRPr="00306F4D" w:rsidRDefault="32CC0799" w:rsidP="4186447D">
      <w:pPr>
        <w:spacing w:after="0" w:line="276" w:lineRule="auto"/>
        <w:jc w:val="both"/>
        <w:rPr>
          <w:rFonts w:ascii="Arial" w:eastAsia="Arial" w:hAnsi="Arial" w:cs="Arial"/>
          <w:sz w:val="20"/>
          <w:szCs w:val="20"/>
          <w:lang w:val="en-GB"/>
        </w:rPr>
      </w:pPr>
      <w:r w:rsidRPr="00306F4D">
        <w:rPr>
          <w:rFonts w:ascii="Arial" w:eastAsia="Arial" w:hAnsi="Arial" w:cs="Arial"/>
          <w:sz w:val="20"/>
          <w:szCs w:val="20"/>
          <w:lang w:val="en-GB"/>
        </w:rPr>
        <w:t>UNDP recognizes that national stakeholders require clarity on the project’s direction and expected outcomes. While specific grantee-led activities cannot yet be defined, UNDP is ensuring that stakeholder input shapes the overarching implementation approach and risk identification processes at the national level. This includes integrating national priorities and contextual realities now as part of the project design stage.</w:t>
      </w:r>
    </w:p>
    <w:p w14:paraId="3C8B5558" w14:textId="77777777" w:rsidR="6367AF87" w:rsidRPr="00306F4D" w:rsidRDefault="6367AF87" w:rsidP="4186447D">
      <w:pPr>
        <w:spacing w:after="0" w:line="276" w:lineRule="auto"/>
        <w:jc w:val="both"/>
        <w:rPr>
          <w:rFonts w:ascii="Arial" w:eastAsia="Arial" w:hAnsi="Arial" w:cs="Arial"/>
          <w:sz w:val="20"/>
          <w:szCs w:val="20"/>
          <w:lang w:val="en-GB"/>
        </w:rPr>
      </w:pPr>
    </w:p>
    <w:p w14:paraId="2F3BDDB7" w14:textId="1F9C65CB" w:rsidR="6DD2E214" w:rsidRPr="00306F4D" w:rsidRDefault="32CC0799" w:rsidP="4186447D">
      <w:pPr>
        <w:spacing w:after="0" w:line="276" w:lineRule="auto"/>
        <w:jc w:val="both"/>
        <w:rPr>
          <w:rFonts w:ascii="Arial" w:eastAsia="Arial" w:hAnsi="Arial" w:cs="Arial"/>
          <w:sz w:val="20"/>
          <w:szCs w:val="20"/>
          <w:lang w:val="en-GB"/>
        </w:rPr>
      </w:pPr>
      <w:r w:rsidRPr="00306F4D">
        <w:rPr>
          <w:rFonts w:ascii="Arial" w:eastAsia="Arial" w:hAnsi="Arial" w:cs="Arial"/>
          <w:sz w:val="20"/>
          <w:szCs w:val="20"/>
          <w:lang w:val="en-GB"/>
        </w:rPr>
        <w:t>Once grantees are selected and specific interventions and sites are identified through the open call process, more detailed, locally grounded stakeholder consultations will be conducted. These will include consultations with vulnerable or marginalized groups, women, Indigenous Peoples, and other directly affected communities as relevant. At that stage, UNDP will also develop and disclose detailed risk assessments and management instruments—including gender action plans, stakeholder engagement plans, and environmental and social management plans—supported by gender and safeguards experts as part of project support and quality assurance.</w:t>
      </w:r>
    </w:p>
    <w:p w14:paraId="7690B4D0" w14:textId="77777777" w:rsidR="6367AF87" w:rsidRPr="00306F4D" w:rsidRDefault="6367AF87" w:rsidP="4186447D">
      <w:pPr>
        <w:spacing w:after="0" w:line="276" w:lineRule="auto"/>
        <w:rPr>
          <w:rFonts w:ascii="Arial" w:eastAsia="Arial" w:hAnsi="Arial" w:cs="Arial"/>
          <w:sz w:val="20"/>
          <w:szCs w:val="20"/>
          <w:lang w:val="en-GB"/>
        </w:rPr>
      </w:pPr>
    </w:p>
    <w:p w14:paraId="07DB8892" w14:textId="16F8997D" w:rsidR="6DD2E214" w:rsidRPr="00306F4D" w:rsidRDefault="32CC0799" w:rsidP="4186447D">
      <w:pPr>
        <w:spacing w:after="0" w:line="276" w:lineRule="auto"/>
        <w:jc w:val="both"/>
        <w:rPr>
          <w:rFonts w:ascii="Arial" w:eastAsia="Arial" w:hAnsi="Arial" w:cs="Arial"/>
          <w:sz w:val="20"/>
          <w:szCs w:val="20"/>
          <w:lang w:val="en-GB"/>
        </w:rPr>
      </w:pPr>
      <w:r w:rsidRPr="00306F4D">
        <w:rPr>
          <w:rFonts w:ascii="Arial" w:eastAsia="Arial" w:hAnsi="Arial" w:cs="Arial"/>
          <w:sz w:val="20"/>
          <w:szCs w:val="20"/>
          <w:lang w:val="en-GB"/>
        </w:rPr>
        <w:t>This phased approach allows UNDP to manage stakeholder expectations responsibly and transparently, recognizing that not all organizations applying for the grants may ultimately be selected or have the capacity to implement. However, UNDP us fully committed to ensuring that, in line with Adaptation Fund guidance on USPs, risk identification, gender considerations, and stakeholder engagement are addressed at both the framework level (during proposal formulation) and the sub-project level (once grantees are known). These measures will ensure robust safeguards and inclusive engagement throughout the project lifecycle.</w:t>
      </w:r>
    </w:p>
    <w:p w14:paraId="71C3EADC" w14:textId="77777777" w:rsidR="6367AF87" w:rsidRPr="00306F4D" w:rsidRDefault="6367AF87" w:rsidP="4186447D">
      <w:pPr>
        <w:spacing w:after="0" w:line="276" w:lineRule="auto"/>
        <w:jc w:val="both"/>
        <w:rPr>
          <w:rFonts w:ascii="Arial" w:eastAsia="Arial" w:hAnsi="Arial" w:cs="Arial"/>
          <w:sz w:val="20"/>
          <w:szCs w:val="20"/>
          <w:lang w:val="en-GB"/>
        </w:rPr>
      </w:pPr>
    </w:p>
    <w:p w14:paraId="1EF9F4B9" w14:textId="44BCBC3A" w:rsidR="6DD2E214" w:rsidRPr="00306F4D" w:rsidRDefault="7A2501F2" w:rsidP="4186447D">
      <w:pPr>
        <w:spacing w:after="0" w:line="276" w:lineRule="auto"/>
        <w:jc w:val="both"/>
        <w:rPr>
          <w:rFonts w:ascii="Arial" w:eastAsia="Arial" w:hAnsi="Arial" w:cs="Arial"/>
          <w:sz w:val="20"/>
          <w:szCs w:val="20"/>
          <w:lang w:val="en-GB"/>
        </w:rPr>
      </w:pPr>
      <w:r w:rsidRPr="00306F4D">
        <w:rPr>
          <w:rFonts w:ascii="Arial" w:eastAsia="Arial" w:hAnsi="Arial" w:cs="Arial"/>
          <w:sz w:val="20"/>
          <w:szCs w:val="20"/>
          <w:lang w:val="en-GB"/>
        </w:rPr>
        <w:t xml:space="preserve">The Adaptation Fund was consulted about the </w:t>
      </w:r>
      <w:r w:rsidR="5C0A71EA" w:rsidRPr="00306F4D">
        <w:rPr>
          <w:rFonts w:ascii="Arial" w:eastAsia="Arial" w:hAnsi="Arial" w:cs="Arial"/>
          <w:sz w:val="20"/>
          <w:szCs w:val="20"/>
          <w:lang w:val="en-GB"/>
        </w:rPr>
        <w:t>above-mentioned</w:t>
      </w:r>
      <w:r w:rsidRPr="00306F4D">
        <w:rPr>
          <w:rFonts w:ascii="Arial" w:eastAsia="Arial" w:hAnsi="Arial" w:cs="Arial"/>
          <w:sz w:val="20"/>
          <w:szCs w:val="20"/>
          <w:lang w:val="en-GB"/>
        </w:rPr>
        <w:t xml:space="preserve"> phased approach to stakeholder consultations</w:t>
      </w:r>
      <w:r w:rsidR="19E1B4EB" w:rsidRPr="00306F4D">
        <w:rPr>
          <w:rFonts w:ascii="Arial" w:eastAsia="Arial" w:hAnsi="Arial" w:cs="Arial"/>
          <w:sz w:val="20"/>
          <w:szCs w:val="20"/>
          <w:lang w:val="en-GB"/>
        </w:rPr>
        <w:t xml:space="preserve"> </w:t>
      </w:r>
      <w:r w:rsidRPr="00306F4D">
        <w:rPr>
          <w:rFonts w:ascii="Arial" w:eastAsia="Arial" w:hAnsi="Arial" w:cs="Arial"/>
          <w:sz w:val="20"/>
          <w:szCs w:val="20"/>
          <w:lang w:val="en-GB"/>
        </w:rPr>
        <w:t>and considering the nature of the programme and the inclusion of Unidentified Sub-Projects (USPs), they informed that the strategy seemed well-justified and aligned with the Fund’s guidance.</w:t>
      </w:r>
    </w:p>
    <w:p w14:paraId="5CFC65D2" w14:textId="77777777" w:rsidR="6367AF87" w:rsidRPr="00306F4D" w:rsidRDefault="6367AF87" w:rsidP="4186447D">
      <w:pPr>
        <w:spacing w:after="0" w:line="276" w:lineRule="auto"/>
        <w:jc w:val="both"/>
        <w:rPr>
          <w:rFonts w:ascii="Arial" w:eastAsia="Arial" w:hAnsi="Arial" w:cs="Arial"/>
          <w:sz w:val="20"/>
          <w:szCs w:val="20"/>
          <w:lang w:val="en-GB"/>
        </w:rPr>
      </w:pPr>
    </w:p>
    <w:p w14:paraId="4D6E4381" w14:textId="033CE88D" w:rsidR="65E2E11F" w:rsidRPr="00306F4D" w:rsidRDefault="32CC0799" w:rsidP="000D6E39">
      <w:pPr>
        <w:spacing w:after="0" w:line="276" w:lineRule="auto"/>
        <w:jc w:val="both"/>
        <w:rPr>
          <w:rFonts w:ascii="Arial" w:eastAsia="Arial" w:hAnsi="Arial" w:cs="Arial"/>
          <w:sz w:val="20"/>
          <w:szCs w:val="20"/>
          <w:lang w:val="en-GB"/>
        </w:rPr>
      </w:pPr>
      <w:r w:rsidRPr="00306F4D">
        <w:rPr>
          <w:rFonts w:ascii="Arial" w:eastAsia="Arial" w:hAnsi="Arial" w:cs="Arial"/>
          <w:sz w:val="20"/>
          <w:szCs w:val="20"/>
          <w:lang w:val="en-GB"/>
        </w:rPr>
        <w:t xml:space="preserve">Further to this, </w:t>
      </w:r>
      <w:r w:rsidRPr="00306F4D">
        <w:rPr>
          <w:rFonts w:ascii="Arial" w:eastAsia="Arial" w:hAnsi="Arial" w:cs="Arial"/>
          <w:b/>
          <w:bCs/>
          <w:sz w:val="20"/>
          <w:szCs w:val="20"/>
          <w:lang w:val="en-GB"/>
        </w:rPr>
        <w:t>Annexes 4 and 5</w:t>
      </w:r>
      <w:r w:rsidRPr="00306F4D">
        <w:rPr>
          <w:rFonts w:ascii="Arial" w:eastAsia="Arial" w:hAnsi="Arial" w:cs="Arial"/>
          <w:sz w:val="20"/>
          <w:szCs w:val="20"/>
          <w:lang w:val="en-GB"/>
        </w:rPr>
        <w:t xml:space="preserve"> outline the envisioned consultation processes that will further advance during implementation—</w:t>
      </w:r>
      <w:r w:rsidR="32A52A8D" w:rsidRPr="00306F4D">
        <w:rPr>
          <w:rFonts w:ascii="Arial" w:eastAsia="Arial" w:hAnsi="Arial" w:cs="Arial"/>
          <w:sz w:val="20"/>
          <w:szCs w:val="20"/>
          <w:lang w:val="en-GB"/>
        </w:rPr>
        <w:t>to</w:t>
      </w:r>
      <w:r w:rsidRPr="00306F4D">
        <w:rPr>
          <w:rFonts w:ascii="Arial" w:eastAsia="Arial" w:hAnsi="Arial" w:cs="Arial"/>
          <w:sz w:val="20"/>
          <w:szCs w:val="20"/>
          <w:lang w:val="en-GB"/>
        </w:rPr>
        <w:t xml:space="preserve"> meet the requirements of the UNDP´s and the Adaptation Fund´s Environmental and Social Safeguards Policies and Gender Policies. </w:t>
      </w:r>
    </w:p>
    <w:p w14:paraId="76E7DC70" w14:textId="77777777" w:rsidR="000D6E39" w:rsidRPr="00306F4D" w:rsidRDefault="000D6E39" w:rsidP="000D6E39">
      <w:pPr>
        <w:spacing w:after="0" w:line="276" w:lineRule="auto"/>
        <w:jc w:val="both"/>
        <w:rPr>
          <w:rFonts w:ascii="Arial" w:eastAsia="Arial" w:hAnsi="Arial" w:cs="Arial"/>
          <w:sz w:val="20"/>
          <w:szCs w:val="20"/>
          <w:lang w:val="en-GB"/>
        </w:rPr>
      </w:pPr>
    </w:p>
    <w:p w14:paraId="1332235B" w14:textId="11CA14BD" w:rsidR="65E2E11F" w:rsidRPr="00306F4D" w:rsidRDefault="484D2CBC" w:rsidP="58D8FBEF">
      <w:pPr>
        <w:pStyle w:val="Heading3"/>
        <w:spacing w:line="276" w:lineRule="auto"/>
        <w:rPr>
          <w:rFonts w:ascii="Arial" w:eastAsia="Arial" w:hAnsi="Arial" w:cs="Arial"/>
          <w:b/>
          <w:i/>
          <w:sz w:val="20"/>
          <w:szCs w:val="20"/>
          <w:lang w:val="en-GB"/>
        </w:rPr>
      </w:pPr>
      <w:bookmarkStart w:id="149" w:name="_Toc791182644"/>
      <w:bookmarkStart w:id="150" w:name="_Toc1643003717"/>
      <w:r w:rsidRPr="00306F4D">
        <w:rPr>
          <w:rFonts w:ascii="Arial" w:eastAsia="Arial" w:hAnsi="Arial" w:cs="Arial"/>
          <w:sz w:val="20"/>
          <w:szCs w:val="20"/>
          <w:lang w:val="en-GB"/>
        </w:rPr>
        <w:lastRenderedPageBreak/>
        <w:t>Initial Consultations with Key National Stakeholders</w:t>
      </w:r>
      <w:bookmarkEnd w:id="149"/>
      <w:bookmarkEnd w:id="150"/>
    </w:p>
    <w:p w14:paraId="007A61BA" w14:textId="4B3BB6A2" w:rsidR="65E2E11F" w:rsidRPr="00306F4D" w:rsidRDefault="523CE2B7" w:rsidP="4186447D">
      <w:p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 xml:space="preserve">The consultative process undertaken during the preparation of the Regional Project has been designed to ensure broad stakeholder engagement, with particular attention to vulnerable groups and gender considerations, in compliance with the Environmental and Social Policy (ESP) of the Adaptation Fund. The process has been structured in phases, enabling effective national and local input integration throughout the project’s development. Detailed information can be found in the following annexes to this proposal </w:t>
      </w:r>
      <w:r w:rsidRPr="00306F4D">
        <w:rPr>
          <w:rFonts w:ascii="Arial" w:eastAsia="Arial" w:hAnsi="Arial" w:cs="Arial"/>
          <w:b/>
          <w:bCs/>
          <w:sz w:val="20"/>
          <w:szCs w:val="20"/>
          <w:lang w:val="en-GB"/>
        </w:rPr>
        <w:t>Annex 6</w:t>
      </w:r>
      <w:r w:rsidRPr="00306F4D">
        <w:rPr>
          <w:rFonts w:ascii="Arial" w:eastAsia="Arial" w:hAnsi="Arial" w:cs="Arial"/>
          <w:sz w:val="20"/>
          <w:szCs w:val="20"/>
          <w:lang w:val="en-GB"/>
        </w:rPr>
        <w:t xml:space="preserve"> (Stakeholder Mapping Matrixes), and </w:t>
      </w:r>
      <w:r w:rsidRPr="00306F4D">
        <w:rPr>
          <w:rFonts w:ascii="Arial" w:eastAsia="Arial" w:hAnsi="Arial" w:cs="Arial"/>
          <w:b/>
          <w:bCs/>
          <w:sz w:val="20"/>
          <w:szCs w:val="20"/>
          <w:lang w:val="en-GB"/>
        </w:rPr>
        <w:t xml:space="preserve">Annex 7 </w:t>
      </w:r>
      <w:r w:rsidRPr="00306F4D">
        <w:rPr>
          <w:rFonts w:ascii="Arial" w:eastAsia="Arial" w:hAnsi="Arial" w:cs="Arial"/>
          <w:sz w:val="20"/>
          <w:szCs w:val="20"/>
          <w:lang w:val="en-GB"/>
        </w:rPr>
        <w:t xml:space="preserve">(Stakeholder Consultations and Engagement). </w:t>
      </w:r>
    </w:p>
    <w:p w14:paraId="764A1EB2" w14:textId="2B3E0524" w:rsidR="65E2E11F" w:rsidRPr="00306F4D" w:rsidRDefault="4404120F" w:rsidP="4186447D">
      <w:p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 xml:space="preserve">The first phase of the consultation process involved virtual meetings with key national stakeholders, coordinated through UNDP Country Offices in the </w:t>
      </w:r>
      <w:r w:rsidR="3A7B9E12" w:rsidRPr="00306F4D">
        <w:rPr>
          <w:rFonts w:ascii="Arial" w:eastAsia="Arial" w:hAnsi="Arial" w:cs="Arial"/>
          <w:sz w:val="20"/>
          <w:szCs w:val="20"/>
          <w:lang w:val="en-GB"/>
        </w:rPr>
        <w:t>four</w:t>
      </w:r>
      <w:r w:rsidRPr="00306F4D">
        <w:rPr>
          <w:rFonts w:ascii="Arial" w:eastAsia="Arial" w:hAnsi="Arial" w:cs="Arial"/>
          <w:sz w:val="20"/>
          <w:szCs w:val="20"/>
          <w:lang w:val="en-GB"/>
        </w:rPr>
        <w:t xml:space="preserve"> target countries. These consultations engaged representatives from government agencies, civil society organizations, </w:t>
      </w:r>
      <w:proofErr w:type="spellStart"/>
      <w:proofErr w:type="gramStart"/>
      <w:r w:rsidR="0A110C4A" w:rsidRPr="00306F4D">
        <w:rPr>
          <w:rFonts w:ascii="Arial" w:eastAsia="Arial" w:hAnsi="Arial" w:cs="Arial"/>
          <w:sz w:val="20"/>
          <w:szCs w:val="20"/>
          <w:lang w:val="en-GB"/>
        </w:rPr>
        <w:t>non governmental</w:t>
      </w:r>
      <w:proofErr w:type="spellEnd"/>
      <w:proofErr w:type="gramEnd"/>
      <w:r w:rsidR="0A110C4A" w:rsidRPr="00306F4D">
        <w:rPr>
          <w:rFonts w:ascii="Arial" w:eastAsia="Arial" w:hAnsi="Arial" w:cs="Arial"/>
          <w:sz w:val="20"/>
          <w:szCs w:val="20"/>
          <w:lang w:val="en-GB"/>
        </w:rPr>
        <w:t xml:space="preserve"> organizations, SMEs </w:t>
      </w:r>
      <w:r w:rsidRPr="00306F4D">
        <w:rPr>
          <w:rFonts w:ascii="Arial" w:eastAsia="Arial" w:hAnsi="Arial" w:cs="Arial"/>
          <w:sz w:val="20"/>
          <w:szCs w:val="20"/>
          <w:lang w:val="en-GB"/>
        </w:rPr>
        <w:t>and relevant institutions. The primary aim was to inform the overall project framework, ensuring alignment with national priorities and contextual realities. National stakeholders provided valuable input that guided the development of the project’s implementation principles, safeguards, and risk identification processes, ensuring that the project aligns with national adaptation strategies.</w:t>
      </w:r>
    </w:p>
    <w:p w14:paraId="6E0CF3A3" w14:textId="77777777" w:rsidR="001E57BD" w:rsidRPr="00306F4D" w:rsidRDefault="001E57BD" w:rsidP="001E57BD">
      <w:pPr>
        <w:spacing w:before="240" w:after="240" w:line="276" w:lineRule="auto"/>
        <w:jc w:val="both"/>
        <w:rPr>
          <w:rFonts w:ascii="Arial" w:eastAsia="Arial" w:hAnsi="Arial" w:cs="Arial"/>
          <w:sz w:val="20"/>
          <w:szCs w:val="20"/>
          <w:lang w:val="en-GB"/>
        </w:rPr>
      </w:pPr>
      <w:r w:rsidRPr="00306F4D">
        <w:rPr>
          <w:rFonts w:ascii="Arial" w:eastAsiaTheme="minorEastAsia" w:hAnsi="Arial" w:cs="Arial"/>
          <w:color w:val="000000" w:themeColor="text1"/>
          <w:sz w:val="20"/>
          <w:szCs w:val="20"/>
          <w:lang w:val="en-GB"/>
        </w:rPr>
        <w:t xml:space="preserve">In Bosnia and Herzegovina, the stakeholder consultation brought together representatives from government ministries, hydrometeorological institutes, academia, development agencies, civil society, and the private sector. Participants welcomed the regional initiative and emphasized the need for clear administrative procedures and institutional support to ensure effective participation, given the country’s complex governance structure. The importance of ensuring access for development agencies and civil society organizations was underlined, along with calls for active engagement of local actors and broader community involvement. Stakeholders expressed strong interest in grant access and regional collaboration and affirmed the need for flexible, inclusive processes. Stakeholders also stressed the relevance of gender-sensitive approaches and appreciated the inclusive design of the initiative. The session reaffirmed Bosnia and Herzegovina’s interest and readiness to participate in the Regional Project. </w:t>
      </w:r>
      <w:bookmarkStart w:id="151" w:name="_Toc1193984207"/>
      <w:bookmarkStart w:id="152" w:name="_Toc940120574"/>
      <w:r w:rsidRPr="00306F4D">
        <w:rPr>
          <w:rFonts w:ascii="Arial" w:eastAsiaTheme="minorEastAsia" w:hAnsi="Arial" w:cs="Arial"/>
          <w:color w:val="000000" w:themeColor="text1"/>
          <w:sz w:val="20"/>
          <w:szCs w:val="20"/>
          <w:lang w:val="en-GB"/>
        </w:rPr>
        <w:t>Focus on Vulnerable Groups and Gender Considerations</w:t>
      </w:r>
      <w:bookmarkEnd w:id="151"/>
      <w:bookmarkEnd w:id="152"/>
      <w:r w:rsidRPr="00306F4D">
        <w:rPr>
          <w:rFonts w:ascii="Arial" w:eastAsiaTheme="minorEastAsia" w:hAnsi="Arial" w:cs="Arial"/>
          <w:color w:val="000000" w:themeColor="text1"/>
          <w:sz w:val="20"/>
          <w:szCs w:val="20"/>
          <w:lang w:val="en-GB"/>
        </w:rPr>
        <w:t>.</w:t>
      </w:r>
    </w:p>
    <w:p w14:paraId="700B5876" w14:textId="77777777" w:rsidR="001E57BD" w:rsidRPr="00306F4D" w:rsidRDefault="001E57BD" w:rsidP="001E57BD">
      <w:pPr>
        <w:spacing w:before="240" w:after="240" w:line="276" w:lineRule="auto"/>
        <w:jc w:val="both"/>
        <w:rPr>
          <w:rFonts w:ascii="Arial" w:eastAsia="Arial" w:hAnsi="Arial" w:cs="Arial"/>
          <w:sz w:val="20"/>
          <w:szCs w:val="20"/>
          <w:lang w:val="en-GB"/>
        </w:rPr>
      </w:pPr>
      <w:r w:rsidRPr="00306F4D">
        <w:rPr>
          <w:rFonts w:ascii="Arial" w:eastAsiaTheme="minorEastAsia" w:hAnsi="Arial" w:cs="Arial"/>
          <w:color w:val="000000" w:themeColor="text1"/>
          <w:sz w:val="20"/>
          <w:szCs w:val="20"/>
          <w:lang w:val="en-GB"/>
        </w:rPr>
        <w:t xml:space="preserve">In Montenegro, stakeholder consultations emphasized the importance of aligning the regional project with national policy processes, including the National Adaptation Plan (NAP), Low-Carbon Development Strategy, National Climate and Energy Plan, and NDCs. Participants highlighted significant capacity gaps among municipalities, SMEs, and NGOs in developing fundable adaptation proposals and called for the pairing of grant support with technical assistance and mentoring. Engagement with business development professionals was seen as essential, particularly in raising awareness and building skills to integrate climate considerations into investment planning. Stakeholders also identified a need to strengthen the role of local governments in embedding adaptation criteria into economic support schemes, especially in agriculture and tourism. The Environmental Protection Fund was recognized as a potential partner to leverage existing mechanisms and build capacity. Gender considerations were prioritized, with recommendations to build on UNDP’s </w:t>
      </w:r>
      <w:proofErr w:type="spellStart"/>
      <w:r w:rsidRPr="00306F4D">
        <w:rPr>
          <w:rFonts w:ascii="Arial" w:eastAsiaTheme="minorEastAsia" w:hAnsi="Arial" w:cs="Arial"/>
          <w:color w:val="000000" w:themeColor="text1"/>
          <w:sz w:val="20"/>
          <w:szCs w:val="20"/>
          <w:lang w:val="en-GB"/>
        </w:rPr>
        <w:t>EmpowerHer</w:t>
      </w:r>
      <w:proofErr w:type="spellEnd"/>
      <w:r w:rsidRPr="00306F4D">
        <w:rPr>
          <w:rFonts w:ascii="Arial" w:eastAsiaTheme="minorEastAsia" w:hAnsi="Arial" w:cs="Arial"/>
          <w:color w:val="000000" w:themeColor="text1"/>
          <w:sz w:val="20"/>
          <w:szCs w:val="20"/>
          <w:lang w:val="en-GB"/>
        </w:rPr>
        <w:t xml:space="preserve"> experience and align with national gender equality legislation. Finally, stakeholders stressed the importance of coordinating with existing initiatives—such as GORA and GEF-7 projects—to ensure complementarity, avoid duplication, and maximize outreach to vulnerable groups and local actors.</w:t>
      </w:r>
    </w:p>
    <w:p w14:paraId="2877D183" w14:textId="3D87CE60" w:rsidR="65E2E11F" w:rsidRPr="00306F4D" w:rsidRDefault="7B066505" w:rsidP="338C5E83">
      <w:pPr>
        <w:spacing w:before="240" w:after="240" w:line="276" w:lineRule="auto"/>
        <w:jc w:val="both"/>
        <w:rPr>
          <w:rFonts w:ascii="Arial" w:eastAsia="Arial" w:hAnsi="Arial" w:cs="Arial"/>
          <w:sz w:val="20"/>
          <w:szCs w:val="20"/>
          <w:lang w:val="en-GB"/>
        </w:rPr>
      </w:pPr>
      <w:r w:rsidRPr="00306F4D">
        <w:rPr>
          <w:rFonts w:ascii="Arial" w:eastAsiaTheme="minorEastAsia" w:hAnsi="Arial" w:cs="Arial"/>
          <w:color w:val="000000" w:themeColor="text1"/>
          <w:sz w:val="20"/>
          <w:szCs w:val="20"/>
          <w:lang w:val="en-GB"/>
        </w:rPr>
        <w:t xml:space="preserve">In North Macedonia, </w:t>
      </w:r>
      <w:r w:rsidR="249EBAE8" w:rsidRPr="00306F4D">
        <w:rPr>
          <w:rFonts w:ascii="Arial" w:eastAsiaTheme="minorEastAsia" w:hAnsi="Arial" w:cs="Arial"/>
          <w:color w:val="000000" w:themeColor="text1"/>
          <w:sz w:val="20"/>
          <w:szCs w:val="20"/>
          <w:lang w:val="en-GB"/>
        </w:rPr>
        <w:t xml:space="preserve">during the consultation stage </w:t>
      </w:r>
      <w:r w:rsidRPr="00306F4D">
        <w:rPr>
          <w:rFonts w:ascii="Arial" w:eastAsiaTheme="minorEastAsia" w:hAnsi="Arial" w:cs="Arial"/>
          <w:color w:val="000000" w:themeColor="text1"/>
          <w:sz w:val="20"/>
          <w:szCs w:val="20"/>
          <w:lang w:val="en-GB"/>
        </w:rPr>
        <w:t xml:space="preserve">stakeholders </w:t>
      </w:r>
      <w:r w:rsidR="42DAFAA2" w:rsidRPr="00306F4D">
        <w:rPr>
          <w:rFonts w:ascii="Arial" w:eastAsiaTheme="minorEastAsia" w:hAnsi="Arial" w:cs="Arial"/>
          <w:color w:val="000000" w:themeColor="text1"/>
          <w:sz w:val="20"/>
          <w:szCs w:val="20"/>
          <w:lang w:val="en-GB"/>
        </w:rPr>
        <w:t>emphasized the need to prioritize high-impact sectors—such as agriculture, water resource management, and urban resilience—while ensuring inclusivity and innovation at even modest funding levels.</w:t>
      </w:r>
      <w:r w:rsidR="2B952F69" w:rsidRPr="00306F4D">
        <w:rPr>
          <w:rFonts w:ascii="Arial" w:eastAsiaTheme="minorEastAsia" w:hAnsi="Arial" w:cs="Arial"/>
          <w:color w:val="000000" w:themeColor="text1"/>
          <w:sz w:val="20"/>
          <w:szCs w:val="20"/>
        </w:rPr>
        <w:t xml:space="preserve"> It is noted that flexibility is important to allow participation from a wide range of municipalities, while still making sure that underserved and vulnerable communities receive adequate support.</w:t>
      </w:r>
      <w:r w:rsidR="42DAFAA2" w:rsidRPr="00306F4D">
        <w:rPr>
          <w:rFonts w:ascii="Arial" w:eastAsiaTheme="minorEastAsia" w:hAnsi="Arial" w:cs="Arial"/>
          <w:color w:val="000000" w:themeColor="text1"/>
          <w:sz w:val="20"/>
          <w:szCs w:val="20"/>
          <w:lang w:val="en-GB"/>
        </w:rPr>
        <w:t xml:space="preserve"> The consultation highlighted the importance of supporting rural women, youth, persons with disabilities, Roma communities, and small-scale farmers, who are often excluded from formal decision-making but face acute climate risks. Participants stressed the value of strong municipal leadership, gender expertise, and partnerships </w:t>
      </w:r>
      <w:r w:rsidR="42DAFAA2" w:rsidRPr="00306F4D">
        <w:rPr>
          <w:rFonts w:ascii="Arial" w:eastAsiaTheme="minorEastAsia" w:hAnsi="Arial" w:cs="Arial"/>
          <w:color w:val="000000" w:themeColor="text1"/>
          <w:sz w:val="20"/>
          <w:szCs w:val="20"/>
          <w:lang w:val="en-GB"/>
        </w:rPr>
        <w:lastRenderedPageBreak/>
        <w:t>with academia and civil society to enhance implementation and sustainability. Geographically, the North-East region and climate-stressed urban zones like Skopje were identified as priority areas. Innovation, affordability, and scalability were key themes, with stakeholders advocating for solutions such as hydroponics and bio-waste processing, underpinned by robust monitoring frameworks and inclusive engagement mechanisms.</w:t>
      </w:r>
    </w:p>
    <w:p w14:paraId="52E8835D" w14:textId="23364889" w:rsidR="65E2E11F" w:rsidRPr="00306F4D" w:rsidRDefault="4940FA8D" w:rsidP="338C5E83">
      <w:pPr>
        <w:spacing w:after="0" w:line="276" w:lineRule="auto"/>
        <w:jc w:val="both"/>
        <w:rPr>
          <w:rFonts w:ascii="Arial" w:eastAsia="Arial" w:hAnsi="Arial" w:cs="Arial"/>
          <w:sz w:val="20"/>
          <w:szCs w:val="20"/>
          <w:lang w:val="en-GB"/>
        </w:rPr>
      </w:pPr>
      <w:r w:rsidRPr="00306F4D">
        <w:rPr>
          <w:rFonts w:ascii="Arial" w:eastAsiaTheme="minorEastAsia" w:hAnsi="Arial" w:cs="Arial"/>
          <w:color w:val="000000" w:themeColor="text1"/>
          <w:sz w:val="20"/>
          <w:szCs w:val="20"/>
          <w:lang w:val="en-GB"/>
        </w:rPr>
        <w:t xml:space="preserve">In Serbia, stakeholder consultations aligned with the ongoing national adaptation planning process, providing an opportunity to ensure coherence with the country’s National Adaptation Plan and related strategies. Participants expressed strong support for the project’s emphasis on locally driven action and prioritization of vulnerable populations—particularly the elderly, Roma communities, individuals with chronic illnesses, and rural residents and underlined the importance of inclusivity </w:t>
      </w:r>
      <w:r w:rsidR="1CDE09BA" w:rsidRPr="00306F4D">
        <w:rPr>
          <w:rFonts w:ascii="Arial" w:eastAsiaTheme="minorEastAsia" w:hAnsi="Arial" w:cs="Arial"/>
          <w:color w:val="000000" w:themeColor="text1"/>
          <w:sz w:val="20"/>
          <w:szCs w:val="20"/>
          <w:lang w:val="en-GB"/>
        </w:rPr>
        <w:t xml:space="preserve">to </w:t>
      </w:r>
      <w:r w:rsidR="7624FE2B" w:rsidRPr="00306F4D">
        <w:rPr>
          <w:rFonts w:ascii="Arial" w:eastAsiaTheme="minorEastAsia" w:hAnsi="Arial" w:cs="Arial"/>
          <w:color w:val="000000" w:themeColor="text1"/>
          <w:sz w:val="20"/>
          <w:szCs w:val="20"/>
          <w:lang w:val="en-GB"/>
        </w:rPr>
        <w:t>a</w:t>
      </w:r>
      <w:r w:rsidR="00F841DB" w:rsidRPr="00306F4D">
        <w:rPr>
          <w:rFonts w:ascii="Arial" w:eastAsiaTheme="minorEastAsia" w:hAnsi="Arial" w:cs="Arial"/>
          <w:color w:val="000000" w:themeColor="text1"/>
          <w:sz w:val="20"/>
          <w:szCs w:val="20"/>
          <w:lang w:val="en-GB"/>
        </w:rPr>
        <w:t>d</w:t>
      </w:r>
      <w:r w:rsidR="7624FE2B" w:rsidRPr="00306F4D">
        <w:rPr>
          <w:rFonts w:ascii="Arial" w:eastAsiaTheme="minorEastAsia" w:hAnsi="Arial" w:cs="Arial"/>
          <w:color w:val="000000" w:themeColor="text1"/>
          <w:sz w:val="20"/>
          <w:szCs w:val="20"/>
          <w:lang w:val="en-GB"/>
        </w:rPr>
        <w:t>dress</w:t>
      </w:r>
      <w:r w:rsidR="1CDE09BA" w:rsidRPr="00306F4D">
        <w:rPr>
          <w:rFonts w:ascii="Arial" w:eastAsiaTheme="minorEastAsia" w:hAnsi="Arial" w:cs="Arial"/>
          <w:color w:val="000000" w:themeColor="text1"/>
          <w:sz w:val="20"/>
          <w:szCs w:val="20"/>
          <w:lang w:val="en-GB"/>
        </w:rPr>
        <w:t xml:space="preserve"> </w:t>
      </w:r>
      <w:r w:rsidR="7624FE2B" w:rsidRPr="00306F4D">
        <w:rPr>
          <w:rFonts w:ascii="Arial" w:eastAsiaTheme="minorEastAsia" w:hAnsi="Arial" w:cs="Arial"/>
          <w:color w:val="000000" w:themeColor="text1"/>
          <w:sz w:val="20"/>
          <w:szCs w:val="20"/>
          <w:lang w:val="en-GB"/>
        </w:rPr>
        <w:t xml:space="preserve">vulnerabilities and </w:t>
      </w:r>
      <w:r w:rsidR="7624FE2B" w:rsidRPr="00306F4D">
        <w:rPr>
          <w:rFonts w:ascii="Arial" w:eastAsiaTheme="minorEastAsia" w:hAnsi="Arial" w:cs="Arial"/>
          <w:color w:val="000000" w:themeColor="text1"/>
          <w:sz w:val="20"/>
          <w:szCs w:val="20"/>
        </w:rPr>
        <w:t>existing needs of target areas</w:t>
      </w:r>
      <w:r w:rsidRPr="00306F4D">
        <w:rPr>
          <w:rFonts w:ascii="Arial" w:eastAsiaTheme="minorEastAsia" w:hAnsi="Arial" w:cs="Arial"/>
          <w:color w:val="000000" w:themeColor="text1"/>
          <w:sz w:val="20"/>
          <w:szCs w:val="20"/>
          <w:lang w:val="en-GB"/>
        </w:rPr>
        <w:t>. Key thematic priorities included nature-based solutions, disaster risk reduction, and drought resilience. Stakeholders emphasized the importance of transparent and inclusive grant allocation mechanisms, recommending that informal groups be supported through structured partnerships. They also highlighted the need to build the capacities of civil society organizations and local governments. Regional cooperation was seen as a valuable dimension—both for sharing knowledge and for implementing cross-border or jurisdictionally aligned initiatives with scalable benefits across the Western Balkans.</w:t>
      </w:r>
    </w:p>
    <w:p w14:paraId="0D50B173" w14:textId="624046A9" w:rsidR="65E2E11F" w:rsidRPr="00306F4D" w:rsidRDefault="65E2E11F" w:rsidP="4186447D">
      <w:p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In compliance with the ESP, particular attention was given to vulnerable groups, including women</w:t>
      </w:r>
      <w:r w:rsidR="11FD4AE4" w:rsidRPr="00306F4D">
        <w:rPr>
          <w:rFonts w:ascii="Arial" w:eastAsia="Arial" w:hAnsi="Arial" w:cs="Arial"/>
          <w:sz w:val="20"/>
          <w:szCs w:val="20"/>
          <w:lang w:val="en-GB"/>
        </w:rPr>
        <w:t>;</w:t>
      </w:r>
      <w:r w:rsidR="7A3EA9DA" w:rsidRPr="00306F4D">
        <w:rPr>
          <w:rFonts w:ascii="Arial" w:eastAsia="Arial" w:hAnsi="Arial" w:cs="Arial"/>
          <w:sz w:val="20"/>
          <w:szCs w:val="20"/>
          <w:lang w:val="en-GB"/>
        </w:rPr>
        <w:t xml:space="preserve"> youth</w:t>
      </w:r>
      <w:r w:rsidR="0DB9BCBC" w:rsidRPr="00306F4D">
        <w:rPr>
          <w:rFonts w:ascii="Arial" w:eastAsia="Arial" w:hAnsi="Arial" w:cs="Arial"/>
          <w:sz w:val="20"/>
          <w:szCs w:val="20"/>
          <w:lang w:val="en-GB"/>
        </w:rPr>
        <w:t>;</w:t>
      </w:r>
      <w:r w:rsidRPr="00306F4D">
        <w:rPr>
          <w:rFonts w:ascii="Arial" w:eastAsia="Arial" w:hAnsi="Arial" w:cs="Arial"/>
          <w:sz w:val="20"/>
          <w:szCs w:val="20"/>
          <w:lang w:val="en-GB"/>
        </w:rPr>
        <w:t xml:space="preserve"> communities</w:t>
      </w:r>
      <w:r w:rsidR="56C6E652" w:rsidRPr="00306F4D">
        <w:rPr>
          <w:rFonts w:ascii="Arial" w:eastAsia="Arial" w:hAnsi="Arial" w:cs="Arial"/>
          <w:sz w:val="20"/>
          <w:szCs w:val="20"/>
          <w:lang w:val="en-GB"/>
        </w:rPr>
        <w:t xml:space="preserve"> facing social, economic, and political marginalization</w:t>
      </w:r>
      <w:r w:rsidR="3E5DD1E2" w:rsidRPr="00306F4D">
        <w:rPr>
          <w:rFonts w:ascii="Arial" w:eastAsia="Arial" w:hAnsi="Arial" w:cs="Arial"/>
          <w:sz w:val="20"/>
          <w:szCs w:val="20"/>
          <w:lang w:val="en-GB"/>
        </w:rPr>
        <w:t>;</w:t>
      </w:r>
      <w:r w:rsidRPr="00306F4D">
        <w:rPr>
          <w:rFonts w:ascii="Arial" w:eastAsia="Arial" w:hAnsi="Arial" w:cs="Arial"/>
          <w:sz w:val="20"/>
          <w:szCs w:val="20"/>
          <w:lang w:val="en-GB"/>
        </w:rPr>
        <w:t xml:space="preserve"> and marginalized communities. Gender considerations were incorporated into the consultation process, with the results informing the project’s design and risk management strategies. This approach ensures that the needs of vulnerable groups are central to the project’s implementation, and that gender-sensitive actions are embedded into its activities.</w:t>
      </w:r>
    </w:p>
    <w:p w14:paraId="2D29AEFC" w14:textId="34946B47" w:rsidR="65E2E11F" w:rsidRPr="00306F4D" w:rsidRDefault="484D2CBC" w:rsidP="4186447D">
      <w:pPr>
        <w:pStyle w:val="Heading3"/>
        <w:spacing w:line="276" w:lineRule="auto"/>
        <w:jc w:val="both"/>
        <w:rPr>
          <w:rFonts w:ascii="Arial" w:eastAsia="Arial" w:hAnsi="Arial" w:cs="Arial"/>
          <w:b/>
          <w:color w:val="000000" w:themeColor="text1"/>
          <w:sz w:val="20"/>
          <w:szCs w:val="20"/>
          <w:lang w:val="en-GB"/>
        </w:rPr>
      </w:pPr>
      <w:bookmarkStart w:id="153" w:name="_Toc1800318414"/>
      <w:bookmarkStart w:id="154" w:name="_Toc1132999478"/>
      <w:r w:rsidRPr="00306F4D">
        <w:rPr>
          <w:rFonts w:ascii="Arial" w:eastAsia="Arial" w:hAnsi="Arial" w:cs="Arial"/>
          <w:sz w:val="20"/>
          <w:szCs w:val="20"/>
          <w:lang w:val="en-GB"/>
        </w:rPr>
        <w:t>Future Stakeholder Consultations and Detailed Risk Assessments</w:t>
      </w:r>
      <w:bookmarkEnd w:id="153"/>
      <w:bookmarkEnd w:id="154"/>
    </w:p>
    <w:p w14:paraId="05F732A5" w14:textId="41BAD9CE" w:rsidR="65E2E11F" w:rsidRPr="00306F4D" w:rsidRDefault="65E2E11F" w:rsidP="4186447D">
      <w:p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 xml:space="preserve">As the project progresses, further consultations will be conducted at the sub-project level, once specific grantees and interventions are identified through an open call for proposals. These consultations will focus on localized engagement, particularly with vulnerable groups, women, and </w:t>
      </w:r>
      <w:r w:rsidR="7E82F79A" w:rsidRPr="00306F4D">
        <w:rPr>
          <w:rFonts w:ascii="Arial" w:eastAsia="Arial" w:hAnsi="Arial" w:cs="Arial"/>
          <w:sz w:val="20"/>
          <w:szCs w:val="20"/>
          <w:lang w:val="en-GB"/>
        </w:rPr>
        <w:t>marginalized and underserved populations</w:t>
      </w:r>
      <w:r w:rsidRPr="00306F4D">
        <w:rPr>
          <w:rFonts w:ascii="Arial" w:eastAsia="Arial" w:hAnsi="Arial" w:cs="Arial"/>
          <w:sz w:val="20"/>
          <w:szCs w:val="20"/>
          <w:lang w:val="en-GB"/>
        </w:rPr>
        <w:t xml:space="preserve"> ensuring that interventions are tailored to the specific needs of the communities they aim to serve. Detailed stakeholder meeting summaries, responses to stakeholder comments, and stakeholder engagement plans will be included in the application forms. Additionally, risk assessments, gender action plans, and environmental and social management plans will be developed and disclosed, ensuring compliance with the Adaptation Fund's policies and the safeguarding of vulnerable groups.</w:t>
      </w:r>
    </w:p>
    <w:p w14:paraId="52774527" w14:textId="00AB2E8E" w:rsidR="00F04FEE" w:rsidRPr="00306F4D" w:rsidRDefault="65E2E11F" w:rsidP="4186447D">
      <w:p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This consultative process ensures that the voices of all stakeholders, particularly vulnerable groups, are actively heard and incorporated into the project’s design and implementation. The phased approach allows for continuous learning, adaptation, and responsiveness, ensuring that the project remains aligned with the principles of the Adaptation Fund’s Environmental and Social Policy throughout its lifecycle.</w:t>
      </w:r>
    </w:p>
    <w:p w14:paraId="31382E66" w14:textId="77777777" w:rsidR="003C744D" w:rsidRPr="00306F4D" w:rsidRDefault="003C744D" w:rsidP="003C744D">
      <w:pPr>
        <w:pStyle w:val="Footer"/>
        <w:numPr>
          <w:ilvl w:val="0"/>
          <w:numId w:val="23"/>
        </w:numPr>
        <w:tabs>
          <w:tab w:val="clear" w:pos="720"/>
          <w:tab w:val="clear" w:pos="4680"/>
          <w:tab w:val="clear" w:pos="9360"/>
          <w:tab w:val="num" w:pos="360"/>
        </w:tabs>
        <w:spacing w:line="276" w:lineRule="auto"/>
        <w:ind w:left="360"/>
        <w:jc w:val="both"/>
        <w:rPr>
          <w:rFonts w:ascii="Arial" w:eastAsia="Arial" w:hAnsi="Arial" w:cs="Arial"/>
          <w:color w:val="AEAAAA" w:themeColor="background2" w:themeShade="BF"/>
          <w:lang w:val="en-GB"/>
        </w:rPr>
      </w:pPr>
      <w:r w:rsidRPr="00306F4D">
        <w:rPr>
          <w:rFonts w:ascii="Arial" w:eastAsia="Arial" w:hAnsi="Arial" w:cs="Arial"/>
          <w:color w:val="AEAAAA" w:themeColor="background2" w:themeShade="BF"/>
          <w:lang w:val="en-GB"/>
        </w:rPr>
        <w:t xml:space="preserve">Describe </w:t>
      </w:r>
      <w:bookmarkStart w:id="155" w:name="_Hlk66210897"/>
      <w:r w:rsidRPr="00306F4D">
        <w:rPr>
          <w:rFonts w:ascii="Arial" w:eastAsia="Arial" w:hAnsi="Arial" w:cs="Arial"/>
          <w:color w:val="AEAAAA" w:themeColor="background2" w:themeShade="BF"/>
          <w:lang w:val="en-GB"/>
        </w:rPr>
        <w:t>how the project/programme draws on multiple perspectives on innovation from e.g., communities that are vulnerable to climate change, research organizations, or other partners in the innovation space</w:t>
      </w:r>
      <w:bookmarkEnd w:id="155"/>
      <w:r w:rsidRPr="00306F4D">
        <w:rPr>
          <w:rFonts w:ascii="Arial" w:eastAsia="Arial" w:hAnsi="Arial" w:cs="Arial"/>
          <w:color w:val="AEAAAA" w:themeColor="background2" w:themeShade="BF"/>
          <w:lang w:val="en-GB"/>
        </w:rPr>
        <w:t>, in the context in which the project/programme would take place.</w:t>
      </w:r>
    </w:p>
    <w:p w14:paraId="4D430692" w14:textId="26E3C1DF" w:rsidR="005D1D68" w:rsidRPr="00306F4D" w:rsidRDefault="42EAAF66" w:rsidP="4186447D">
      <w:pPr>
        <w:pStyle w:val="Heading2"/>
        <w:spacing w:line="276" w:lineRule="auto"/>
        <w:jc w:val="both"/>
        <w:rPr>
          <w:rFonts w:ascii="Arial" w:eastAsia="Arial" w:hAnsi="Arial" w:cs="Arial"/>
          <w:sz w:val="20"/>
          <w:szCs w:val="20"/>
          <w:lang w:val="en-GB"/>
        </w:rPr>
      </w:pPr>
      <w:bookmarkStart w:id="156" w:name="_Toc1879664121"/>
      <w:bookmarkStart w:id="157" w:name="_Toc286947217"/>
      <w:bookmarkStart w:id="158" w:name="_Toc202165717"/>
      <w:bookmarkStart w:id="159" w:name="_Toc202893748"/>
      <w:r w:rsidRPr="00306F4D">
        <w:rPr>
          <w:rFonts w:ascii="Arial" w:eastAsia="Arial" w:hAnsi="Arial" w:cs="Arial"/>
          <w:sz w:val="20"/>
          <w:szCs w:val="20"/>
          <w:lang w:val="en-GB"/>
        </w:rPr>
        <w:t>Incorporating Diverse Perspectives on Innovation from Different Stakeholder</w:t>
      </w:r>
      <w:bookmarkEnd w:id="156"/>
      <w:bookmarkEnd w:id="157"/>
      <w:bookmarkEnd w:id="158"/>
      <w:r w:rsidR="00552474" w:rsidRPr="00306F4D">
        <w:rPr>
          <w:rFonts w:ascii="Arial" w:eastAsia="Arial" w:hAnsi="Arial" w:cs="Arial"/>
          <w:sz w:val="20"/>
          <w:szCs w:val="20"/>
          <w:lang w:val="en-GB"/>
        </w:rPr>
        <w:t>s</w:t>
      </w:r>
      <w:bookmarkEnd w:id="159"/>
      <w:r w:rsidRPr="00306F4D">
        <w:rPr>
          <w:rFonts w:ascii="Arial" w:eastAsia="Arial" w:hAnsi="Arial" w:cs="Arial"/>
          <w:sz w:val="20"/>
          <w:szCs w:val="20"/>
          <w:lang w:val="en-GB"/>
        </w:rPr>
        <w:t xml:space="preserve"> </w:t>
      </w:r>
    </w:p>
    <w:p w14:paraId="1FA3779B" w14:textId="7697AA0C" w:rsidR="31434A0A" w:rsidRPr="00306F4D" w:rsidRDefault="538F9DF3" w:rsidP="4186447D">
      <w:p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 xml:space="preserve">The project draws on multiple perspectives on innovation by actively engaging a diverse range of stakeholders, including local communities, research organizations, and development partners. Communities most affected by climate change—such as </w:t>
      </w:r>
      <w:r w:rsidR="44B7209F" w:rsidRPr="00306F4D">
        <w:rPr>
          <w:rFonts w:ascii="Arial" w:eastAsia="Arial" w:hAnsi="Arial" w:cs="Arial"/>
          <w:sz w:val="20"/>
          <w:szCs w:val="20"/>
          <w:lang w:val="en-GB"/>
        </w:rPr>
        <w:t xml:space="preserve">local communities, </w:t>
      </w:r>
      <w:r w:rsidRPr="00306F4D">
        <w:rPr>
          <w:rFonts w:ascii="Arial" w:eastAsia="Arial" w:hAnsi="Arial" w:cs="Arial"/>
          <w:sz w:val="20"/>
          <w:szCs w:val="20"/>
          <w:lang w:val="en-GB"/>
        </w:rPr>
        <w:t>marginalized groups, women,</w:t>
      </w:r>
      <w:r w:rsidR="25CF38D0" w:rsidRPr="00306F4D">
        <w:rPr>
          <w:rFonts w:ascii="Arial" w:eastAsia="Arial" w:hAnsi="Arial" w:cs="Arial"/>
          <w:sz w:val="20"/>
          <w:szCs w:val="20"/>
          <w:lang w:val="en-GB"/>
        </w:rPr>
        <w:t xml:space="preserve"> youth</w:t>
      </w:r>
      <w:r w:rsidRPr="00306F4D">
        <w:rPr>
          <w:rFonts w:ascii="Arial" w:eastAsia="Arial" w:hAnsi="Arial" w:cs="Arial"/>
          <w:sz w:val="20"/>
          <w:szCs w:val="20"/>
          <w:lang w:val="en-GB"/>
        </w:rPr>
        <w:t xml:space="preserve"> and rural populations—are central to the project’s innovation process, as they bring valuable lived experiences and unique insights into local </w:t>
      </w:r>
      <w:r w:rsidRPr="00306F4D">
        <w:rPr>
          <w:rFonts w:ascii="Arial" w:eastAsia="Arial" w:hAnsi="Arial" w:cs="Arial"/>
          <w:sz w:val="20"/>
          <w:szCs w:val="20"/>
          <w:lang w:val="en-GB"/>
        </w:rPr>
        <w:lastRenderedPageBreak/>
        <w:t>adaptation challenges. Their participation ensures that the solutions developed are contextually relevant, grounded in the real-world needs of those who are most impacted by climate change.</w:t>
      </w:r>
    </w:p>
    <w:p w14:paraId="78543B6F" w14:textId="234E8DBF" w:rsidR="31434A0A" w:rsidRPr="00306F4D" w:rsidRDefault="538F9DF3" w:rsidP="4186447D">
      <w:p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In addition to local knowledge, the project incorporates expertise from research organizations, whose findings help shape the technical and scientific aspects of the adaptation solutions. These research entities provide evidence-based approaches, innovative methodologies, and a deeper understanding of climate trends, which are crucial for developing scalable and sustainable solutions.</w:t>
      </w:r>
    </w:p>
    <w:p w14:paraId="2B7CDA23" w14:textId="3521B9D6" w:rsidR="31434A0A" w:rsidRPr="00306F4D" w:rsidRDefault="5FE616EE" w:rsidP="4186447D">
      <w:p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 xml:space="preserve">The project also benefits from the MBA Internship Programme, which connects MBA students from leading global business schools with grantees in the region. These students provide valuable expertise in business strategy, financial planning, and scaling, helping to refine and strengthen the business models of local organizations. By integrating academic insights with local adaptation efforts, the MBA Internship Programme ensures that innovative solutions are not only technically feasible but also financially sustainable and scalable. </w:t>
      </w:r>
    </w:p>
    <w:p w14:paraId="429D90A9" w14:textId="67525360" w:rsidR="31434A0A" w:rsidRPr="00306F4D" w:rsidRDefault="538F9DF3" w:rsidP="4186447D">
      <w:p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 xml:space="preserve">The </w:t>
      </w:r>
      <w:r w:rsidR="5648D172" w:rsidRPr="00306F4D">
        <w:rPr>
          <w:rFonts w:ascii="Arial" w:eastAsia="Arial" w:hAnsi="Arial" w:cs="Arial"/>
          <w:sz w:val="20"/>
          <w:szCs w:val="20"/>
          <w:lang w:val="en-GB"/>
        </w:rPr>
        <w:t xml:space="preserve">Regional </w:t>
      </w:r>
      <w:r w:rsidR="35F9F492" w:rsidRPr="00306F4D">
        <w:rPr>
          <w:rFonts w:ascii="Arial" w:eastAsia="Arial" w:hAnsi="Arial" w:cs="Arial"/>
          <w:sz w:val="20"/>
          <w:szCs w:val="20"/>
          <w:lang w:val="en-GB"/>
        </w:rPr>
        <w:t>P</w:t>
      </w:r>
      <w:r w:rsidRPr="00306F4D">
        <w:rPr>
          <w:rFonts w:ascii="Arial" w:eastAsia="Arial" w:hAnsi="Arial" w:cs="Arial"/>
          <w:sz w:val="20"/>
          <w:szCs w:val="20"/>
          <w:lang w:val="en-GB"/>
        </w:rPr>
        <w:t xml:space="preserve">roject also collaborates with other key partners in the innovation space, including </w:t>
      </w:r>
      <w:r w:rsidR="67ECA5F1" w:rsidRPr="00306F4D">
        <w:rPr>
          <w:rFonts w:ascii="Arial" w:eastAsia="Arial" w:hAnsi="Arial" w:cs="Arial"/>
          <w:sz w:val="20"/>
          <w:szCs w:val="20"/>
          <w:lang w:val="en-GB"/>
        </w:rPr>
        <w:t>UNDP stakeholder</w:t>
      </w:r>
      <w:r w:rsidR="47336F78" w:rsidRPr="00306F4D">
        <w:rPr>
          <w:rFonts w:ascii="Arial" w:eastAsia="Arial" w:hAnsi="Arial" w:cs="Arial"/>
          <w:sz w:val="20"/>
          <w:szCs w:val="20"/>
          <w:lang w:val="en-GB"/>
        </w:rPr>
        <w:t xml:space="preserve">s and UNDP Country office innovation ecosystem for 4 countries, </w:t>
      </w:r>
      <w:r w:rsidR="7B154993" w:rsidRPr="00306F4D">
        <w:rPr>
          <w:rFonts w:ascii="Arial" w:eastAsia="Arial" w:hAnsi="Arial" w:cs="Arial"/>
          <w:sz w:val="20"/>
          <w:szCs w:val="20"/>
          <w:lang w:val="en-GB"/>
        </w:rPr>
        <w:t>private sector partners,</w:t>
      </w:r>
      <w:r w:rsidRPr="00306F4D">
        <w:rPr>
          <w:rFonts w:ascii="Arial" w:eastAsia="Arial" w:hAnsi="Arial" w:cs="Arial"/>
          <w:sz w:val="20"/>
          <w:szCs w:val="20"/>
          <w:lang w:val="en-GB"/>
        </w:rPr>
        <w:t xml:space="preserve"> non-profits, and social enterprises, to foster a multi-stakeholder environment. By integrating diverse perspectives from across these sectors, the project ensures that adaptation solutions are not only innovative but also feasible, scalable, and adaptable to the changing realities of the region.</w:t>
      </w:r>
    </w:p>
    <w:p w14:paraId="67B864B8" w14:textId="72534224" w:rsidR="441409A5" w:rsidRPr="00306F4D" w:rsidRDefault="538F9DF3" w:rsidP="00BC3363">
      <w:p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This approach encourages cross-pollination of ideas and strengthens the</w:t>
      </w:r>
      <w:r w:rsidR="5FB632FE" w:rsidRPr="00306F4D">
        <w:rPr>
          <w:rFonts w:ascii="Arial" w:eastAsia="Arial" w:hAnsi="Arial" w:cs="Arial"/>
          <w:sz w:val="20"/>
          <w:szCs w:val="20"/>
          <w:lang w:val="en-GB"/>
        </w:rPr>
        <w:t xml:space="preserve"> solutions </w:t>
      </w:r>
      <w:r w:rsidRPr="00306F4D">
        <w:rPr>
          <w:rFonts w:ascii="Arial" w:eastAsia="Arial" w:hAnsi="Arial" w:cs="Arial"/>
          <w:sz w:val="20"/>
          <w:szCs w:val="20"/>
          <w:lang w:val="en-GB"/>
        </w:rPr>
        <w:t>ability to identify and implement effective, locally</w:t>
      </w:r>
      <w:r w:rsidR="2485AC7E" w:rsidRPr="00306F4D">
        <w:rPr>
          <w:rFonts w:ascii="Arial" w:eastAsia="Arial" w:hAnsi="Arial" w:cs="Arial"/>
          <w:sz w:val="20"/>
          <w:szCs w:val="20"/>
          <w:lang w:val="en-GB"/>
        </w:rPr>
        <w:t xml:space="preserve"> </w:t>
      </w:r>
      <w:r w:rsidRPr="00306F4D">
        <w:rPr>
          <w:rFonts w:ascii="Arial" w:eastAsia="Arial" w:hAnsi="Arial" w:cs="Arial"/>
          <w:sz w:val="20"/>
          <w:szCs w:val="20"/>
          <w:lang w:val="en-GB"/>
        </w:rPr>
        <w:t xml:space="preserve">driven, and globally informed climate adaptation strategies. Through this inclusive process, the </w:t>
      </w:r>
      <w:r w:rsidR="0A595FF1" w:rsidRPr="00306F4D">
        <w:rPr>
          <w:rFonts w:ascii="Arial" w:eastAsia="Arial" w:hAnsi="Arial" w:cs="Arial"/>
          <w:sz w:val="20"/>
          <w:szCs w:val="20"/>
          <w:lang w:val="en-GB"/>
        </w:rPr>
        <w:t>supported solutions</w:t>
      </w:r>
      <w:r w:rsidRPr="00306F4D">
        <w:rPr>
          <w:rFonts w:ascii="Arial" w:eastAsia="Arial" w:hAnsi="Arial" w:cs="Arial"/>
          <w:sz w:val="20"/>
          <w:szCs w:val="20"/>
          <w:lang w:val="en-GB"/>
        </w:rPr>
        <w:t xml:space="preserve"> not only </w:t>
      </w:r>
      <w:r w:rsidR="12F45DF4" w:rsidRPr="00306F4D">
        <w:rPr>
          <w:rFonts w:ascii="Arial" w:eastAsia="Arial" w:hAnsi="Arial" w:cs="Arial"/>
          <w:sz w:val="20"/>
          <w:szCs w:val="20"/>
          <w:lang w:val="en-GB"/>
        </w:rPr>
        <w:t>address</w:t>
      </w:r>
      <w:r w:rsidRPr="00306F4D">
        <w:rPr>
          <w:rFonts w:ascii="Arial" w:eastAsia="Arial" w:hAnsi="Arial" w:cs="Arial"/>
          <w:sz w:val="20"/>
          <w:szCs w:val="20"/>
          <w:lang w:val="en-GB"/>
        </w:rPr>
        <w:t xml:space="preserve"> the immediate needs of vulnerable communities but also contributes to the broader climate resilience agenda, fostering long-term sustainability and innovation in the region.</w:t>
      </w:r>
    </w:p>
    <w:p w14:paraId="77A6F11A" w14:textId="77777777" w:rsidR="009C34AB" w:rsidRPr="00306F4D" w:rsidRDefault="009C34AB" w:rsidP="009C34AB">
      <w:pPr>
        <w:pStyle w:val="Footer"/>
        <w:numPr>
          <w:ilvl w:val="0"/>
          <w:numId w:val="23"/>
        </w:numPr>
        <w:tabs>
          <w:tab w:val="clear" w:pos="720"/>
          <w:tab w:val="clear" w:pos="4680"/>
          <w:tab w:val="clear" w:pos="9360"/>
          <w:tab w:val="num" w:pos="360"/>
        </w:tabs>
        <w:spacing w:line="276" w:lineRule="auto"/>
        <w:ind w:left="360"/>
        <w:jc w:val="both"/>
        <w:rPr>
          <w:rFonts w:ascii="Arial" w:eastAsia="Arial" w:hAnsi="Arial" w:cs="Arial"/>
          <w:color w:val="AEAAAA" w:themeColor="background2" w:themeShade="BF"/>
          <w:lang w:val="en-GB"/>
        </w:rPr>
      </w:pPr>
      <w:r w:rsidRPr="00306F4D">
        <w:rPr>
          <w:rFonts w:ascii="Arial" w:eastAsia="Arial" w:hAnsi="Arial" w:cs="Arial"/>
          <w:color w:val="AEAAAA" w:themeColor="background2" w:themeShade="BF"/>
          <w:lang w:val="en-GB"/>
        </w:rPr>
        <w:t>Provide justification for funding requested, focusing on the full cost of adaptation reasoning.</w:t>
      </w:r>
    </w:p>
    <w:p w14:paraId="3EDD9F81" w14:textId="77777777" w:rsidR="00A05146" w:rsidRPr="00306F4D" w:rsidRDefault="00A05146" w:rsidP="4186447D">
      <w:pPr>
        <w:pStyle w:val="Heading2"/>
        <w:spacing w:line="276" w:lineRule="auto"/>
        <w:jc w:val="both"/>
        <w:rPr>
          <w:rFonts w:ascii="Arial" w:eastAsia="Arial" w:hAnsi="Arial" w:cs="Arial"/>
          <w:sz w:val="20"/>
          <w:szCs w:val="20"/>
          <w:lang w:val="en-GB"/>
        </w:rPr>
      </w:pPr>
      <w:bookmarkStart w:id="160" w:name="_Toc1283138151"/>
      <w:bookmarkStart w:id="161" w:name="_Toc404782689"/>
      <w:bookmarkStart w:id="162" w:name="_Toc202165718"/>
      <w:bookmarkStart w:id="163" w:name="_Toc202893749"/>
    </w:p>
    <w:p w14:paraId="4F0E552A" w14:textId="617E2B76" w:rsidR="6B5C5087" w:rsidRPr="00306F4D" w:rsidRDefault="2F11B52E" w:rsidP="4186447D">
      <w:pPr>
        <w:pStyle w:val="Heading2"/>
        <w:spacing w:line="276" w:lineRule="auto"/>
        <w:jc w:val="both"/>
        <w:rPr>
          <w:rFonts w:ascii="Arial" w:eastAsia="Arial" w:hAnsi="Arial" w:cs="Arial"/>
          <w:sz w:val="20"/>
          <w:szCs w:val="20"/>
          <w:lang w:val="en-GB"/>
        </w:rPr>
      </w:pPr>
      <w:r w:rsidRPr="00306F4D">
        <w:rPr>
          <w:rFonts w:ascii="Arial" w:eastAsia="Arial" w:hAnsi="Arial" w:cs="Arial"/>
          <w:sz w:val="20"/>
          <w:szCs w:val="20"/>
          <w:lang w:val="en-GB"/>
        </w:rPr>
        <w:t>Justification for Funding Requested: Addressing the Full Cost of Climate Adaptation in the Western Balkans</w:t>
      </w:r>
      <w:bookmarkEnd w:id="160"/>
      <w:bookmarkEnd w:id="161"/>
      <w:bookmarkEnd w:id="162"/>
      <w:bookmarkEnd w:id="163"/>
    </w:p>
    <w:p w14:paraId="11DEC532" w14:textId="7405F2EF" w:rsidR="441409A5" w:rsidRPr="00306F4D" w:rsidRDefault="441409A5" w:rsidP="002B640C">
      <w:pPr>
        <w:rPr>
          <w:rFonts w:ascii="Arial" w:eastAsia="Arial" w:hAnsi="Arial" w:cs="Arial"/>
          <w:sz w:val="20"/>
          <w:szCs w:val="20"/>
          <w:lang w:val="en-GB"/>
        </w:rPr>
      </w:pPr>
    </w:p>
    <w:p w14:paraId="577E296B" w14:textId="06A1BD3A" w:rsidR="4186447D" w:rsidRPr="00306F4D" w:rsidRDefault="2F11B52E" w:rsidP="00E60D8F">
      <w:pPr>
        <w:pStyle w:val="Heading3"/>
        <w:spacing w:line="276" w:lineRule="auto"/>
        <w:jc w:val="both"/>
        <w:rPr>
          <w:rFonts w:ascii="Arial" w:eastAsia="Arial" w:hAnsi="Arial" w:cs="Arial"/>
          <w:sz w:val="20"/>
          <w:szCs w:val="20"/>
          <w:lang w:val="en-GB"/>
        </w:rPr>
      </w:pPr>
      <w:bookmarkStart w:id="164" w:name="_Toc399189507"/>
      <w:bookmarkStart w:id="165" w:name="_Toc1037834796"/>
      <w:r w:rsidRPr="00306F4D">
        <w:rPr>
          <w:rFonts w:ascii="Arial" w:eastAsia="Arial" w:hAnsi="Arial" w:cs="Arial"/>
          <w:sz w:val="20"/>
          <w:szCs w:val="20"/>
          <w:lang w:val="en-GB"/>
        </w:rPr>
        <w:t xml:space="preserve">Baseline Scenario: Insufficient Adaptation </w:t>
      </w:r>
      <w:r w:rsidR="4279FFC7" w:rsidRPr="00306F4D">
        <w:rPr>
          <w:rFonts w:ascii="Arial" w:eastAsia="Arial" w:hAnsi="Arial" w:cs="Arial"/>
          <w:sz w:val="20"/>
          <w:szCs w:val="20"/>
          <w:lang w:val="en-GB"/>
        </w:rPr>
        <w:t>and Innovation</w:t>
      </w:r>
      <w:r w:rsidR="01B4D8A2" w:rsidRPr="00306F4D">
        <w:rPr>
          <w:rFonts w:ascii="Arial" w:eastAsia="Arial" w:hAnsi="Arial" w:cs="Arial"/>
          <w:sz w:val="20"/>
          <w:szCs w:val="20"/>
          <w:lang w:val="en-GB"/>
        </w:rPr>
        <w:t xml:space="preserve"> </w:t>
      </w:r>
      <w:r w:rsidRPr="00306F4D">
        <w:rPr>
          <w:rFonts w:ascii="Arial" w:eastAsia="Arial" w:hAnsi="Arial" w:cs="Arial"/>
          <w:sz w:val="20"/>
          <w:szCs w:val="20"/>
          <w:lang w:val="en-GB"/>
        </w:rPr>
        <w:t>Financing</w:t>
      </w:r>
      <w:bookmarkEnd w:id="164"/>
      <w:bookmarkEnd w:id="165"/>
    </w:p>
    <w:p w14:paraId="539042E3" w14:textId="2A43C450" w:rsidR="71C99EB5" w:rsidRPr="00306F4D" w:rsidRDefault="71C99EB5" w:rsidP="00900A5B">
      <w:pPr>
        <w:rPr>
          <w:lang w:val="en-GB"/>
        </w:rPr>
      </w:pPr>
    </w:p>
    <w:p w14:paraId="564D4AD6" w14:textId="6AEDE1B9" w:rsidR="55CFF61E" w:rsidRPr="00306F4D" w:rsidRDefault="55CFF61E" w:rsidP="4186447D">
      <w:pPr>
        <w:tabs>
          <w:tab w:val="left" w:pos="720"/>
        </w:tabs>
        <w:spacing w:line="257" w:lineRule="auto"/>
        <w:jc w:val="both"/>
        <w:rPr>
          <w:rFonts w:ascii="Arial" w:eastAsia="Arial" w:hAnsi="Arial" w:cs="Arial"/>
          <w:color w:val="auto"/>
          <w:sz w:val="20"/>
          <w:szCs w:val="20"/>
          <w:lang w:val="en-GB"/>
        </w:rPr>
      </w:pPr>
      <w:r w:rsidRPr="00306F4D">
        <w:rPr>
          <w:rFonts w:ascii="Arial" w:eastAsia="Arial" w:hAnsi="Arial" w:cs="Arial"/>
          <w:color w:val="auto"/>
          <w:sz w:val="20"/>
          <w:szCs w:val="20"/>
          <w:lang w:val="en-GB"/>
        </w:rPr>
        <w:t>The Western Balkans are already experiencing significant impacts from climate change, with increasing extreme weather events and long-term shifts in climate patterns. To minimize climate-related losses, reduce long-term adaptation costs, and protect vulnerable communities, these countries urgently need to adapt to the changing conditions.</w:t>
      </w:r>
      <w:r w:rsidR="30B29CC7" w:rsidRPr="00306F4D">
        <w:rPr>
          <w:rFonts w:ascii="Arial" w:eastAsia="Arial" w:hAnsi="Arial" w:cs="Arial"/>
          <w:color w:val="auto"/>
          <w:sz w:val="20"/>
          <w:szCs w:val="20"/>
          <w:lang w:val="en-GB"/>
        </w:rPr>
        <w:t xml:space="preserve"> </w:t>
      </w:r>
      <w:r w:rsidR="1DDF854A" w:rsidRPr="00306F4D">
        <w:rPr>
          <w:rFonts w:ascii="Arial" w:eastAsia="Arial" w:hAnsi="Arial" w:cs="Arial"/>
          <w:color w:val="auto"/>
          <w:sz w:val="20"/>
          <w:szCs w:val="20"/>
          <w:lang w:val="en-GB"/>
        </w:rPr>
        <w:t xml:space="preserve">There is a valuable opportunity to strengthen adaptation efforts by supporting </w:t>
      </w:r>
      <w:proofErr w:type="gramStart"/>
      <w:r w:rsidR="1DDF854A" w:rsidRPr="00306F4D">
        <w:rPr>
          <w:rFonts w:ascii="Arial" w:eastAsia="Arial" w:hAnsi="Arial" w:cs="Arial"/>
          <w:color w:val="auto"/>
          <w:sz w:val="20"/>
          <w:szCs w:val="20"/>
          <w:lang w:val="en-GB"/>
        </w:rPr>
        <w:t>locally-led</w:t>
      </w:r>
      <w:proofErr w:type="gramEnd"/>
      <w:r w:rsidR="1DDF854A" w:rsidRPr="00306F4D">
        <w:rPr>
          <w:rFonts w:ascii="Arial" w:eastAsia="Arial" w:hAnsi="Arial" w:cs="Arial"/>
          <w:color w:val="auto"/>
          <w:sz w:val="20"/>
          <w:szCs w:val="20"/>
          <w:lang w:val="en-GB"/>
        </w:rPr>
        <w:t xml:space="preserve"> initiatives, promoting regional collaboration, and enhancing knowledge exchange between local and global networks. Innovation plays a crucial role in this process, providing context-specific solutions to address the region’s unique challenges. By leveraging local knowledge and integrating innovative technologies, practices, and business models, the region can accelerate the scaling of adaptation solutions, leading to a more resilient and sustainable future. This focus on innovation will drive the development of new tools, methodologies, and partnerships, empowering communities to adapt in a sustainable and effective manner, while closing gaps in adaptation efforts and accelerating inclusive solutions.</w:t>
      </w:r>
      <w:r w:rsidR="3C974D38" w:rsidRPr="00306F4D">
        <w:rPr>
          <w:rFonts w:ascii="Arial" w:eastAsia="Arial" w:hAnsi="Arial" w:cs="Arial"/>
          <w:color w:val="auto"/>
          <w:sz w:val="20"/>
          <w:szCs w:val="20"/>
          <w:lang w:val="en-GB"/>
        </w:rPr>
        <w:t xml:space="preserve"> </w:t>
      </w:r>
    </w:p>
    <w:p w14:paraId="211BCD27" w14:textId="396A84FF" w:rsidR="21AB32FD" w:rsidRPr="00306F4D" w:rsidRDefault="35E27E55" w:rsidP="4186447D">
      <w:pPr>
        <w:tabs>
          <w:tab w:val="left" w:pos="360"/>
        </w:tabs>
        <w:spacing w:before="120" w:after="240"/>
        <w:jc w:val="both"/>
        <w:rPr>
          <w:rFonts w:ascii="Arial" w:eastAsia="Arial" w:hAnsi="Arial" w:cs="Arial"/>
          <w:color w:val="000000" w:themeColor="text1"/>
          <w:sz w:val="20"/>
          <w:szCs w:val="20"/>
          <w:lang w:val="en-GB"/>
        </w:rPr>
      </w:pPr>
      <w:r w:rsidRPr="00306F4D">
        <w:rPr>
          <w:rFonts w:ascii="Arial" w:eastAsia="Arial" w:hAnsi="Arial" w:cs="Arial"/>
          <w:b/>
          <w:bCs/>
          <w:color w:val="000000" w:themeColor="text1"/>
          <w:sz w:val="20"/>
          <w:szCs w:val="20"/>
          <w:lang w:val="en-GB"/>
        </w:rPr>
        <w:t xml:space="preserve">Adapting to climate change in the Western Balkans is urgent. </w:t>
      </w:r>
      <w:r w:rsidRPr="00306F4D">
        <w:rPr>
          <w:rFonts w:ascii="Arial" w:eastAsia="Arial" w:hAnsi="Arial" w:cs="Arial"/>
          <w:color w:val="000000" w:themeColor="text1"/>
          <w:sz w:val="20"/>
          <w:szCs w:val="20"/>
          <w:lang w:val="en-GB"/>
        </w:rPr>
        <w:t>The World Bank estimates that an initial, comprehensive package of investments in the Western Balkans may reach US$37 billion</w:t>
      </w:r>
      <w:r w:rsidR="21AB32FD" w:rsidRPr="00306F4D">
        <w:rPr>
          <w:rFonts w:ascii="Arial" w:eastAsia="Arial" w:hAnsi="Arial" w:cs="Arial"/>
          <w:color w:val="000000" w:themeColor="text1"/>
          <w:sz w:val="20"/>
          <w:szCs w:val="20"/>
          <w:vertAlign w:val="superscript"/>
          <w:lang w:val="en-GB"/>
        </w:rPr>
        <w:footnoteReference w:id="138"/>
      </w:r>
      <w:r w:rsidRPr="00306F4D">
        <w:rPr>
          <w:rFonts w:ascii="Arial" w:eastAsia="Arial" w:hAnsi="Arial" w:cs="Arial"/>
          <w:color w:val="000000" w:themeColor="text1"/>
          <w:sz w:val="20"/>
          <w:szCs w:val="20"/>
          <w:lang w:val="en-GB"/>
        </w:rPr>
        <w:t xml:space="preserve">. </w:t>
      </w:r>
      <w:r w:rsidR="624DB86A" w:rsidRPr="00306F4D">
        <w:rPr>
          <w:rFonts w:ascii="Arial" w:eastAsia="Arial" w:hAnsi="Arial" w:cs="Arial"/>
          <w:color w:val="000000" w:themeColor="text1"/>
          <w:sz w:val="20"/>
          <w:szCs w:val="20"/>
          <w:lang w:val="en-GB"/>
        </w:rPr>
        <w:t xml:space="preserve">There </w:t>
      </w:r>
      <w:proofErr w:type="gramStart"/>
      <w:r w:rsidR="624DB86A" w:rsidRPr="00306F4D">
        <w:rPr>
          <w:rFonts w:ascii="Arial" w:eastAsia="Arial" w:hAnsi="Arial" w:cs="Arial"/>
          <w:color w:val="000000" w:themeColor="text1"/>
          <w:sz w:val="20"/>
          <w:szCs w:val="20"/>
          <w:lang w:val="en-GB"/>
        </w:rPr>
        <w:t>is</w:t>
      </w:r>
      <w:proofErr w:type="gramEnd"/>
      <w:r w:rsidRPr="00306F4D">
        <w:rPr>
          <w:rFonts w:ascii="Arial" w:eastAsia="Arial" w:hAnsi="Arial" w:cs="Arial"/>
          <w:color w:val="000000" w:themeColor="text1"/>
          <w:sz w:val="20"/>
          <w:szCs w:val="20"/>
          <w:lang w:val="en-GB"/>
        </w:rPr>
        <w:t xml:space="preserve"> a large gap remains in funding for climate change adaptation globally, indicating the global costs of adaptation may range from </w:t>
      </w:r>
      <w:r w:rsidRPr="00306F4D">
        <w:rPr>
          <w:rFonts w:ascii="Arial" w:eastAsia="Arial" w:hAnsi="Arial" w:cs="Arial"/>
          <w:color w:val="000000" w:themeColor="text1"/>
          <w:sz w:val="20"/>
          <w:szCs w:val="20"/>
          <w:lang w:val="en-GB"/>
        </w:rPr>
        <w:lastRenderedPageBreak/>
        <w:t>US$140 billion to US$300 billion per year by 2030 and up to US$500 billion per year by 2050 and that in the Balkans each country may need to invest as much as US$2 billion by 2030 alone</w:t>
      </w:r>
      <w:r w:rsidR="21AB32FD" w:rsidRPr="00306F4D">
        <w:rPr>
          <w:rFonts w:ascii="Arial" w:eastAsia="Arial" w:hAnsi="Arial" w:cs="Arial"/>
          <w:color w:val="000000" w:themeColor="text1"/>
          <w:sz w:val="20"/>
          <w:szCs w:val="20"/>
          <w:vertAlign w:val="superscript"/>
          <w:lang w:val="en-GB"/>
        </w:rPr>
        <w:footnoteReference w:id="139"/>
      </w:r>
      <w:r w:rsidRPr="00306F4D">
        <w:rPr>
          <w:rFonts w:ascii="Arial" w:eastAsia="Arial" w:hAnsi="Arial" w:cs="Arial"/>
          <w:color w:val="000000" w:themeColor="text1"/>
          <w:sz w:val="20"/>
          <w:szCs w:val="20"/>
          <w:lang w:val="en-GB"/>
        </w:rPr>
        <w:t>.</w:t>
      </w:r>
    </w:p>
    <w:p w14:paraId="3FF61D28" w14:textId="346A1AD1" w:rsidR="599C6320" w:rsidRPr="00306F4D" w:rsidRDefault="599C6320" w:rsidP="4186447D">
      <w:pPr>
        <w:tabs>
          <w:tab w:val="left" w:pos="360"/>
        </w:tabs>
        <w:spacing w:before="120" w:after="240"/>
        <w:jc w:val="both"/>
        <w:rPr>
          <w:rFonts w:ascii="Arial" w:eastAsia="Arial" w:hAnsi="Arial" w:cs="Arial"/>
          <w:color w:val="FF0000"/>
          <w:sz w:val="20"/>
          <w:szCs w:val="20"/>
          <w:lang w:val="en-GB"/>
        </w:rPr>
      </w:pPr>
      <w:r w:rsidRPr="00306F4D">
        <w:rPr>
          <w:rFonts w:ascii="Arial" w:eastAsia="Arial" w:hAnsi="Arial" w:cs="Arial"/>
          <w:color w:val="auto"/>
          <w:sz w:val="20"/>
          <w:szCs w:val="20"/>
          <w:lang w:val="en-GB"/>
        </w:rPr>
        <w:t xml:space="preserve">Climate adaptation innovation and action in the Western Balkans brings many benefits, far beyond the effects on climate. For instance, </w:t>
      </w:r>
      <w:r w:rsidR="15A6D53B" w:rsidRPr="00306F4D">
        <w:rPr>
          <w:rFonts w:ascii="Arial" w:eastAsia="Arial" w:hAnsi="Arial" w:cs="Arial"/>
          <w:color w:val="auto"/>
          <w:sz w:val="20"/>
          <w:szCs w:val="20"/>
          <w:lang w:val="en-GB"/>
        </w:rPr>
        <w:t>e</w:t>
      </w:r>
      <w:r w:rsidRPr="00306F4D">
        <w:rPr>
          <w:rFonts w:ascii="Arial" w:eastAsia="Arial" w:hAnsi="Arial" w:cs="Arial"/>
          <w:color w:val="auto"/>
          <w:sz w:val="20"/>
          <w:szCs w:val="20"/>
          <w:lang w:val="en-GB"/>
        </w:rPr>
        <w:t xml:space="preserve">arly-warning systems yield extremely high benefits in terms of avoided mortality and hospitalization - hundreds or even thousands of times the implementation cost. Flood and water management, and nature-based solutions, can also benefit local economic development. </w:t>
      </w:r>
      <w:r w:rsidR="2F9341DF" w:rsidRPr="00306F4D">
        <w:rPr>
          <w:rFonts w:ascii="Arial" w:eastAsia="Arial" w:hAnsi="Arial" w:cs="Arial"/>
          <w:color w:val="auto"/>
          <w:sz w:val="20"/>
          <w:szCs w:val="20"/>
          <w:lang w:val="en-GB"/>
        </w:rPr>
        <w:t xml:space="preserve">However, a crucial gap exists in </w:t>
      </w:r>
      <w:proofErr w:type="gramStart"/>
      <w:r w:rsidR="2F9341DF" w:rsidRPr="00306F4D">
        <w:rPr>
          <w:rFonts w:ascii="Arial" w:eastAsia="Arial" w:hAnsi="Arial" w:cs="Arial"/>
          <w:color w:val="auto"/>
          <w:sz w:val="20"/>
          <w:szCs w:val="20"/>
          <w:lang w:val="en-GB"/>
        </w:rPr>
        <w:t>locally-led</w:t>
      </w:r>
      <w:proofErr w:type="gramEnd"/>
      <w:r w:rsidR="2F9341DF" w:rsidRPr="00306F4D">
        <w:rPr>
          <w:rFonts w:ascii="Arial" w:eastAsia="Arial" w:hAnsi="Arial" w:cs="Arial"/>
          <w:color w:val="auto"/>
          <w:sz w:val="20"/>
          <w:szCs w:val="20"/>
          <w:lang w:val="en-GB"/>
        </w:rPr>
        <w:t xml:space="preserve"> adaptation and innovation at the community level, which is essential for scaling successful climate adaptation practices, tools, and technologies.</w:t>
      </w:r>
      <w:r w:rsidRPr="00306F4D">
        <w:rPr>
          <w:rFonts w:ascii="Arial" w:eastAsia="Arial" w:hAnsi="Arial" w:cs="Arial"/>
          <w:color w:val="auto"/>
          <w:sz w:val="20"/>
          <w:szCs w:val="20"/>
          <w:lang w:val="en-GB"/>
        </w:rPr>
        <w:t xml:space="preserve"> </w:t>
      </w:r>
      <w:r w:rsidR="48C41A60" w:rsidRPr="00306F4D">
        <w:rPr>
          <w:rFonts w:ascii="Arial" w:eastAsia="Arial" w:hAnsi="Arial" w:cs="Arial"/>
          <w:color w:val="auto"/>
          <w:sz w:val="20"/>
          <w:szCs w:val="20"/>
          <w:lang w:val="en-GB"/>
        </w:rPr>
        <w:t xml:space="preserve">This project aims to bridge that gap by fostering </w:t>
      </w:r>
      <w:r w:rsidR="190F7F2F" w:rsidRPr="00306F4D">
        <w:rPr>
          <w:rFonts w:ascii="Arial" w:eastAsia="Arial" w:hAnsi="Arial" w:cs="Arial"/>
          <w:color w:val="auto"/>
          <w:sz w:val="20"/>
          <w:szCs w:val="20"/>
          <w:lang w:val="en-GB"/>
        </w:rPr>
        <w:t xml:space="preserve">innovative and </w:t>
      </w:r>
      <w:r w:rsidR="48C41A60" w:rsidRPr="00306F4D">
        <w:rPr>
          <w:rFonts w:ascii="Arial" w:eastAsia="Arial" w:hAnsi="Arial" w:cs="Arial"/>
          <w:color w:val="auto"/>
          <w:sz w:val="20"/>
          <w:szCs w:val="20"/>
          <w:lang w:val="en-GB"/>
        </w:rPr>
        <w:t>locally</w:t>
      </w:r>
      <w:r w:rsidR="6539DAC6" w:rsidRPr="00306F4D">
        <w:rPr>
          <w:rFonts w:ascii="Arial" w:eastAsia="Arial" w:hAnsi="Arial" w:cs="Arial"/>
          <w:color w:val="auto"/>
          <w:sz w:val="20"/>
          <w:szCs w:val="20"/>
          <w:lang w:val="en-GB"/>
        </w:rPr>
        <w:t xml:space="preserve"> led</w:t>
      </w:r>
      <w:r w:rsidR="48C41A60" w:rsidRPr="00306F4D">
        <w:rPr>
          <w:rFonts w:ascii="Arial" w:eastAsia="Arial" w:hAnsi="Arial" w:cs="Arial"/>
          <w:color w:val="auto"/>
          <w:sz w:val="20"/>
          <w:szCs w:val="20"/>
          <w:lang w:val="en-GB"/>
        </w:rPr>
        <w:t xml:space="preserve"> </w:t>
      </w:r>
      <w:r w:rsidR="3718BA97" w:rsidRPr="00306F4D">
        <w:rPr>
          <w:rFonts w:ascii="Arial" w:eastAsia="Arial" w:hAnsi="Arial" w:cs="Arial"/>
          <w:color w:val="auto"/>
          <w:sz w:val="20"/>
          <w:szCs w:val="20"/>
          <w:lang w:val="en-GB"/>
        </w:rPr>
        <w:t xml:space="preserve">adaptation </w:t>
      </w:r>
      <w:r w:rsidR="48C41A60" w:rsidRPr="00306F4D">
        <w:rPr>
          <w:rFonts w:ascii="Arial" w:eastAsia="Arial" w:hAnsi="Arial" w:cs="Arial"/>
          <w:color w:val="auto"/>
          <w:sz w:val="20"/>
          <w:szCs w:val="20"/>
          <w:lang w:val="en-GB"/>
        </w:rPr>
        <w:t xml:space="preserve">solutions and connecting them with national, regional, and global expertise to enhance their impact and scalability. </w:t>
      </w:r>
    </w:p>
    <w:p w14:paraId="790C55B3" w14:textId="6DE403AB" w:rsidR="599C6320" w:rsidRPr="00306F4D" w:rsidRDefault="35E27E55" w:rsidP="4186447D">
      <w:pPr>
        <w:tabs>
          <w:tab w:val="left" w:pos="360"/>
        </w:tabs>
        <w:spacing w:before="120" w:after="240"/>
        <w:jc w:val="both"/>
        <w:rPr>
          <w:rFonts w:ascii="Arial" w:eastAsia="Arial" w:hAnsi="Arial" w:cs="Arial"/>
          <w:sz w:val="20"/>
          <w:szCs w:val="20"/>
          <w:lang w:val="en-GB"/>
        </w:rPr>
      </w:pPr>
      <w:r w:rsidRPr="00306F4D">
        <w:rPr>
          <w:rFonts w:ascii="Arial" w:eastAsia="Arial" w:hAnsi="Arial" w:cs="Arial"/>
          <w:color w:val="000000" w:themeColor="text1"/>
          <w:sz w:val="20"/>
          <w:szCs w:val="20"/>
          <w:lang w:val="en-GB"/>
        </w:rPr>
        <w:t xml:space="preserve">The current global and regional climate finance landscape focuses heavily on efforts to mitigate future temperature rise by removing greenhouse gas emissions. However, less attention has been paid to risk reduction, adaptation, and especially </w:t>
      </w:r>
      <w:r w:rsidR="0CE446F8" w:rsidRPr="00306F4D">
        <w:rPr>
          <w:rFonts w:ascii="Arial" w:eastAsia="Arial" w:hAnsi="Arial" w:cs="Arial"/>
          <w:color w:val="000000" w:themeColor="text1"/>
          <w:sz w:val="20"/>
          <w:szCs w:val="20"/>
          <w:lang w:val="en-GB"/>
        </w:rPr>
        <w:t>locally led</w:t>
      </w:r>
      <w:r w:rsidRPr="00306F4D">
        <w:rPr>
          <w:rFonts w:ascii="Arial" w:eastAsia="Arial" w:hAnsi="Arial" w:cs="Arial"/>
          <w:color w:val="000000" w:themeColor="text1"/>
          <w:sz w:val="20"/>
          <w:szCs w:val="20"/>
          <w:lang w:val="en-GB"/>
        </w:rPr>
        <w:t xml:space="preserve"> adaptation innovation.  According to the Climate Policy Initiative, as little as $22 billion per year globally goes to climate change adaptation compared to more than $436 billion per year for climate change mitigation.</w:t>
      </w:r>
      <w:r w:rsidR="599C6320" w:rsidRPr="00306F4D">
        <w:rPr>
          <w:rFonts w:ascii="Arial" w:eastAsia="Arial" w:hAnsi="Arial" w:cs="Arial"/>
          <w:color w:val="000000" w:themeColor="text1"/>
          <w:sz w:val="20"/>
          <w:szCs w:val="20"/>
          <w:vertAlign w:val="superscript"/>
          <w:lang w:val="en-GB"/>
        </w:rPr>
        <w:footnoteReference w:id="140"/>
      </w:r>
      <w:r w:rsidR="339A0585" w:rsidRPr="00306F4D">
        <w:rPr>
          <w:rFonts w:ascii="Arial" w:eastAsia="Arial" w:hAnsi="Arial" w:cs="Arial"/>
          <w:color w:val="000000" w:themeColor="text1"/>
          <w:sz w:val="20"/>
          <w:szCs w:val="20"/>
          <w:vertAlign w:val="superscript"/>
          <w:lang w:val="en-GB"/>
        </w:rPr>
        <w:t xml:space="preserve"> </w:t>
      </w:r>
      <w:r w:rsidR="339A0585" w:rsidRPr="00306F4D">
        <w:rPr>
          <w:rFonts w:ascii="Arial" w:eastAsia="Arial" w:hAnsi="Arial" w:cs="Arial"/>
          <w:sz w:val="20"/>
          <w:szCs w:val="20"/>
          <w:lang w:val="en-GB"/>
        </w:rPr>
        <w:t>The Western Balkans, with its increasing vulnerability to extreme weather events, rising temperatures</w:t>
      </w:r>
      <w:r w:rsidR="339A0585" w:rsidRPr="00306F4D">
        <w:rPr>
          <w:rFonts w:ascii="Arial" w:eastAsia="Arial" w:hAnsi="Arial" w:cs="Arial"/>
          <w:color w:val="auto"/>
          <w:sz w:val="20"/>
          <w:szCs w:val="20"/>
          <w:lang w:val="en-GB"/>
        </w:rPr>
        <w:t xml:space="preserve">, and water scarcity, is facing mounting challenges. Despite the urgent need for adaptation, </w:t>
      </w:r>
      <w:r w:rsidR="338AF2D0" w:rsidRPr="00306F4D">
        <w:rPr>
          <w:rFonts w:ascii="Arial" w:eastAsia="Arial" w:hAnsi="Arial" w:cs="Arial"/>
          <w:color w:val="auto"/>
          <w:sz w:val="20"/>
          <w:szCs w:val="20"/>
          <w:lang w:val="en-GB"/>
        </w:rPr>
        <w:t>access to climate finance remains severely constrained, limiting the region's ability to implement effective strategies that can mitigate climate impacts and build resilience.</w:t>
      </w:r>
    </w:p>
    <w:p w14:paraId="4A281E2F" w14:textId="0CB86E3F" w:rsidR="21AB32FD" w:rsidRPr="00306F4D" w:rsidRDefault="599C6320" w:rsidP="6E6D683F">
      <w:pPr>
        <w:tabs>
          <w:tab w:val="left" w:pos="360"/>
        </w:tabs>
        <w:spacing w:before="120" w:after="240"/>
        <w:jc w:val="both"/>
        <w:rPr>
          <w:rFonts w:ascii="Arial" w:eastAsia="Arial" w:hAnsi="Arial" w:cs="Arial"/>
          <w:color w:val="000000" w:themeColor="text1"/>
          <w:sz w:val="20"/>
          <w:szCs w:val="20"/>
        </w:rPr>
      </w:pPr>
      <w:r w:rsidRPr="00306F4D">
        <w:rPr>
          <w:rFonts w:ascii="Arial" w:eastAsia="Arial" w:hAnsi="Arial" w:cs="Arial"/>
          <w:b/>
          <w:bCs/>
          <w:color w:val="000000" w:themeColor="text1"/>
          <w:sz w:val="20"/>
          <w:szCs w:val="20"/>
        </w:rPr>
        <w:t>Adaptation is a complicated challenge</w:t>
      </w:r>
      <w:r w:rsidRPr="00306F4D">
        <w:rPr>
          <w:rFonts w:ascii="Arial" w:eastAsia="Arial" w:hAnsi="Arial" w:cs="Arial"/>
          <w:color w:val="000000" w:themeColor="text1"/>
          <w:sz w:val="20"/>
          <w:szCs w:val="20"/>
        </w:rPr>
        <w:t xml:space="preserve"> as there is no single common unit of measure such as greenhouse gas emissions. There is no “one size fits all” solution, which may, in part, explain why adaptation receives less attention and funding. </w:t>
      </w:r>
      <w:proofErr w:type="gramStart"/>
      <w:r w:rsidRPr="00306F4D">
        <w:rPr>
          <w:rFonts w:ascii="Arial" w:eastAsia="Arial" w:hAnsi="Arial" w:cs="Arial"/>
          <w:color w:val="000000" w:themeColor="text1"/>
          <w:sz w:val="20"/>
          <w:szCs w:val="20"/>
        </w:rPr>
        <w:t>Locally-led</w:t>
      </w:r>
      <w:proofErr w:type="gramEnd"/>
      <w:r w:rsidRPr="00306F4D">
        <w:rPr>
          <w:rFonts w:ascii="Arial" w:eastAsia="Arial" w:hAnsi="Arial" w:cs="Arial"/>
          <w:color w:val="000000" w:themeColor="text1"/>
          <w:sz w:val="20"/>
          <w:szCs w:val="20"/>
        </w:rPr>
        <w:t xml:space="preserve"> adaptation innovation is the key. This is especially true for the investment in adaptation innovation. The very nature of non-standard solution of adaptation is a massive opportunity for the </w:t>
      </w:r>
      <w:r w:rsidR="7D1AA729" w:rsidRPr="00306F4D">
        <w:rPr>
          <w:rFonts w:ascii="Arial" w:eastAsia="Arial" w:hAnsi="Arial" w:cs="Arial"/>
          <w:color w:val="000000" w:themeColor="text1"/>
          <w:sz w:val="20"/>
          <w:szCs w:val="20"/>
        </w:rPr>
        <w:t xml:space="preserve">Western </w:t>
      </w:r>
      <w:r w:rsidRPr="00306F4D">
        <w:rPr>
          <w:rFonts w:ascii="Arial" w:eastAsia="Arial" w:hAnsi="Arial" w:cs="Arial"/>
          <w:color w:val="000000" w:themeColor="text1"/>
          <w:sz w:val="20"/>
          <w:szCs w:val="20"/>
        </w:rPr>
        <w:t xml:space="preserve">Balkans region. Entrepreneurship in all forms, whether non-profit, social, for-profit and partnership, is a great approach to find potential </w:t>
      </w:r>
      <w:proofErr w:type="gramStart"/>
      <w:r w:rsidRPr="00306F4D">
        <w:rPr>
          <w:rFonts w:ascii="Arial" w:eastAsia="Arial" w:hAnsi="Arial" w:cs="Arial"/>
          <w:color w:val="000000" w:themeColor="text1"/>
          <w:sz w:val="20"/>
          <w:szCs w:val="20"/>
        </w:rPr>
        <w:t>locally-led</w:t>
      </w:r>
      <w:proofErr w:type="gramEnd"/>
      <w:r w:rsidRPr="00306F4D">
        <w:rPr>
          <w:rFonts w:ascii="Arial" w:eastAsia="Arial" w:hAnsi="Arial" w:cs="Arial"/>
          <w:color w:val="000000" w:themeColor="text1"/>
          <w:sz w:val="20"/>
          <w:szCs w:val="20"/>
        </w:rPr>
        <w:t xml:space="preserve"> and innovative multi-functional solutions for adaptation challenges.  </w:t>
      </w:r>
    </w:p>
    <w:p w14:paraId="63126F8F" w14:textId="21703A92" w:rsidR="29AD9D9D" w:rsidRPr="00306F4D" w:rsidRDefault="5EFB18CE" w:rsidP="4186447D">
      <w:pPr>
        <w:spacing w:before="240" w:after="240" w:line="276" w:lineRule="auto"/>
        <w:jc w:val="both"/>
        <w:rPr>
          <w:rFonts w:ascii="Arial" w:eastAsia="Arial" w:hAnsi="Arial" w:cs="Arial"/>
          <w:sz w:val="20"/>
          <w:szCs w:val="20"/>
        </w:rPr>
      </w:pPr>
      <w:r w:rsidRPr="00306F4D">
        <w:rPr>
          <w:rFonts w:ascii="Arial" w:eastAsia="Arial" w:hAnsi="Arial" w:cs="Arial"/>
          <w:sz w:val="20"/>
          <w:szCs w:val="20"/>
        </w:rPr>
        <w:t xml:space="preserve">As mentioned in earlier pages of this proposal, many of the </w:t>
      </w:r>
      <w:r w:rsidR="192FB236" w:rsidRPr="00306F4D">
        <w:rPr>
          <w:rFonts w:ascii="Arial" w:eastAsia="Arial" w:hAnsi="Arial" w:cs="Arial"/>
          <w:sz w:val="20"/>
          <w:szCs w:val="20"/>
        </w:rPr>
        <w:t>entrepreneurs</w:t>
      </w:r>
      <w:r w:rsidRPr="00306F4D">
        <w:rPr>
          <w:rFonts w:ascii="Arial" w:eastAsia="Arial" w:hAnsi="Arial" w:cs="Arial"/>
          <w:sz w:val="20"/>
          <w:szCs w:val="20"/>
        </w:rPr>
        <w:t>/ S</w:t>
      </w:r>
      <w:r w:rsidR="4E804243" w:rsidRPr="00306F4D">
        <w:rPr>
          <w:rFonts w:ascii="Arial" w:eastAsia="Arial" w:hAnsi="Arial" w:cs="Arial"/>
          <w:sz w:val="20"/>
          <w:szCs w:val="20"/>
        </w:rPr>
        <w:t>MEs fall into the “missing middle”—which means that they are too large for microfinance, yet too small or risky for traditional banks and investors</w:t>
      </w:r>
      <w:r w:rsidR="29AD9D9D" w:rsidRPr="00306F4D">
        <w:rPr>
          <w:rFonts w:ascii="Arial" w:eastAsia="Arial" w:hAnsi="Arial" w:cs="Arial"/>
          <w:sz w:val="20"/>
          <w:szCs w:val="20"/>
          <w:vertAlign w:val="superscript"/>
        </w:rPr>
        <w:footnoteReference w:id="141"/>
      </w:r>
      <w:r w:rsidR="4E804243" w:rsidRPr="00306F4D">
        <w:rPr>
          <w:rFonts w:ascii="Arial" w:eastAsia="Arial" w:hAnsi="Arial" w:cs="Arial"/>
          <w:sz w:val="20"/>
          <w:szCs w:val="20"/>
        </w:rPr>
        <w:t xml:space="preserve">. Three main barriers contribute to this financing gap according to this </w:t>
      </w:r>
      <w:r w:rsidR="6FF99059" w:rsidRPr="00306F4D">
        <w:rPr>
          <w:rFonts w:ascii="Arial" w:eastAsia="Arial" w:hAnsi="Arial" w:cs="Arial"/>
          <w:sz w:val="20"/>
          <w:szCs w:val="20"/>
        </w:rPr>
        <w:t>OECD/UNCDF (2020) report</w:t>
      </w:r>
      <w:r w:rsidR="4E804243" w:rsidRPr="00306F4D">
        <w:rPr>
          <w:rFonts w:ascii="Arial" w:eastAsia="Arial" w:hAnsi="Arial" w:cs="Arial"/>
          <w:sz w:val="20"/>
          <w:szCs w:val="20"/>
        </w:rPr>
        <w:t xml:space="preserve"> are: </w:t>
      </w:r>
    </w:p>
    <w:p w14:paraId="32C67D8A" w14:textId="448160A8" w:rsidR="4B11D58E" w:rsidRPr="00306F4D" w:rsidRDefault="6E02F140" w:rsidP="00DC620C">
      <w:pPr>
        <w:pStyle w:val="ListParagraph"/>
        <w:numPr>
          <w:ilvl w:val="0"/>
          <w:numId w:val="93"/>
        </w:numPr>
        <w:spacing w:before="240" w:after="240" w:line="276" w:lineRule="auto"/>
        <w:jc w:val="both"/>
        <w:rPr>
          <w:rFonts w:ascii="Arial" w:eastAsia="Arial" w:hAnsi="Arial" w:cs="Arial"/>
          <w:color w:val="000000" w:themeColor="text1"/>
          <w:sz w:val="20"/>
          <w:szCs w:val="20"/>
        </w:rPr>
      </w:pPr>
      <w:r w:rsidRPr="00306F4D">
        <w:rPr>
          <w:rFonts w:ascii="Arial" w:eastAsia="Arial" w:hAnsi="Arial" w:cs="Arial"/>
          <w:sz w:val="20"/>
          <w:szCs w:val="20"/>
        </w:rPr>
        <w:t xml:space="preserve">High Transaction Costs – Similar effort is needed to assess SMEs as large firms, but with smaller returns. </w:t>
      </w:r>
    </w:p>
    <w:p w14:paraId="0ED3781E" w14:textId="13C31B8B" w:rsidR="4B11D58E" w:rsidRPr="00306F4D" w:rsidRDefault="6E02F140" w:rsidP="00DC620C">
      <w:pPr>
        <w:pStyle w:val="ListParagraph"/>
        <w:numPr>
          <w:ilvl w:val="0"/>
          <w:numId w:val="93"/>
        </w:numPr>
        <w:spacing w:before="240" w:after="240" w:line="276" w:lineRule="auto"/>
        <w:jc w:val="both"/>
        <w:rPr>
          <w:rFonts w:ascii="Arial" w:eastAsia="Arial" w:hAnsi="Arial" w:cs="Arial"/>
          <w:color w:val="000000" w:themeColor="text1"/>
          <w:sz w:val="20"/>
          <w:szCs w:val="20"/>
        </w:rPr>
      </w:pPr>
      <w:r w:rsidRPr="00306F4D">
        <w:rPr>
          <w:rFonts w:ascii="Arial" w:eastAsia="Arial" w:hAnsi="Arial" w:cs="Arial"/>
          <w:sz w:val="20"/>
          <w:szCs w:val="20"/>
        </w:rPr>
        <w:t xml:space="preserve">Risk Perception – SMEs often lack collateral, financial history, or sector familiarity, making them appear riskier. </w:t>
      </w:r>
    </w:p>
    <w:p w14:paraId="459DF02A" w14:textId="6D0805EF" w:rsidR="4B11D58E" w:rsidRPr="00306F4D" w:rsidRDefault="6E02F140" w:rsidP="00DC620C">
      <w:pPr>
        <w:pStyle w:val="ListParagraph"/>
        <w:numPr>
          <w:ilvl w:val="0"/>
          <w:numId w:val="93"/>
        </w:numPr>
        <w:spacing w:before="240" w:after="240" w:line="276" w:lineRule="auto"/>
        <w:jc w:val="both"/>
        <w:rPr>
          <w:rFonts w:ascii="Arial" w:eastAsia="Arial" w:hAnsi="Arial" w:cs="Arial"/>
          <w:color w:val="000000" w:themeColor="text1"/>
          <w:sz w:val="20"/>
          <w:szCs w:val="20"/>
        </w:rPr>
      </w:pPr>
      <w:r w:rsidRPr="00306F4D">
        <w:rPr>
          <w:rFonts w:ascii="Arial" w:eastAsia="Arial" w:hAnsi="Arial" w:cs="Arial"/>
          <w:sz w:val="20"/>
          <w:szCs w:val="20"/>
        </w:rPr>
        <w:t>Investment Readiness – Many SMEs lack the skills to present strong financial models and business plans to attract formal investment.</w:t>
      </w:r>
    </w:p>
    <w:p w14:paraId="2AD44FDD" w14:textId="533B27F4" w:rsidR="4B11D58E" w:rsidRPr="00306F4D" w:rsidRDefault="6E02F140" w:rsidP="4186447D">
      <w:pPr>
        <w:spacing w:before="240" w:after="240" w:line="276" w:lineRule="auto"/>
        <w:jc w:val="both"/>
        <w:rPr>
          <w:rFonts w:ascii="Arial" w:eastAsia="Arial" w:hAnsi="Arial" w:cs="Arial"/>
          <w:sz w:val="20"/>
          <w:szCs w:val="20"/>
        </w:rPr>
      </w:pPr>
      <w:r w:rsidRPr="00306F4D">
        <w:rPr>
          <w:rFonts w:ascii="Arial" w:eastAsia="Arial" w:hAnsi="Arial" w:cs="Arial"/>
          <w:sz w:val="20"/>
          <w:szCs w:val="20"/>
        </w:rPr>
        <w:t xml:space="preserve">The above is particularly evident in the Western Balkans, where high capital costs and concerns over ownership deter innovators and entrepreneurs from accessing equity, while non-profits and social enterprises face even greater challenges due to the unsuitability of traditional financing models. As a result, the capacity to scale and invest in </w:t>
      </w:r>
      <w:proofErr w:type="gramStart"/>
      <w:r w:rsidRPr="00306F4D">
        <w:rPr>
          <w:rFonts w:ascii="Arial" w:eastAsia="Arial" w:hAnsi="Arial" w:cs="Arial"/>
          <w:sz w:val="20"/>
          <w:szCs w:val="20"/>
        </w:rPr>
        <w:t>locally-led</w:t>
      </w:r>
      <w:proofErr w:type="gramEnd"/>
      <w:r w:rsidRPr="00306F4D">
        <w:rPr>
          <w:rFonts w:ascii="Arial" w:eastAsia="Arial" w:hAnsi="Arial" w:cs="Arial"/>
          <w:sz w:val="20"/>
          <w:szCs w:val="20"/>
        </w:rPr>
        <w:t xml:space="preserve"> adaptation solutions are severely constrained.</w:t>
      </w:r>
    </w:p>
    <w:p w14:paraId="4F507D2F" w14:textId="5D259A31" w:rsidR="70B0E8BA" w:rsidRPr="00306F4D" w:rsidRDefault="4E0E71C6" w:rsidP="4186447D">
      <w:pPr>
        <w:tabs>
          <w:tab w:val="left" w:pos="360"/>
        </w:tabs>
        <w:spacing w:before="120" w:after="240"/>
        <w:jc w:val="both"/>
        <w:rPr>
          <w:rFonts w:ascii="Arial" w:eastAsia="Arial" w:hAnsi="Arial" w:cs="Arial"/>
          <w:color w:val="000000" w:themeColor="text1"/>
          <w:sz w:val="20"/>
          <w:szCs w:val="20"/>
          <w:lang w:val="en-GB"/>
        </w:rPr>
      </w:pPr>
      <w:r w:rsidRPr="00306F4D">
        <w:rPr>
          <w:rFonts w:ascii="Arial" w:eastAsia="Arial" w:hAnsi="Arial" w:cs="Arial"/>
          <w:color w:val="000000" w:themeColor="text1"/>
          <w:sz w:val="20"/>
          <w:szCs w:val="20"/>
          <w:lang w:val="en-GB"/>
        </w:rPr>
        <w:t>The</w:t>
      </w:r>
      <w:r w:rsidR="160A7840" w:rsidRPr="00306F4D">
        <w:rPr>
          <w:rFonts w:ascii="Arial" w:eastAsia="Arial" w:hAnsi="Arial" w:cs="Arial"/>
          <w:color w:val="000000" w:themeColor="text1"/>
          <w:sz w:val="20"/>
          <w:szCs w:val="20"/>
          <w:lang w:val="en-GB"/>
        </w:rPr>
        <w:t xml:space="preserve"> </w:t>
      </w:r>
      <w:r w:rsidRPr="00306F4D">
        <w:rPr>
          <w:rFonts w:ascii="Arial" w:eastAsia="Arial" w:hAnsi="Arial" w:cs="Arial"/>
          <w:color w:val="000000" w:themeColor="text1"/>
          <w:sz w:val="20"/>
          <w:szCs w:val="20"/>
          <w:lang w:val="en-GB"/>
        </w:rPr>
        <w:t xml:space="preserve">Regional Project will also specifically reach out to include women, disadvantaged, remote, and marginalized communities. </w:t>
      </w:r>
      <w:r w:rsidR="28D04EAA" w:rsidRPr="00306F4D">
        <w:rPr>
          <w:rFonts w:ascii="Arial" w:eastAsia="Arial" w:hAnsi="Arial" w:cs="Arial"/>
          <w:color w:val="000000" w:themeColor="text1"/>
          <w:sz w:val="20"/>
          <w:szCs w:val="20"/>
          <w:lang w:val="en-GB"/>
        </w:rPr>
        <w:t>The p</w:t>
      </w:r>
      <w:r w:rsidRPr="00306F4D">
        <w:rPr>
          <w:rFonts w:ascii="Arial" w:eastAsia="Arial" w:hAnsi="Arial" w:cs="Arial"/>
          <w:color w:val="000000" w:themeColor="text1"/>
          <w:sz w:val="20"/>
          <w:szCs w:val="20"/>
          <w:lang w:val="en-GB"/>
        </w:rPr>
        <w:t xml:space="preserve">roposed approach acknowledges that women-owned and minority-led enterprises often face </w:t>
      </w:r>
      <w:r w:rsidRPr="00306F4D">
        <w:rPr>
          <w:rFonts w:ascii="Arial" w:eastAsia="Arial" w:hAnsi="Arial" w:cs="Arial"/>
          <w:color w:val="000000" w:themeColor="text1"/>
          <w:sz w:val="20"/>
          <w:szCs w:val="20"/>
          <w:lang w:val="en-GB"/>
        </w:rPr>
        <w:lastRenderedPageBreak/>
        <w:t xml:space="preserve">persistent barriers in accessing adaptation finance. These businesses are more likely to operate in informal settings, smaller-scale sectors, or under less </w:t>
      </w:r>
      <w:r w:rsidR="3063E3D4" w:rsidRPr="00306F4D">
        <w:rPr>
          <w:rFonts w:ascii="Arial" w:eastAsia="Arial" w:hAnsi="Arial" w:cs="Arial"/>
          <w:color w:val="000000" w:themeColor="text1"/>
          <w:sz w:val="20"/>
          <w:szCs w:val="20"/>
          <w:lang w:val="en-GB"/>
        </w:rPr>
        <w:t>favourable</w:t>
      </w:r>
      <w:r w:rsidRPr="00306F4D">
        <w:rPr>
          <w:rFonts w:ascii="Arial" w:eastAsia="Arial" w:hAnsi="Arial" w:cs="Arial"/>
          <w:color w:val="000000" w:themeColor="text1"/>
          <w:sz w:val="20"/>
          <w:szCs w:val="20"/>
          <w:lang w:val="en-GB"/>
        </w:rPr>
        <w:t xml:space="preserve"> lending conditions, which can limit their growth and resilience.</w:t>
      </w:r>
      <w:r w:rsidR="094B3B46" w:rsidRPr="00306F4D">
        <w:rPr>
          <w:rFonts w:ascii="Arial" w:eastAsia="Arial" w:hAnsi="Arial" w:cs="Arial"/>
          <w:color w:val="000000" w:themeColor="text1"/>
          <w:sz w:val="20"/>
          <w:szCs w:val="20"/>
          <w:lang w:val="en-GB"/>
        </w:rPr>
        <w:t xml:space="preserve"> </w:t>
      </w:r>
      <w:r w:rsidRPr="00306F4D">
        <w:rPr>
          <w:rFonts w:ascii="Arial" w:eastAsia="Arial" w:hAnsi="Arial" w:cs="Arial"/>
          <w:color w:val="000000" w:themeColor="text1"/>
          <w:sz w:val="20"/>
          <w:szCs w:val="20"/>
          <w:lang w:val="en-GB"/>
        </w:rPr>
        <w:t>Beyond financial constraints, non-financial barriers—such as limited access to training, unequal property rights, and institutional or legal hurdles—also restrict opportunities for formal financing. Gender norms and</w:t>
      </w:r>
      <w:r w:rsidR="369F0192" w:rsidRPr="00306F4D">
        <w:rPr>
          <w:rFonts w:ascii="Arial" w:eastAsia="Arial" w:hAnsi="Arial" w:cs="Arial"/>
          <w:color w:val="000000" w:themeColor="text1"/>
          <w:sz w:val="20"/>
          <w:szCs w:val="20"/>
          <w:lang w:val="en-GB"/>
        </w:rPr>
        <w:t xml:space="preserve"> </w:t>
      </w:r>
      <w:r w:rsidRPr="00306F4D">
        <w:rPr>
          <w:rFonts w:ascii="Arial" w:eastAsia="Arial" w:hAnsi="Arial" w:cs="Arial"/>
          <w:color w:val="000000" w:themeColor="text1"/>
          <w:sz w:val="20"/>
          <w:szCs w:val="20"/>
          <w:lang w:val="en-GB"/>
        </w:rPr>
        <w:t>limited outreach from financial institutions further contribute to the financing gap.</w:t>
      </w:r>
    </w:p>
    <w:p w14:paraId="292AC34F" w14:textId="095009DF" w:rsidR="70B0E8BA" w:rsidRPr="00306F4D" w:rsidRDefault="4E0E71C6" w:rsidP="4186447D">
      <w:pPr>
        <w:tabs>
          <w:tab w:val="left" w:pos="360"/>
        </w:tabs>
        <w:spacing w:before="120" w:after="240"/>
        <w:jc w:val="both"/>
        <w:rPr>
          <w:rFonts w:ascii="Arial" w:eastAsia="Arial" w:hAnsi="Arial" w:cs="Arial"/>
          <w:color w:val="000000" w:themeColor="text1"/>
          <w:sz w:val="20"/>
          <w:szCs w:val="20"/>
          <w:lang w:val="en-GB"/>
        </w:rPr>
      </w:pPr>
      <w:r w:rsidRPr="00306F4D">
        <w:rPr>
          <w:rFonts w:ascii="Arial" w:eastAsia="Arial" w:hAnsi="Arial" w:cs="Arial"/>
          <w:color w:val="000000" w:themeColor="text1"/>
          <w:sz w:val="20"/>
          <w:szCs w:val="20"/>
          <w:lang w:val="en-GB"/>
        </w:rPr>
        <w:t>To strengthen inclusive adaptation efforts, UNDP aims to explore targeted solutions that address both financial and systemic barriers, supporting more equitable access to finance for underserved and underrepresented innovators and entrepreneurs.</w:t>
      </w:r>
    </w:p>
    <w:p w14:paraId="71674B9F" w14:textId="7A1F14C0" w:rsidR="7899032E" w:rsidRPr="00306F4D" w:rsidRDefault="6590B162" w:rsidP="4186447D">
      <w:pPr>
        <w:tabs>
          <w:tab w:val="left" w:pos="360"/>
        </w:tabs>
        <w:spacing w:before="120" w:after="240" w:line="276" w:lineRule="auto"/>
        <w:jc w:val="both"/>
        <w:rPr>
          <w:rFonts w:ascii="Arial" w:eastAsia="Arial" w:hAnsi="Arial" w:cs="Arial"/>
          <w:color w:val="000000" w:themeColor="text1"/>
          <w:sz w:val="20"/>
          <w:szCs w:val="20"/>
          <w:lang w:val="en-GB"/>
        </w:rPr>
      </w:pPr>
      <w:proofErr w:type="gramStart"/>
      <w:r w:rsidRPr="00306F4D">
        <w:rPr>
          <w:rFonts w:ascii="Arial" w:eastAsia="Arial" w:hAnsi="Arial" w:cs="Arial"/>
          <w:color w:val="000000" w:themeColor="text1"/>
          <w:sz w:val="20"/>
          <w:szCs w:val="20"/>
          <w:lang w:val="en-GB"/>
        </w:rPr>
        <w:t>Locally-led</w:t>
      </w:r>
      <w:proofErr w:type="gramEnd"/>
      <w:r w:rsidRPr="00306F4D">
        <w:rPr>
          <w:rFonts w:ascii="Arial" w:eastAsia="Arial" w:hAnsi="Arial" w:cs="Arial"/>
          <w:color w:val="000000" w:themeColor="text1"/>
          <w:sz w:val="20"/>
          <w:szCs w:val="20"/>
          <w:lang w:val="en-GB"/>
        </w:rPr>
        <w:t xml:space="preserve"> adaptation and innovation are recognized as effective approaches to addressing climate change challenges. Public funding is proven to be extremely crucial for incubating and accelerating innovation when entrepreneurs are still operating at pre-seed stage with limited (or no) revenue potential. Building on existing experience, the proposal seeks to further strengthen and scale these locally driven solutions as a reliable pathway for climate resilience.</w:t>
      </w:r>
    </w:p>
    <w:p w14:paraId="799BD4D9" w14:textId="6BEDA0AD" w:rsidR="6B5C5087" w:rsidRPr="00306F4D" w:rsidRDefault="65478BC5" w:rsidP="4186447D">
      <w:pPr>
        <w:pStyle w:val="Heading3"/>
        <w:spacing w:line="276" w:lineRule="auto"/>
        <w:jc w:val="both"/>
        <w:rPr>
          <w:rFonts w:ascii="Arial" w:eastAsia="Arial" w:hAnsi="Arial" w:cs="Arial"/>
          <w:sz w:val="20"/>
          <w:szCs w:val="20"/>
          <w:lang w:val="en-GB"/>
        </w:rPr>
      </w:pPr>
      <w:r w:rsidRPr="00306F4D">
        <w:rPr>
          <w:rFonts w:ascii="Arial" w:eastAsia="Arial" w:hAnsi="Arial" w:cs="Arial"/>
          <w:sz w:val="20"/>
          <w:szCs w:val="20"/>
          <w:lang w:val="en-GB"/>
        </w:rPr>
        <w:t xml:space="preserve">Additionality of the Regional Project´s </w:t>
      </w:r>
      <w:r w:rsidR="26E7A0F7" w:rsidRPr="00306F4D">
        <w:rPr>
          <w:rFonts w:ascii="Arial" w:eastAsia="Arial" w:hAnsi="Arial" w:cs="Arial"/>
          <w:sz w:val="20"/>
          <w:szCs w:val="20"/>
          <w:lang w:val="en-GB"/>
        </w:rPr>
        <w:t>intervention</w:t>
      </w:r>
    </w:p>
    <w:p w14:paraId="60024535" w14:textId="3247D7AF" w:rsidR="38A2AB59" w:rsidRPr="00306F4D" w:rsidRDefault="38A2AB59" w:rsidP="4186447D">
      <w:pPr>
        <w:spacing w:before="240" w:after="240"/>
        <w:jc w:val="both"/>
        <w:rPr>
          <w:rFonts w:ascii="Arial" w:eastAsia="Arial" w:hAnsi="Arial" w:cs="Arial"/>
          <w:sz w:val="20"/>
          <w:szCs w:val="20"/>
          <w:lang w:val="en-GB"/>
        </w:rPr>
      </w:pPr>
      <w:r w:rsidRPr="00306F4D">
        <w:rPr>
          <w:rFonts w:ascii="Arial" w:eastAsia="Arial" w:hAnsi="Arial" w:cs="Arial"/>
          <w:sz w:val="20"/>
          <w:szCs w:val="20"/>
          <w:lang w:val="en-GB"/>
        </w:rPr>
        <w:t xml:space="preserve">The requested funding for the Regional Project is critical to bridge the substantial adaptation finance gap in the Western Balkans, aligning with UNDP's commitment to strengthening resilience against climate change impacts. </w:t>
      </w:r>
      <w:r w:rsidR="666A577E" w:rsidRPr="00306F4D">
        <w:rPr>
          <w:rFonts w:ascii="Arial" w:eastAsia="Arial" w:hAnsi="Arial" w:cs="Arial"/>
          <w:color w:val="auto"/>
          <w:sz w:val="20"/>
          <w:szCs w:val="20"/>
          <w:lang w:val="en-GB"/>
        </w:rPr>
        <w:t xml:space="preserve">Without the project, available finance for innovations and business development in the region would likely not be directed toward climate resilience initiatives, as these are often perceived as more complex, higher-risk, and less investment-ready compared to conventional business ventures. They also typically require extensive technical assistance, readiness support, and mentoring, which are not sufficiently available or financed under current conditions. </w:t>
      </w:r>
    </w:p>
    <w:p w14:paraId="1194EF09" w14:textId="1A4C7B0E" w:rsidR="22781292" w:rsidRPr="00306F4D" w:rsidRDefault="22781292" w:rsidP="4186447D">
      <w:pPr>
        <w:spacing w:before="240" w:after="240"/>
        <w:jc w:val="both"/>
        <w:rPr>
          <w:rFonts w:ascii="Arial" w:eastAsia="Arial" w:hAnsi="Arial" w:cs="Arial"/>
          <w:color w:val="auto"/>
          <w:sz w:val="20"/>
          <w:szCs w:val="20"/>
          <w:lang w:val="en-GB"/>
        </w:rPr>
      </w:pPr>
      <w:r w:rsidRPr="00306F4D">
        <w:rPr>
          <w:rFonts w:ascii="Arial" w:eastAsia="Arial" w:hAnsi="Arial" w:cs="Arial"/>
          <w:color w:val="auto"/>
          <w:sz w:val="20"/>
          <w:szCs w:val="20"/>
          <w:lang w:val="en-GB"/>
        </w:rPr>
        <w:t>In the baseline scenario, locally led adaptation efforts in the Western Balkans remain largely underdeveloped and insufficiently supported— particularly those led by or benefiting vulnerable communities and women. A lack of targeted technical assistance, early-stage investment, and institutional support prevents these initiatives from progressing beyond isolated pilots or informal solutions.</w:t>
      </w:r>
    </w:p>
    <w:p w14:paraId="16FA98D3" w14:textId="4B6A3458" w:rsidR="22781292" w:rsidRPr="00306F4D" w:rsidRDefault="22781292" w:rsidP="4186447D">
      <w:pPr>
        <w:spacing w:before="240" w:after="240"/>
        <w:jc w:val="both"/>
        <w:rPr>
          <w:rFonts w:ascii="Arial" w:eastAsia="Arial" w:hAnsi="Arial" w:cs="Arial"/>
          <w:color w:val="auto"/>
          <w:sz w:val="20"/>
          <w:szCs w:val="20"/>
          <w:lang w:val="en-GB"/>
        </w:rPr>
      </w:pPr>
      <w:r w:rsidRPr="00306F4D">
        <w:rPr>
          <w:rFonts w:ascii="Arial" w:eastAsia="Arial" w:hAnsi="Arial" w:cs="Arial"/>
          <w:color w:val="auto"/>
          <w:sz w:val="20"/>
          <w:szCs w:val="20"/>
          <w:lang w:val="en-GB"/>
        </w:rPr>
        <w:t xml:space="preserve">The </w:t>
      </w:r>
      <w:r w:rsidR="64925608" w:rsidRPr="00306F4D">
        <w:rPr>
          <w:rFonts w:ascii="Arial" w:eastAsia="Arial" w:hAnsi="Arial" w:cs="Arial"/>
          <w:color w:val="auto"/>
          <w:sz w:val="20"/>
          <w:szCs w:val="20"/>
          <w:lang w:val="en-GB"/>
        </w:rPr>
        <w:t>Regional</w:t>
      </w:r>
      <w:r w:rsidRPr="00306F4D">
        <w:rPr>
          <w:rFonts w:ascii="Arial" w:eastAsia="Arial" w:hAnsi="Arial" w:cs="Arial"/>
          <w:color w:val="auto"/>
          <w:sz w:val="20"/>
          <w:szCs w:val="20"/>
          <w:lang w:val="en-GB"/>
        </w:rPr>
        <w:t xml:space="preserve"> </w:t>
      </w:r>
      <w:r w:rsidR="3A05BAF4" w:rsidRPr="00306F4D">
        <w:rPr>
          <w:rFonts w:ascii="Arial" w:eastAsia="Arial" w:hAnsi="Arial" w:cs="Arial"/>
          <w:color w:val="auto"/>
          <w:sz w:val="20"/>
          <w:szCs w:val="20"/>
          <w:lang w:val="en-GB"/>
        </w:rPr>
        <w:t>P</w:t>
      </w:r>
      <w:r w:rsidRPr="00306F4D">
        <w:rPr>
          <w:rFonts w:ascii="Arial" w:eastAsia="Arial" w:hAnsi="Arial" w:cs="Arial"/>
          <w:color w:val="auto"/>
          <w:sz w:val="20"/>
          <w:szCs w:val="20"/>
          <w:lang w:val="en-GB"/>
        </w:rPr>
        <w:t>roject offers a transformative alternative by creating the enabling conditions—through tailored technical support, capacity building, scoping, and investment facilitation—for the identification, development, and scaling of high-impact, locally driven adaptation innovations.</w:t>
      </w:r>
    </w:p>
    <w:p w14:paraId="36B93EBC" w14:textId="31D431E2" w:rsidR="22781292" w:rsidRPr="00306F4D" w:rsidRDefault="22781292" w:rsidP="4186447D">
      <w:pPr>
        <w:spacing w:before="240" w:after="240"/>
        <w:jc w:val="both"/>
        <w:rPr>
          <w:rFonts w:ascii="Arial" w:eastAsia="Arial" w:hAnsi="Arial" w:cs="Arial"/>
          <w:color w:val="auto"/>
          <w:sz w:val="20"/>
          <w:szCs w:val="20"/>
          <w:lang w:val="en-GB"/>
        </w:rPr>
      </w:pPr>
      <w:r w:rsidRPr="00306F4D">
        <w:rPr>
          <w:rFonts w:ascii="Arial" w:eastAsia="Arial" w:hAnsi="Arial" w:cs="Arial"/>
          <w:color w:val="auto"/>
          <w:sz w:val="20"/>
          <w:szCs w:val="20"/>
          <w:lang w:val="en-GB"/>
        </w:rPr>
        <w:t xml:space="preserve">Through three interlinked outcomes, the Regional Project will </w:t>
      </w:r>
      <w:r w:rsidR="6B6EB4D9" w:rsidRPr="00306F4D">
        <w:rPr>
          <w:rFonts w:ascii="Arial" w:eastAsia="Arial" w:hAnsi="Arial" w:cs="Arial"/>
          <w:color w:val="auto"/>
          <w:sz w:val="20"/>
          <w:szCs w:val="20"/>
          <w:lang w:val="en-GB"/>
        </w:rPr>
        <w:t>catalyse</w:t>
      </w:r>
      <w:r w:rsidRPr="00306F4D">
        <w:rPr>
          <w:rFonts w:ascii="Arial" w:eastAsia="Arial" w:hAnsi="Arial" w:cs="Arial"/>
          <w:color w:val="auto"/>
          <w:sz w:val="20"/>
          <w:szCs w:val="20"/>
          <w:lang w:val="en-GB"/>
        </w:rPr>
        <w:t xml:space="preserve"> the development and diffusion of innovative adaptation practices, tools, and technologies, thereby strengthening the climate resilience of target communities compared to the baseline scenario: </w:t>
      </w:r>
    </w:p>
    <w:p w14:paraId="26A9922E" w14:textId="452FB064" w:rsidR="6B5C5087" w:rsidRPr="00306F4D" w:rsidRDefault="677F72FE" w:rsidP="4186447D">
      <w:pPr>
        <w:pStyle w:val="ListParagraph"/>
        <w:numPr>
          <w:ilvl w:val="0"/>
          <w:numId w:val="43"/>
        </w:numPr>
        <w:spacing w:before="240" w:after="0" w:line="276" w:lineRule="auto"/>
        <w:jc w:val="both"/>
        <w:rPr>
          <w:rFonts w:ascii="Arial" w:eastAsia="Arial" w:hAnsi="Arial" w:cs="Arial"/>
          <w:color w:val="auto"/>
          <w:sz w:val="20"/>
          <w:szCs w:val="20"/>
        </w:rPr>
      </w:pPr>
      <w:r w:rsidRPr="00306F4D">
        <w:rPr>
          <w:rFonts w:ascii="Arial" w:eastAsia="Arial" w:hAnsi="Arial" w:cs="Arial"/>
          <w:b/>
          <w:bCs/>
          <w:color w:val="auto"/>
          <w:sz w:val="20"/>
          <w:szCs w:val="20"/>
        </w:rPr>
        <w:t>Outcome 1:</w:t>
      </w:r>
      <w:r w:rsidRPr="00306F4D">
        <w:rPr>
          <w:rFonts w:ascii="Arial" w:eastAsia="Arial" w:hAnsi="Arial" w:cs="Arial"/>
          <w:color w:val="auto"/>
          <w:sz w:val="20"/>
          <w:szCs w:val="20"/>
        </w:rPr>
        <w:t xml:space="preserve"> Development, promotion, and acceleration of </w:t>
      </w:r>
      <w:proofErr w:type="gramStart"/>
      <w:r w:rsidRPr="00306F4D">
        <w:rPr>
          <w:rFonts w:ascii="Arial" w:eastAsia="Arial" w:hAnsi="Arial" w:cs="Arial"/>
          <w:color w:val="auto"/>
          <w:sz w:val="20"/>
          <w:szCs w:val="20"/>
        </w:rPr>
        <w:t>locally-led</w:t>
      </w:r>
      <w:proofErr w:type="gramEnd"/>
      <w:r w:rsidRPr="00306F4D">
        <w:rPr>
          <w:rFonts w:ascii="Arial" w:eastAsia="Arial" w:hAnsi="Arial" w:cs="Arial"/>
          <w:color w:val="auto"/>
          <w:sz w:val="20"/>
          <w:szCs w:val="20"/>
        </w:rPr>
        <w:t xml:space="preserve"> innovative climate adaptation solutions in four Western Balkans countries, with particular emphasis on approaches that advance gender equality and women’s empowerment, and which address priority climate risks.</w:t>
      </w:r>
    </w:p>
    <w:p w14:paraId="68ABBFB3" w14:textId="46DB6AB5" w:rsidR="6B5C5087" w:rsidRPr="00306F4D" w:rsidRDefault="677F72FE" w:rsidP="4186447D">
      <w:pPr>
        <w:pStyle w:val="ListParagraph"/>
        <w:numPr>
          <w:ilvl w:val="0"/>
          <w:numId w:val="43"/>
        </w:numPr>
        <w:spacing w:before="240" w:after="0" w:line="276" w:lineRule="auto"/>
        <w:jc w:val="both"/>
        <w:rPr>
          <w:rFonts w:ascii="Arial" w:eastAsia="Arial" w:hAnsi="Arial" w:cs="Arial"/>
          <w:color w:val="auto"/>
          <w:sz w:val="20"/>
          <w:szCs w:val="20"/>
        </w:rPr>
      </w:pPr>
      <w:r w:rsidRPr="00306F4D">
        <w:rPr>
          <w:rFonts w:ascii="Arial" w:eastAsia="Arial" w:hAnsi="Arial" w:cs="Arial"/>
          <w:b/>
          <w:bCs/>
          <w:color w:val="auto"/>
          <w:sz w:val="20"/>
          <w:szCs w:val="20"/>
        </w:rPr>
        <w:t>Outcome 2:</w:t>
      </w:r>
      <w:r w:rsidRPr="00306F4D">
        <w:rPr>
          <w:rFonts w:ascii="Arial" w:eastAsia="Arial" w:hAnsi="Arial" w:cs="Arial"/>
          <w:color w:val="auto"/>
          <w:sz w:val="20"/>
          <w:szCs w:val="20"/>
        </w:rPr>
        <w:t xml:space="preserve"> Selected adaptation innovations are strengthened and positioned for scale through tailored business development support, market testing, and identification of funding and financing pathways.</w:t>
      </w:r>
    </w:p>
    <w:p w14:paraId="59132AE5" w14:textId="2B86CE62" w:rsidR="4186447D" w:rsidRPr="00306F4D" w:rsidRDefault="677F72FE" w:rsidP="00E60D8F">
      <w:pPr>
        <w:pStyle w:val="ListParagraph"/>
        <w:numPr>
          <w:ilvl w:val="0"/>
          <w:numId w:val="43"/>
        </w:numPr>
        <w:spacing w:before="240" w:after="0" w:line="276" w:lineRule="auto"/>
        <w:jc w:val="both"/>
        <w:rPr>
          <w:rFonts w:ascii="Arial" w:eastAsia="Arial" w:hAnsi="Arial" w:cs="Arial"/>
          <w:color w:val="auto"/>
          <w:sz w:val="20"/>
          <w:szCs w:val="20"/>
          <w:lang w:val="en-GB"/>
        </w:rPr>
      </w:pPr>
      <w:r w:rsidRPr="00306F4D">
        <w:rPr>
          <w:rFonts w:ascii="Arial" w:eastAsia="Arial" w:hAnsi="Arial" w:cs="Arial"/>
          <w:b/>
          <w:bCs/>
          <w:color w:val="auto"/>
          <w:sz w:val="20"/>
          <w:szCs w:val="20"/>
        </w:rPr>
        <w:t>Outcome 3:</w:t>
      </w:r>
      <w:r w:rsidRPr="00306F4D">
        <w:rPr>
          <w:rFonts w:ascii="Arial" w:eastAsia="Arial" w:hAnsi="Arial" w:cs="Arial"/>
          <w:color w:val="auto"/>
          <w:sz w:val="20"/>
          <w:szCs w:val="20"/>
        </w:rPr>
        <w:t xml:space="preserve"> Knowledge, evidence, and lessons from adaptation innovations are captured, shared, and leveraged to inform replication, scale and policy engagement across the Western Balkans through regional learning platform and global networks. </w:t>
      </w:r>
    </w:p>
    <w:p w14:paraId="11397BC0" w14:textId="583F2213" w:rsidR="6B5C5087" w:rsidRPr="00306F4D" w:rsidRDefault="0B7A0759" w:rsidP="4186447D">
      <w:pPr>
        <w:tabs>
          <w:tab w:val="left" w:pos="360"/>
        </w:tabs>
        <w:spacing w:before="120" w:after="240" w:line="276" w:lineRule="auto"/>
        <w:jc w:val="both"/>
        <w:rPr>
          <w:rFonts w:ascii="Arial" w:eastAsia="Arial" w:hAnsi="Arial" w:cs="Arial"/>
          <w:b/>
          <w:bCs/>
          <w:sz w:val="20"/>
          <w:szCs w:val="20"/>
          <w:u w:val="single"/>
          <w:lang w:val="en-GB"/>
        </w:rPr>
      </w:pPr>
      <w:r w:rsidRPr="00306F4D">
        <w:rPr>
          <w:rFonts w:ascii="Arial" w:eastAsia="Arial" w:hAnsi="Arial" w:cs="Arial"/>
          <w:b/>
          <w:bCs/>
          <w:sz w:val="20"/>
          <w:szCs w:val="20"/>
          <w:u w:val="single"/>
          <w:lang w:val="en-GB"/>
        </w:rPr>
        <w:t>Outcome 1:</w:t>
      </w:r>
      <w:r w:rsidR="16571285" w:rsidRPr="00306F4D">
        <w:rPr>
          <w:rFonts w:ascii="Arial" w:eastAsia="Arial" w:hAnsi="Arial" w:cs="Arial"/>
          <w:b/>
          <w:bCs/>
          <w:sz w:val="20"/>
          <w:szCs w:val="20"/>
          <w:u w:val="single"/>
          <w:lang w:val="en-GB"/>
        </w:rPr>
        <w:t xml:space="preserve"> Additionality</w:t>
      </w:r>
    </w:p>
    <w:p w14:paraId="7839BBD3" w14:textId="22DAEB78" w:rsidR="6B5C5087" w:rsidRPr="00306F4D" w:rsidRDefault="37E7F286" w:rsidP="00413459">
      <w:pPr>
        <w:spacing w:before="240" w:after="240" w:line="276" w:lineRule="auto"/>
        <w:jc w:val="both"/>
        <w:rPr>
          <w:rFonts w:ascii="Arial" w:eastAsia="Arial" w:hAnsi="Arial" w:cs="Arial"/>
          <w:color w:val="auto"/>
          <w:sz w:val="20"/>
          <w:szCs w:val="20"/>
          <w:lang w:val="en-GB"/>
        </w:rPr>
      </w:pPr>
      <w:r w:rsidRPr="00306F4D">
        <w:rPr>
          <w:rFonts w:ascii="Arial" w:eastAsia="Arial" w:hAnsi="Arial" w:cs="Arial"/>
          <w:color w:val="auto"/>
          <w:sz w:val="20"/>
          <w:szCs w:val="20"/>
          <w:lang w:val="en-GB"/>
        </w:rPr>
        <w:lastRenderedPageBreak/>
        <w:t>In the baseline scenario</w:t>
      </w:r>
      <w:r w:rsidR="4C506F12" w:rsidRPr="00306F4D">
        <w:rPr>
          <w:rFonts w:ascii="Arial" w:eastAsia="Arial" w:hAnsi="Arial" w:cs="Arial"/>
          <w:color w:val="auto"/>
          <w:sz w:val="20"/>
          <w:szCs w:val="20"/>
          <w:lang w:val="en-GB"/>
        </w:rPr>
        <w:t xml:space="preserve"> without the project</w:t>
      </w:r>
      <w:r w:rsidRPr="00306F4D">
        <w:rPr>
          <w:rFonts w:ascii="Arial" w:eastAsia="Arial" w:hAnsi="Arial" w:cs="Arial"/>
          <w:color w:val="auto"/>
          <w:sz w:val="20"/>
          <w:szCs w:val="20"/>
          <w:lang w:val="en-GB"/>
        </w:rPr>
        <w:t xml:space="preserve">, innovative adaptation initiatives led by civil society organizations, social enterprises, and SMEs in the Western Balkans face persistent barriers to financing. Traditional investors often perceive these initiatives as high-risk, with limited or no near-term revenue potential, especially during the early stages of development. Debt financing is typically </w:t>
      </w:r>
      <w:r w:rsidR="07D09C47" w:rsidRPr="00306F4D">
        <w:rPr>
          <w:rFonts w:ascii="Arial" w:eastAsia="Arial" w:hAnsi="Arial" w:cs="Arial"/>
          <w:color w:val="auto"/>
          <w:sz w:val="20"/>
          <w:szCs w:val="20"/>
          <w:lang w:val="en-GB"/>
        </w:rPr>
        <w:t xml:space="preserve">less </w:t>
      </w:r>
      <w:r w:rsidRPr="00306F4D">
        <w:rPr>
          <w:rFonts w:ascii="Arial" w:eastAsia="Arial" w:hAnsi="Arial" w:cs="Arial"/>
          <w:color w:val="auto"/>
          <w:sz w:val="20"/>
          <w:szCs w:val="20"/>
          <w:lang w:val="en-GB"/>
        </w:rPr>
        <w:t>accessible, and equity investments are rare. As a result, promising ideas struggle to progress beyond the conceptual phase, leaving significant adaptation potential untapped—particularly among non-traditional actors and community-based innovators.</w:t>
      </w:r>
    </w:p>
    <w:p w14:paraId="24482C45" w14:textId="1F3BC7A1" w:rsidR="6B5C5087" w:rsidRPr="00306F4D" w:rsidRDefault="67E75A08" w:rsidP="00413459">
      <w:pPr>
        <w:spacing w:before="240" w:after="240" w:line="276" w:lineRule="auto"/>
        <w:jc w:val="both"/>
        <w:rPr>
          <w:rFonts w:ascii="Arial" w:eastAsia="Arial" w:hAnsi="Arial" w:cs="Arial"/>
          <w:color w:val="auto"/>
          <w:sz w:val="20"/>
          <w:szCs w:val="20"/>
          <w:lang w:val="en-GB"/>
        </w:rPr>
      </w:pPr>
      <w:r w:rsidRPr="00306F4D">
        <w:rPr>
          <w:rFonts w:ascii="Arial" w:eastAsia="Arial" w:hAnsi="Arial" w:cs="Arial"/>
          <w:color w:val="auto"/>
          <w:sz w:val="20"/>
          <w:szCs w:val="20"/>
          <w:lang w:val="en-GB"/>
        </w:rPr>
        <w:t>This project will act as an incubator for locally led adaptation innovation, accelerating the development and scaling of context-specific solutions across the Western Balkans. By providing targeted small and medium-sized grants, it addresses a critical financing gap for early-stage and high-impact initiatives that typically fall outside the scope of traditional funding. In doing so, the project introduces clear additionality by enabling public finance to de-risk innovation where private capital remains limited. Beyond funding, the project will foster a collaborative platform for sharing lessons, showcasing best practices, and building networks—contributing to a growing regional and global knowledge base on effective adaptation.</w:t>
      </w:r>
    </w:p>
    <w:p w14:paraId="4EBBCE77" w14:textId="6DA84750" w:rsidR="6B5C5087" w:rsidRPr="00306F4D" w:rsidRDefault="7905C1C3" w:rsidP="00413459">
      <w:pPr>
        <w:spacing w:before="240" w:after="240" w:line="276" w:lineRule="auto"/>
        <w:jc w:val="both"/>
        <w:rPr>
          <w:rFonts w:ascii="Arial" w:eastAsia="Arial" w:hAnsi="Arial" w:cs="Arial"/>
          <w:b/>
          <w:bCs/>
          <w:color w:val="auto"/>
          <w:sz w:val="20"/>
          <w:szCs w:val="20"/>
        </w:rPr>
      </w:pPr>
      <w:r w:rsidRPr="00306F4D">
        <w:rPr>
          <w:rFonts w:ascii="Arial" w:eastAsia="Arial" w:hAnsi="Arial" w:cs="Arial"/>
          <w:color w:val="auto"/>
          <w:sz w:val="20"/>
          <w:szCs w:val="20"/>
          <w:lang w:val="en-GB"/>
        </w:rPr>
        <w:t xml:space="preserve">At the core of this outcome is a </w:t>
      </w:r>
      <w:r w:rsidRPr="00306F4D">
        <w:rPr>
          <w:rFonts w:ascii="Arial" w:eastAsia="Arial" w:hAnsi="Arial" w:cs="Arial"/>
          <w:b/>
          <w:bCs/>
          <w:color w:val="auto"/>
          <w:sz w:val="20"/>
          <w:szCs w:val="20"/>
          <w:lang w:val="en-GB"/>
        </w:rPr>
        <w:t>two-tiered funding structure</w:t>
      </w:r>
      <w:r w:rsidRPr="00306F4D">
        <w:rPr>
          <w:rFonts w:ascii="Arial" w:eastAsia="Arial" w:hAnsi="Arial" w:cs="Arial"/>
          <w:color w:val="auto"/>
          <w:sz w:val="20"/>
          <w:szCs w:val="20"/>
          <w:lang w:val="en-GB"/>
        </w:rPr>
        <w:t xml:space="preserve"> that supports the entire innovation lifecycle—from early-stage experimentation to the scaling of validated solutions. </w:t>
      </w:r>
      <w:r w:rsidR="74C1C1E9" w:rsidRPr="00306F4D">
        <w:rPr>
          <w:rFonts w:ascii="Arial" w:eastAsia="Arial" w:hAnsi="Arial" w:cs="Arial"/>
          <w:color w:val="auto"/>
          <w:sz w:val="20"/>
          <w:szCs w:val="20"/>
        </w:rPr>
        <w:t>This dual approach recognizes that genuine innovation requires supporting both emerging ideas and validated solutions, helping to foster a dynamic ecosystem that generates novel approaches while accelerating proven interventions</w:t>
      </w:r>
      <w:r w:rsidR="54CC39CD" w:rsidRPr="00306F4D">
        <w:rPr>
          <w:rFonts w:ascii="Arial" w:eastAsia="Arial" w:hAnsi="Arial" w:cs="Arial"/>
          <w:color w:val="auto"/>
          <w:sz w:val="20"/>
          <w:szCs w:val="20"/>
        </w:rPr>
        <w:t>:</w:t>
      </w:r>
    </w:p>
    <w:p w14:paraId="0C06EBE7" w14:textId="6EF034B9" w:rsidR="6B5C5087" w:rsidRPr="00306F4D" w:rsidRDefault="54CC39CD" w:rsidP="00413459">
      <w:pPr>
        <w:pStyle w:val="ListParagraph"/>
        <w:numPr>
          <w:ilvl w:val="0"/>
          <w:numId w:val="92"/>
        </w:numPr>
        <w:spacing w:before="240" w:after="240" w:line="276" w:lineRule="auto"/>
        <w:jc w:val="both"/>
        <w:rPr>
          <w:rFonts w:ascii="Arial" w:eastAsia="Arial" w:hAnsi="Arial" w:cs="Arial"/>
          <w:color w:val="auto"/>
          <w:sz w:val="20"/>
          <w:szCs w:val="20"/>
        </w:rPr>
      </w:pPr>
      <w:r w:rsidRPr="00306F4D">
        <w:rPr>
          <w:rFonts w:ascii="Arial" w:eastAsia="Arial" w:hAnsi="Arial" w:cs="Arial"/>
          <w:b/>
          <w:bCs/>
          <w:color w:val="auto"/>
          <w:sz w:val="20"/>
          <w:szCs w:val="20"/>
        </w:rPr>
        <w:t xml:space="preserve">Lot 1 – </w:t>
      </w:r>
      <w:r w:rsidR="008F114F" w:rsidRPr="00306F4D">
        <w:rPr>
          <w:rFonts w:ascii="Arial" w:eastAsia="Arial" w:hAnsi="Arial" w:cs="Arial"/>
          <w:b/>
          <w:bCs/>
          <w:color w:val="auto"/>
          <w:sz w:val="20"/>
          <w:szCs w:val="20"/>
        </w:rPr>
        <w:t>Grant</w:t>
      </w:r>
      <w:r w:rsidRPr="00306F4D">
        <w:rPr>
          <w:rFonts w:ascii="Arial" w:eastAsia="Arial" w:hAnsi="Arial" w:cs="Arial"/>
          <w:b/>
          <w:bCs/>
          <w:color w:val="auto"/>
          <w:sz w:val="20"/>
          <w:szCs w:val="20"/>
        </w:rPr>
        <w:t xml:space="preserve"> Funds for Innovation and Experimentation (USD 15,000 - USD 40,000). </w:t>
      </w:r>
      <w:r w:rsidRPr="00306F4D">
        <w:rPr>
          <w:rFonts w:ascii="Arial" w:eastAsia="Arial" w:hAnsi="Arial" w:cs="Arial"/>
          <w:color w:val="auto"/>
          <w:sz w:val="20"/>
          <w:szCs w:val="20"/>
        </w:rPr>
        <w:t>These smaller grants specifically target novel approaches, emerging technologies, or innovative business models with clear potential for climate adaptation impact. Priority will be given to:</w:t>
      </w:r>
    </w:p>
    <w:p w14:paraId="4094E748" w14:textId="4C436071" w:rsidR="6B5C5087" w:rsidRPr="00306F4D" w:rsidRDefault="54CC39CD" w:rsidP="00413459">
      <w:pPr>
        <w:pStyle w:val="ListParagraph"/>
        <w:numPr>
          <w:ilvl w:val="1"/>
          <w:numId w:val="92"/>
        </w:numPr>
        <w:spacing w:before="240" w:after="240" w:line="276" w:lineRule="auto"/>
        <w:jc w:val="both"/>
        <w:rPr>
          <w:rFonts w:ascii="Arial" w:eastAsia="Arial" w:hAnsi="Arial" w:cs="Arial"/>
          <w:b/>
          <w:bCs/>
          <w:color w:val="000000" w:themeColor="text1"/>
          <w:sz w:val="20"/>
          <w:szCs w:val="20"/>
        </w:rPr>
      </w:pPr>
      <w:r w:rsidRPr="00306F4D">
        <w:rPr>
          <w:rFonts w:ascii="Arial" w:eastAsia="Arial" w:hAnsi="Arial" w:cs="Arial"/>
          <w:color w:val="auto"/>
          <w:sz w:val="20"/>
          <w:szCs w:val="20"/>
        </w:rPr>
        <w:t>Untested but promising concepts that address adaptation challenges through new methodologies</w:t>
      </w:r>
    </w:p>
    <w:p w14:paraId="622226DA" w14:textId="77777777" w:rsidR="6B5C5087" w:rsidRPr="00306F4D" w:rsidRDefault="54CC39CD" w:rsidP="00DC620C">
      <w:pPr>
        <w:pStyle w:val="ListParagraph"/>
        <w:numPr>
          <w:ilvl w:val="1"/>
          <w:numId w:val="92"/>
        </w:numPr>
        <w:spacing w:before="240" w:after="240" w:line="276" w:lineRule="auto"/>
        <w:jc w:val="both"/>
        <w:rPr>
          <w:rFonts w:ascii="Arial" w:eastAsia="Arial" w:hAnsi="Arial" w:cs="Arial"/>
          <w:b/>
          <w:bCs/>
          <w:color w:val="000000" w:themeColor="text1"/>
          <w:sz w:val="20"/>
          <w:szCs w:val="20"/>
        </w:rPr>
      </w:pPr>
      <w:r w:rsidRPr="00306F4D">
        <w:rPr>
          <w:rFonts w:ascii="Arial" w:eastAsia="Arial" w:hAnsi="Arial" w:cs="Arial"/>
          <w:color w:val="auto"/>
          <w:sz w:val="20"/>
          <w:szCs w:val="20"/>
        </w:rPr>
        <w:t>Early-stage innovations from non-traditional actors or emerging organizations</w:t>
      </w:r>
    </w:p>
    <w:p w14:paraId="692F51EC" w14:textId="77777777" w:rsidR="6B5C5087" w:rsidRPr="00306F4D" w:rsidRDefault="54CC39CD" w:rsidP="00DC620C">
      <w:pPr>
        <w:pStyle w:val="ListParagraph"/>
        <w:numPr>
          <w:ilvl w:val="1"/>
          <w:numId w:val="92"/>
        </w:numPr>
        <w:spacing w:before="240" w:after="240" w:line="276" w:lineRule="auto"/>
        <w:jc w:val="both"/>
        <w:rPr>
          <w:rFonts w:ascii="Arial" w:eastAsia="Arial" w:hAnsi="Arial" w:cs="Arial"/>
          <w:b/>
          <w:bCs/>
          <w:color w:val="000000" w:themeColor="text1"/>
          <w:sz w:val="20"/>
          <w:szCs w:val="20"/>
        </w:rPr>
      </w:pPr>
      <w:r w:rsidRPr="00306F4D">
        <w:rPr>
          <w:rFonts w:ascii="Arial" w:eastAsia="Arial" w:hAnsi="Arial" w:cs="Arial"/>
          <w:color w:val="auto"/>
          <w:sz w:val="20"/>
          <w:szCs w:val="20"/>
        </w:rPr>
        <w:t>Experimental approaches that challenge conventional adaptation practices</w:t>
      </w:r>
    </w:p>
    <w:p w14:paraId="66758436" w14:textId="77777777" w:rsidR="6B5C5087" w:rsidRPr="00306F4D" w:rsidRDefault="54CC39CD" w:rsidP="00DC620C">
      <w:pPr>
        <w:pStyle w:val="ListParagraph"/>
        <w:numPr>
          <w:ilvl w:val="1"/>
          <w:numId w:val="92"/>
        </w:numPr>
        <w:spacing w:before="240" w:after="240" w:line="276" w:lineRule="auto"/>
        <w:jc w:val="both"/>
        <w:rPr>
          <w:rFonts w:ascii="Arial" w:eastAsia="Arial" w:hAnsi="Arial" w:cs="Arial"/>
          <w:b/>
          <w:bCs/>
          <w:color w:val="000000" w:themeColor="text1"/>
          <w:sz w:val="20"/>
          <w:szCs w:val="20"/>
        </w:rPr>
      </w:pPr>
      <w:r w:rsidRPr="00306F4D">
        <w:rPr>
          <w:rFonts w:ascii="Arial" w:eastAsia="Arial" w:hAnsi="Arial" w:cs="Arial"/>
          <w:color w:val="auto"/>
          <w:sz w:val="20"/>
          <w:szCs w:val="20"/>
        </w:rPr>
        <w:t>Solutions that demonstrate potential for breakthrough impact despite limited track records</w:t>
      </w:r>
    </w:p>
    <w:p w14:paraId="254D050E" w14:textId="02E676BF" w:rsidR="6B5C5087" w:rsidRPr="00306F4D" w:rsidRDefault="6B5C5087" w:rsidP="00413459">
      <w:pPr>
        <w:pStyle w:val="ListParagraph"/>
        <w:spacing w:before="240" w:after="240" w:line="276" w:lineRule="auto"/>
        <w:ind w:left="1440"/>
        <w:jc w:val="both"/>
        <w:rPr>
          <w:rFonts w:ascii="Arial" w:eastAsia="Arial" w:hAnsi="Arial" w:cs="Arial"/>
          <w:color w:val="FF0000"/>
          <w:sz w:val="20"/>
          <w:szCs w:val="20"/>
          <w:lang w:val="en-GB"/>
        </w:rPr>
      </w:pPr>
    </w:p>
    <w:p w14:paraId="5B49071E" w14:textId="33E95817" w:rsidR="6B5C5087" w:rsidRPr="00306F4D" w:rsidRDefault="54CC39CD" w:rsidP="00413459">
      <w:pPr>
        <w:pStyle w:val="ListParagraph"/>
        <w:numPr>
          <w:ilvl w:val="0"/>
          <w:numId w:val="92"/>
        </w:numPr>
        <w:spacing w:before="240" w:after="240" w:line="276" w:lineRule="auto"/>
        <w:jc w:val="both"/>
        <w:rPr>
          <w:rFonts w:ascii="Arial" w:eastAsia="Arial" w:hAnsi="Arial" w:cs="Arial"/>
          <w:b/>
          <w:bCs/>
          <w:color w:val="000000" w:themeColor="text1"/>
          <w:sz w:val="20"/>
          <w:szCs w:val="20"/>
        </w:rPr>
      </w:pPr>
      <w:r w:rsidRPr="00306F4D">
        <w:rPr>
          <w:rFonts w:ascii="Arial" w:eastAsia="Arial" w:hAnsi="Arial" w:cs="Arial"/>
          <w:b/>
          <w:bCs/>
          <w:color w:val="auto"/>
          <w:sz w:val="20"/>
          <w:szCs w:val="20"/>
        </w:rPr>
        <w:t xml:space="preserve">Lot 2 - Scaling Grants for Proven Solutions (USD 40,000 - USD 150,000). </w:t>
      </w:r>
      <w:r w:rsidRPr="00306F4D">
        <w:rPr>
          <w:rFonts w:ascii="Arial" w:eastAsia="Arial" w:hAnsi="Arial" w:cs="Arial"/>
          <w:color w:val="auto"/>
          <w:sz w:val="20"/>
          <w:szCs w:val="20"/>
        </w:rPr>
        <w:t>These larger grants support the expansion or replication of solutions that have demonstrated early results and pathways to scale. Focus areas include</w:t>
      </w:r>
      <w:r w:rsidRPr="00306F4D">
        <w:rPr>
          <w:rFonts w:ascii="Arial" w:eastAsia="Arial" w:hAnsi="Arial" w:cs="Arial"/>
          <w:b/>
          <w:bCs/>
          <w:color w:val="auto"/>
          <w:sz w:val="20"/>
          <w:szCs w:val="20"/>
        </w:rPr>
        <w:t>:</w:t>
      </w:r>
    </w:p>
    <w:p w14:paraId="78135C56" w14:textId="338A533D" w:rsidR="6B5C5087" w:rsidRPr="00306F4D" w:rsidRDefault="54CC39CD" w:rsidP="00DC620C">
      <w:pPr>
        <w:pStyle w:val="ListParagraph"/>
        <w:numPr>
          <w:ilvl w:val="1"/>
          <w:numId w:val="92"/>
        </w:numPr>
        <w:spacing w:before="240" w:after="240" w:line="276" w:lineRule="auto"/>
        <w:jc w:val="both"/>
        <w:rPr>
          <w:rFonts w:ascii="Arial" w:eastAsia="Arial" w:hAnsi="Arial" w:cs="Arial"/>
          <w:color w:val="000000" w:themeColor="text1"/>
          <w:sz w:val="20"/>
          <w:szCs w:val="20"/>
        </w:rPr>
      </w:pPr>
      <w:r w:rsidRPr="00306F4D">
        <w:rPr>
          <w:rFonts w:ascii="Arial" w:eastAsia="Arial" w:hAnsi="Arial" w:cs="Arial"/>
          <w:color w:val="auto"/>
          <w:sz w:val="20"/>
          <w:szCs w:val="20"/>
        </w:rPr>
        <w:t>Validated approaches ready for geographic expansion, replication or deeper implementation</w:t>
      </w:r>
    </w:p>
    <w:p w14:paraId="51478706" w14:textId="77777777" w:rsidR="6B5C5087" w:rsidRPr="00306F4D" w:rsidRDefault="54CC39CD" w:rsidP="00DC620C">
      <w:pPr>
        <w:pStyle w:val="ListParagraph"/>
        <w:numPr>
          <w:ilvl w:val="1"/>
          <w:numId w:val="92"/>
        </w:numPr>
        <w:spacing w:before="240" w:after="240" w:line="276" w:lineRule="auto"/>
        <w:jc w:val="both"/>
        <w:rPr>
          <w:rFonts w:ascii="Arial" w:eastAsia="Arial" w:hAnsi="Arial" w:cs="Arial"/>
          <w:color w:val="000000" w:themeColor="text1"/>
          <w:sz w:val="20"/>
          <w:szCs w:val="20"/>
        </w:rPr>
      </w:pPr>
      <w:r w:rsidRPr="00306F4D">
        <w:rPr>
          <w:rFonts w:ascii="Arial" w:eastAsia="Arial" w:hAnsi="Arial" w:cs="Arial"/>
          <w:color w:val="auto"/>
          <w:sz w:val="20"/>
          <w:szCs w:val="20"/>
        </w:rPr>
        <w:t>Proven technologies or methodologies requiring support for broader adoption</w:t>
      </w:r>
    </w:p>
    <w:p w14:paraId="418A8B1B" w14:textId="16469EA8" w:rsidR="6B5C5087" w:rsidRPr="00306F4D" w:rsidRDefault="54CC39CD" w:rsidP="00DC620C">
      <w:pPr>
        <w:pStyle w:val="ListParagraph"/>
        <w:numPr>
          <w:ilvl w:val="1"/>
          <w:numId w:val="92"/>
        </w:numPr>
        <w:spacing w:before="240" w:after="240" w:line="276" w:lineRule="auto"/>
        <w:jc w:val="both"/>
        <w:rPr>
          <w:rFonts w:ascii="Arial" w:eastAsia="Arial" w:hAnsi="Arial" w:cs="Arial"/>
          <w:color w:val="000000" w:themeColor="text1"/>
          <w:sz w:val="20"/>
          <w:szCs w:val="20"/>
        </w:rPr>
      </w:pPr>
      <w:r w:rsidRPr="00306F4D">
        <w:rPr>
          <w:rFonts w:ascii="Arial" w:eastAsia="Arial" w:hAnsi="Arial" w:cs="Arial"/>
          <w:color w:val="auto"/>
          <w:sz w:val="20"/>
          <w:szCs w:val="20"/>
        </w:rPr>
        <w:t>Successful pilot initiatives with documented results and scaling potential</w:t>
      </w:r>
    </w:p>
    <w:p w14:paraId="72691B82" w14:textId="2A45E591" w:rsidR="6B5C5087" w:rsidRPr="00306F4D" w:rsidRDefault="54CC39CD" w:rsidP="4186447D">
      <w:pPr>
        <w:spacing w:before="240" w:after="240" w:line="276" w:lineRule="auto"/>
        <w:jc w:val="both"/>
        <w:rPr>
          <w:rFonts w:ascii="Arial" w:eastAsia="Arial" w:hAnsi="Arial" w:cs="Arial"/>
          <w:color w:val="auto"/>
          <w:sz w:val="20"/>
          <w:szCs w:val="20"/>
        </w:rPr>
      </w:pPr>
      <w:r w:rsidRPr="00306F4D">
        <w:rPr>
          <w:rFonts w:ascii="Arial" w:eastAsia="Arial" w:hAnsi="Arial" w:cs="Arial"/>
          <w:color w:val="auto"/>
          <w:sz w:val="20"/>
          <w:szCs w:val="20"/>
        </w:rPr>
        <w:t>By supporting both experimentation and scaling, the project aims to create an innovation facility for climate adaptation that can attract additional funding sources beyond the Adaptation Fund. This facility will act as a dynamic platform for generating, testing, and scaling new solutions, building a pipeline of innovations that can leverage diverse funding mechanisms and create sustained impact across the Western Balkans region.</w:t>
      </w:r>
    </w:p>
    <w:p w14:paraId="0CD5918B" w14:textId="4FC0DCFE" w:rsidR="6B5C5087" w:rsidRPr="00306F4D" w:rsidRDefault="37E7F286" w:rsidP="00413459">
      <w:pPr>
        <w:spacing w:before="240" w:after="240" w:line="276" w:lineRule="auto"/>
        <w:jc w:val="both"/>
        <w:rPr>
          <w:rFonts w:ascii="Arial" w:eastAsia="Arial" w:hAnsi="Arial" w:cs="Arial"/>
          <w:color w:val="auto"/>
          <w:sz w:val="20"/>
          <w:szCs w:val="20"/>
          <w:lang w:val="en-GB"/>
        </w:rPr>
      </w:pPr>
      <w:r w:rsidRPr="00306F4D">
        <w:rPr>
          <w:rFonts w:ascii="Arial" w:eastAsia="Arial" w:hAnsi="Arial" w:cs="Arial"/>
          <w:color w:val="auto"/>
          <w:sz w:val="20"/>
          <w:szCs w:val="20"/>
          <w:lang w:val="en-GB"/>
        </w:rPr>
        <w:t>Priority will be given to initiatives that demonstrate clear benefits for vulnerable populations, especially women and marginalized communities, and that show credible pathways to sustainability and replication.</w:t>
      </w:r>
    </w:p>
    <w:p w14:paraId="43AE269A" w14:textId="695E6534" w:rsidR="6B5C5087" w:rsidRPr="00306F4D" w:rsidRDefault="2082BE6C" w:rsidP="00413459">
      <w:pPr>
        <w:spacing w:after="120" w:line="276" w:lineRule="auto"/>
        <w:jc w:val="both"/>
        <w:rPr>
          <w:rFonts w:ascii="Arial" w:eastAsia="Arial" w:hAnsi="Arial" w:cs="Arial"/>
          <w:color w:val="auto"/>
          <w:sz w:val="20"/>
          <w:szCs w:val="20"/>
        </w:rPr>
      </w:pPr>
      <w:r w:rsidRPr="00306F4D">
        <w:rPr>
          <w:rFonts w:ascii="Arial" w:eastAsia="Arial" w:hAnsi="Arial" w:cs="Arial"/>
          <w:color w:val="auto"/>
          <w:sz w:val="20"/>
          <w:szCs w:val="20"/>
          <w:lang w:val="en-GB"/>
        </w:rPr>
        <w:t>Grant agreements will be designed using fit-for-purpose UNDP modalities suited to the nature of recipient organizations (e.g., CSOs, cooperatives, SMEs), ensuring both compliance and flexibility</w:t>
      </w:r>
      <w:r w:rsidR="3409A9C1" w:rsidRPr="00306F4D">
        <w:rPr>
          <w:rFonts w:ascii="Arial" w:eastAsia="Arial" w:hAnsi="Arial" w:cs="Arial"/>
          <w:color w:val="auto"/>
          <w:sz w:val="20"/>
          <w:szCs w:val="20"/>
          <w:lang w:val="en-GB"/>
        </w:rPr>
        <w:t xml:space="preserve"> </w:t>
      </w:r>
      <w:r w:rsidR="3409A9C1" w:rsidRPr="00306F4D">
        <w:rPr>
          <w:rFonts w:ascii="Arial" w:eastAsia="Arial" w:hAnsi="Arial" w:cs="Arial"/>
          <w:color w:val="auto"/>
          <w:sz w:val="20"/>
          <w:szCs w:val="20"/>
        </w:rPr>
        <w:t>to support diverse innovation actors</w:t>
      </w:r>
      <w:r w:rsidRPr="00306F4D">
        <w:rPr>
          <w:rFonts w:ascii="Arial" w:eastAsia="Arial" w:hAnsi="Arial" w:cs="Arial"/>
          <w:color w:val="auto"/>
          <w:sz w:val="20"/>
          <w:szCs w:val="20"/>
          <w:lang w:val="en-GB"/>
        </w:rPr>
        <w:t xml:space="preserve">. </w:t>
      </w:r>
      <w:r w:rsidR="7A9512DF" w:rsidRPr="00306F4D">
        <w:rPr>
          <w:rFonts w:ascii="Arial" w:eastAsia="Arial" w:hAnsi="Arial" w:cs="Arial"/>
          <w:color w:val="auto"/>
          <w:sz w:val="20"/>
          <w:szCs w:val="20"/>
        </w:rPr>
        <w:t>Performance-based disbursement mechanisms will be employed where appropriate, linking funding to achievement of specific milestones and learning objectives that contribute to both individual project success and broader ecosystem knowledge generation.</w:t>
      </w:r>
    </w:p>
    <w:p w14:paraId="1FD73031" w14:textId="74180318" w:rsidR="6B5C5087" w:rsidRPr="00306F4D" w:rsidRDefault="0B7A0759" w:rsidP="00413459">
      <w:pPr>
        <w:jc w:val="both"/>
        <w:rPr>
          <w:rFonts w:ascii="Arial" w:eastAsia="Arial" w:hAnsi="Arial" w:cs="Arial"/>
          <w:sz w:val="20"/>
          <w:szCs w:val="20"/>
          <w:u w:val="single"/>
          <w:lang w:val="en-GB"/>
        </w:rPr>
      </w:pPr>
      <w:r w:rsidRPr="00306F4D">
        <w:rPr>
          <w:rFonts w:ascii="Arial" w:eastAsia="Arial" w:hAnsi="Arial" w:cs="Arial"/>
          <w:sz w:val="20"/>
          <w:szCs w:val="20"/>
          <w:u w:val="single"/>
          <w:lang w:val="en-GB"/>
        </w:rPr>
        <w:t>Outcome 2:</w:t>
      </w:r>
      <w:r w:rsidR="59538A69" w:rsidRPr="00306F4D">
        <w:rPr>
          <w:rFonts w:ascii="Arial" w:eastAsia="Arial" w:hAnsi="Arial" w:cs="Arial"/>
          <w:sz w:val="20"/>
          <w:szCs w:val="20"/>
          <w:u w:val="single"/>
          <w:lang w:val="en-GB"/>
        </w:rPr>
        <w:t xml:space="preserve"> Additionality</w:t>
      </w:r>
    </w:p>
    <w:p w14:paraId="5369AEC5" w14:textId="039CC75B" w:rsidR="0D1F5B1B" w:rsidRPr="00306F4D" w:rsidRDefault="0D1F5B1B" w:rsidP="4186447D">
      <w:pPr>
        <w:spacing w:before="240" w:after="240"/>
        <w:jc w:val="both"/>
        <w:rPr>
          <w:rFonts w:ascii="Arial" w:eastAsia="Arial" w:hAnsi="Arial" w:cs="Arial"/>
          <w:color w:val="auto"/>
          <w:sz w:val="20"/>
          <w:szCs w:val="20"/>
          <w:lang w:val="en-GB"/>
        </w:rPr>
      </w:pPr>
      <w:r w:rsidRPr="00306F4D">
        <w:rPr>
          <w:rFonts w:ascii="Arial" w:eastAsia="Arial" w:hAnsi="Arial" w:cs="Arial"/>
          <w:color w:val="auto"/>
          <w:sz w:val="20"/>
          <w:szCs w:val="20"/>
          <w:lang w:val="en-GB"/>
        </w:rPr>
        <w:lastRenderedPageBreak/>
        <w:t>In the baseline scenario, early-stage adaptation innovations in the Western Balkans struggle to mature due to limited access to tailored business development support. Most locally led initiatives—particularly those led by CSOs, cooperatives, or SMEs—are perceived as high-risk, lack investment readiness, and face barriers in accessing conventional financing. Available public or private support for business development is rarely directed toward adaptation-focused ventures, which are often more complex, less profitable in the short term, and require dedicated technical assistance, mentoring, and financial planning to become viable and scalable.</w:t>
      </w:r>
    </w:p>
    <w:p w14:paraId="22675081" w14:textId="316CAEE7" w:rsidR="0D1F5B1B" w:rsidRPr="00306F4D" w:rsidRDefault="0D1F5B1B" w:rsidP="4186447D">
      <w:pPr>
        <w:spacing w:before="240" w:after="240"/>
        <w:jc w:val="both"/>
        <w:rPr>
          <w:rFonts w:ascii="Arial" w:eastAsia="Arial" w:hAnsi="Arial" w:cs="Arial"/>
          <w:color w:val="auto"/>
          <w:sz w:val="20"/>
          <w:szCs w:val="20"/>
          <w:lang w:val="en-GB"/>
        </w:rPr>
      </w:pPr>
      <w:r w:rsidRPr="00306F4D">
        <w:rPr>
          <w:rFonts w:ascii="Arial" w:eastAsia="Arial" w:hAnsi="Arial" w:cs="Arial"/>
          <w:color w:val="auto"/>
          <w:sz w:val="20"/>
          <w:szCs w:val="20"/>
          <w:lang w:val="en-GB"/>
        </w:rPr>
        <w:t xml:space="preserve">The </w:t>
      </w:r>
      <w:r w:rsidR="1101F016" w:rsidRPr="00306F4D">
        <w:rPr>
          <w:rFonts w:ascii="Arial" w:eastAsia="Arial" w:hAnsi="Arial" w:cs="Arial"/>
          <w:color w:val="auto"/>
          <w:sz w:val="20"/>
          <w:szCs w:val="20"/>
          <w:lang w:val="en-GB"/>
        </w:rPr>
        <w:t>regional</w:t>
      </w:r>
      <w:r w:rsidRPr="00306F4D">
        <w:rPr>
          <w:rFonts w:ascii="Arial" w:eastAsia="Arial" w:hAnsi="Arial" w:cs="Arial"/>
          <w:color w:val="auto"/>
          <w:sz w:val="20"/>
          <w:szCs w:val="20"/>
          <w:lang w:val="en-GB"/>
        </w:rPr>
        <w:t xml:space="preserve"> project introduces clear additionality by providing targeted business development support specifically designed for climate adaptation innovations. Through tailored technical assistance—including business model refinement, financial planning, and market access strategies—the project will bridge the gap between promising ideas and scalable adaptation solutions</w:t>
      </w:r>
      <w:r w:rsidR="22B053FD" w:rsidRPr="00306F4D">
        <w:rPr>
          <w:rFonts w:ascii="Arial" w:eastAsia="Arial" w:hAnsi="Arial" w:cs="Arial"/>
          <w:color w:val="auto"/>
          <w:sz w:val="20"/>
          <w:szCs w:val="20"/>
          <w:lang w:val="en-GB"/>
        </w:rPr>
        <w:t>- —enabling innovators to transition from early-stage ideas to viable, investable adaptation solutions.</w:t>
      </w:r>
      <w:r w:rsidRPr="00306F4D">
        <w:rPr>
          <w:rFonts w:ascii="Arial" w:eastAsia="Arial" w:hAnsi="Arial" w:cs="Arial"/>
          <w:color w:val="auto"/>
          <w:sz w:val="20"/>
          <w:szCs w:val="20"/>
          <w:lang w:val="en-GB"/>
        </w:rPr>
        <w:t xml:space="preserve"> This support will enable local actors to strengthen their operational models, enhance investment readiness, and position themselves to attract both public and private funding, which would otherwise remain out of reach.</w:t>
      </w:r>
      <w:r w:rsidR="14198964" w:rsidRPr="00306F4D">
        <w:rPr>
          <w:rFonts w:ascii="Arial" w:eastAsia="Arial" w:hAnsi="Arial" w:cs="Arial"/>
          <w:color w:val="auto"/>
          <w:sz w:val="20"/>
          <w:szCs w:val="20"/>
          <w:lang w:val="en-GB"/>
        </w:rPr>
        <w:t xml:space="preserve"> This approach is in line with UNDP's broader mission to eradicate poverty, reduce inequalities, and build resilience to climate change impacts. The project will ensure that no one is left behind in the face of climate change, fostering sustainable, scalable, and inclusive adaptation solutions across the Western Balkans.</w:t>
      </w:r>
    </w:p>
    <w:p w14:paraId="7ED0DE01" w14:textId="1A8E830E" w:rsidR="329DA422" w:rsidRPr="00306F4D" w:rsidRDefault="329DA422" w:rsidP="4186447D">
      <w:pPr>
        <w:spacing w:before="40" w:after="0" w:line="276" w:lineRule="auto"/>
        <w:jc w:val="both"/>
        <w:rPr>
          <w:rFonts w:ascii="Arial" w:eastAsia="Arial" w:hAnsi="Arial" w:cs="Arial"/>
          <w:color w:val="auto"/>
          <w:sz w:val="20"/>
          <w:szCs w:val="20"/>
          <w:lang w:val="en-GB"/>
        </w:rPr>
      </w:pPr>
      <w:r w:rsidRPr="00306F4D">
        <w:rPr>
          <w:rFonts w:ascii="Arial" w:eastAsia="Arial" w:hAnsi="Arial" w:cs="Arial"/>
          <w:color w:val="auto"/>
          <w:sz w:val="20"/>
          <w:szCs w:val="20"/>
          <w:lang w:val="en-GB"/>
        </w:rPr>
        <w:t xml:space="preserve">This approach not only enhances the financial and operational sustainability of supported initiatives but also contributes to a broader shift toward systems-level resilience. By helping local actors become more attractive to both public and private funders, the project will </w:t>
      </w:r>
      <w:r w:rsidR="007A745B" w:rsidRPr="00306F4D">
        <w:rPr>
          <w:rFonts w:ascii="Arial" w:eastAsia="Arial" w:hAnsi="Arial" w:cs="Arial"/>
          <w:color w:val="auto"/>
          <w:sz w:val="20"/>
          <w:szCs w:val="20"/>
          <w:lang w:val="en-GB"/>
        </w:rPr>
        <w:t>catalyse</w:t>
      </w:r>
      <w:r w:rsidRPr="00306F4D">
        <w:rPr>
          <w:rFonts w:ascii="Arial" w:eastAsia="Arial" w:hAnsi="Arial" w:cs="Arial"/>
          <w:color w:val="auto"/>
          <w:sz w:val="20"/>
          <w:szCs w:val="20"/>
          <w:lang w:val="en-GB"/>
        </w:rPr>
        <w:t xml:space="preserve"> a pipeline of inclusive, scalable adaptation solutions that would otherwise remain overlooked.</w:t>
      </w:r>
      <w:r w:rsidR="3C4988DE" w:rsidRPr="00306F4D">
        <w:rPr>
          <w:rFonts w:ascii="Arial" w:eastAsia="Arial" w:hAnsi="Arial" w:cs="Arial"/>
          <w:color w:val="auto"/>
          <w:sz w:val="20"/>
          <w:szCs w:val="20"/>
          <w:lang w:val="en-GB"/>
        </w:rPr>
        <w:t xml:space="preserve"> </w:t>
      </w:r>
      <w:r w:rsidR="4186447D" w:rsidRPr="00306F4D">
        <w:rPr>
          <w:rFonts w:ascii="Arial" w:eastAsia="Arial" w:hAnsi="Arial" w:cs="Arial"/>
          <w:color w:val="auto"/>
          <w:sz w:val="20"/>
          <w:szCs w:val="20"/>
          <w:lang w:val="en-GB"/>
        </w:rPr>
        <w:t>The Regional Project will catalyse the growth of early-stage, innovative adaptation solutions, providing tailored business development assistance that bridges the gap between innovation and scalable financial structures, ultimately driving broader, impactful deployment of adaptation solutions.</w:t>
      </w:r>
    </w:p>
    <w:p w14:paraId="130F52B6" w14:textId="3481CE26" w:rsidR="4186447D" w:rsidRPr="00306F4D" w:rsidRDefault="4186447D" w:rsidP="4186447D">
      <w:pPr>
        <w:spacing w:before="40" w:after="0" w:line="276" w:lineRule="auto"/>
        <w:jc w:val="both"/>
        <w:rPr>
          <w:rFonts w:ascii="Arial" w:eastAsia="Arial" w:hAnsi="Arial" w:cs="Arial"/>
          <w:color w:val="auto"/>
          <w:sz w:val="20"/>
          <w:szCs w:val="20"/>
          <w:lang w:val="en-GB"/>
        </w:rPr>
      </w:pPr>
    </w:p>
    <w:p w14:paraId="37D4B91C" w14:textId="766313CE" w:rsidR="61EB75F1" w:rsidRPr="00306F4D" w:rsidRDefault="61EB75F1" w:rsidP="4186447D">
      <w:pPr>
        <w:spacing w:before="40" w:after="0" w:line="276" w:lineRule="auto"/>
        <w:jc w:val="both"/>
        <w:rPr>
          <w:rFonts w:ascii="Arial" w:eastAsia="Arial" w:hAnsi="Arial" w:cs="Arial"/>
          <w:color w:val="auto"/>
          <w:sz w:val="20"/>
          <w:szCs w:val="20"/>
          <w:lang w:val="en-GB"/>
        </w:rPr>
      </w:pPr>
      <w:r w:rsidRPr="00306F4D">
        <w:rPr>
          <w:rFonts w:ascii="Arial" w:eastAsia="Arial" w:hAnsi="Arial" w:cs="Arial"/>
          <w:color w:val="auto"/>
          <w:sz w:val="20"/>
          <w:szCs w:val="20"/>
          <w:lang w:val="en-GB"/>
        </w:rPr>
        <w:t xml:space="preserve">The Regional Project will maximize impact by leveraging existing resources, structures, and partnerships. Collaborations with development partners and community of UNDP offices in the Western Balkans, who have extensive experience in working with vulnerable groups, will be integral to the project’s success. These partners have shown strong support for the project concept and bring valuable expertise in adaptation finance and innovation. Additionally, the project will align with ongoing UNDP initiatives in the region, ensuring complementarity and avoiding duplication of efforts. Close coordination and consultation with other organizations and program focal points in the region will be prioritized during the design, implementation, and monitoring phases to enhance efficiency and maximize impact. </w:t>
      </w:r>
    </w:p>
    <w:p w14:paraId="03F72BB8" w14:textId="28DF55DC" w:rsidR="0D1F5B1B" w:rsidRPr="00306F4D" w:rsidRDefault="0D1F5B1B" w:rsidP="4186447D">
      <w:pPr>
        <w:spacing w:before="240" w:after="240"/>
        <w:jc w:val="both"/>
        <w:rPr>
          <w:rFonts w:ascii="Arial" w:eastAsia="Arial" w:hAnsi="Arial" w:cs="Arial"/>
          <w:color w:val="auto"/>
          <w:sz w:val="20"/>
          <w:szCs w:val="20"/>
          <w:lang w:val="en-GB"/>
        </w:rPr>
      </w:pPr>
      <w:r w:rsidRPr="00306F4D">
        <w:rPr>
          <w:rFonts w:ascii="Arial" w:eastAsia="Arial" w:hAnsi="Arial" w:cs="Arial"/>
          <w:color w:val="auto"/>
          <w:sz w:val="20"/>
          <w:szCs w:val="20"/>
          <w:lang w:val="en-GB"/>
        </w:rPr>
        <w:t xml:space="preserve">In doing so, the project offers a tangible adaptation alternative—one that strengthens the enabling environment for inclusive, resilient innovation and ensures that locally driven solutions can progress from pilot stage to transformative impact. </w:t>
      </w:r>
    </w:p>
    <w:p w14:paraId="3F2963D8" w14:textId="2FBE879C" w:rsidR="1A060019" w:rsidRPr="00306F4D" w:rsidRDefault="0D303434" w:rsidP="4186447D">
      <w:pPr>
        <w:tabs>
          <w:tab w:val="left" w:pos="360"/>
        </w:tabs>
        <w:spacing w:before="120" w:after="240"/>
        <w:jc w:val="both"/>
        <w:rPr>
          <w:rFonts w:ascii="Arial" w:eastAsia="Arial" w:hAnsi="Arial" w:cs="Arial"/>
          <w:color w:val="auto"/>
          <w:sz w:val="20"/>
          <w:szCs w:val="20"/>
          <w:u w:val="single"/>
          <w:lang w:val="en-GB"/>
        </w:rPr>
      </w:pPr>
      <w:r w:rsidRPr="00306F4D">
        <w:rPr>
          <w:rFonts w:ascii="Arial" w:eastAsia="Arial" w:hAnsi="Arial" w:cs="Arial"/>
          <w:color w:val="auto"/>
          <w:sz w:val="20"/>
          <w:szCs w:val="20"/>
          <w:u w:val="single"/>
          <w:lang w:val="en-GB"/>
        </w:rPr>
        <w:t>Outcome 3: Additionality</w:t>
      </w:r>
    </w:p>
    <w:p w14:paraId="42754E26" w14:textId="33014C97" w:rsidR="45754647" w:rsidRPr="00306F4D" w:rsidRDefault="45754647" w:rsidP="00413459">
      <w:pPr>
        <w:spacing w:before="240" w:after="240"/>
        <w:jc w:val="both"/>
        <w:rPr>
          <w:rFonts w:ascii="Arial" w:eastAsia="Arial" w:hAnsi="Arial" w:cs="Arial"/>
          <w:color w:val="auto"/>
          <w:sz w:val="20"/>
          <w:szCs w:val="20"/>
        </w:rPr>
      </w:pPr>
      <w:r w:rsidRPr="00306F4D">
        <w:rPr>
          <w:rFonts w:ascii="Arial" w:eastAsia="Arial" w:hAnsi="Arial" w:cs="Arial"/>
          <w:color w:val="auto"/>
          <w:sz w:val="20"/>
          <w:szCs w:val="20"/>
        </w:rPr>
        <w:t>In the Western Balkans, the full cost of achieving effective, inclusive, and scalable climate adaptation goes well beyond financing individual projects or technologies. A critical and often underfunded component is the knowledge infrastructure required to ensure that locally led innovations are systematically captured, shared, and scaled across borders. In the baseline scenario, community-level adaptation solutions remain fragmented and isolated. Valuable lessons from local innovation rarely move beyond their immediate context due to the absence of structured mechanisms for documentation, peer learning, and policy feedback. This severely limits the region’s ability to scale what works and build institutional memory around effective climate responses.</w:t>
      </w:r>
    </w:p>
    <w:p w14:paraId="180ACB33" w14:textId="0EE00626" w:rsidR="45754647" w:rsidRPr="00306F4D" w:rsidRDefault="5F8B1178" w:rsidP="00413459">
      <w:pPr>
        <w:spacing w:before="240" w:after="240"/>
        <w:jc w:val="both"/>
        <w:rPr>
          <w:rFonts w:ascii="Arial" w:eastAsia="Arial" w:hAnsi="Arial" w:cs="Arial"/>
          <w:color w:val="auto"/>
          <w:sz w:val="20"/>
          <w:szCs w:val="20"/>
        </w:rPr>
      </w:pPr>
      <w:r w:rsidRPr="00306F4D">
        <w:rPr>
          <w:rFonts w:ascii="Arial" w:eastAsia="Arial" w:hAnsi="Arial" w:cs="Arial"/>
          <w:color w:val="auto"/>
          <w:sz w:val="20"/>
          <w:szCs w:val="20"/>
        </w:rPr>
        <w:t>The</w:t>
      </w:r>
      <w:r w:rsidR="62DC5414" w:rsidRPr="00306F4D">
        <w:rPr>
          <w:rFonts w:ascii="Arial" w:eastAsia="Arial" w:hAnsi="Arial" w:cs="Arial"/>
          <w:color w:val="auto"/>
          <w:sz w:val="20"/>
          <w:szCs w:val="20"/>
        </w:rPr>
        <w:t xml:space="preserve"> </w:t>
      </w:r>
      <w:r w:rsidRPr="00306F4D">
        <w:rPr>
          <w:rFonts w:ascii="Arial" w:eastAsia="Arial" w:hAnsi="Arial" w:cs="Arial"/>
          <w:color w:val="auto"/>
          <w:sz w:val="20"/>
          <w:szCs w:val="20"/>
        </w:rPr>
        <w:t xml:space="preserve">regional project addresses this systemic gap by investing in the enabling conditions that are essential to unlock the full value of locally led adaptation. </w:t>
      </w:r>
      <w:r w:rsidR="03C6C01E" w:rsidRPr="00306F4D">
        <w:rPr>
          <w:rFonts w:ascii="Arial" w:eastAsia="Arial" w:hAnsi="Arial" w:cs="Arial"/>
          <w:color w:val="auto"/>
          <w:sz w:val="20"/>
          <w:szCs w:val="20"/>
        </w:rPr>
        <w:t>The requested funding is justified as it covers core costs that are not supported extensively</w:t>
      </w:r>
      <w:r w:rsidR="7AB22B44" w:rsidRPr="00306F4D">
        <w:rPr>
          <w:rFonts w:ascii="Arial" w:eastAsia="Arial" w:hAnsi="Arial" w:cs="Arial"/>
          <w:color w:val="auto"/>
          <w:sz w:val="20"/>
          <w:szCs w:val="20"/>
        </w:rPr>
        <w:t xml:space="preserve"> </w:t>
      </w:r>
      <w:r w:rsidR="03C6C01E" w:rsidRPr="00306F4D">
        <w:rPr>
          <w:rFonts w:ascii="Arial" w:eastAsia="Arial" w:hAnsi="Arial" w:cs="Arial"/>
          <w:color w:val="auto"/>
          <w:sz w:val="20"/>
          <w:szCs w:val="20"/>
        </w:rPr>
        <w:t xml:space="preserve">including targeted technical assistance, capacity development, cross-border peer learning, </w:t>
      </w:r>
      <w:r w:rsidR="03C6C01E" w:rsidRPr="00306F4D">
        <w:rPr>
          <w:rFonts w:ascii="Arial" w:eastAsia="Arial" w:hAnsi="Arial" w:cs="Arial"/>
          <w:color w:val="auto"/>
          <w:sz w:val="20"/>
          <w:szCs w:val="20"/>
        </w:rPr>
        <w:lastRenderedPageBreak/>
        <w:t>and strategic knowledge dissemination. These are necessary for creating the ecosystem conditions in which adaptation innovations can be sustained, replicated, and integrated into broader development strategies.</w:t>
      </w:r>
    </w:p>
    <w:p w14:paraId="329996AE" w14:textId="29DB11A9" w:rsidR="0E89D647" w:rsidRPr="00306F4D" w:rsidRDefault="03C6C01E" w:rsidP="00413459">
      <w:pPr>
        <w:spacing w:before="240" w:after="240"/>
        <w:jc w:val="both"/>
        <w:rPr>
          <w:rFonts w:ascii="Arial" w:eastAsia="Arial" w:hAnsi="Arial" w:cs="Arial"/>
          <w:color w:val="auto"/>
          <w:sz w:val="20"/>
          <w:szCs w:val="20"/>
        </w:rPr>
      </w:pPr>
      <w:r w:rsidRPr="00306F4D">
        <w:rPr>
          <w:rFonts w:ascii="Arial" w:eastAsia="Arial" w:hAnsi="Arial" w:cs="Arial"/>
          <w:color w:val="auto"/>
          <w:sz w:val="20"/>
          <w:szCs w:val="20"/>
        </w:rPr>
        <w:t xml:space="preserve">Specifically, the project will establish a regional knowledge exchange and learning framework that supports continuous learning and collaboration across Bosnia and Herzegovina, Montenegro, North Macedonia, and Serbia. Through structured activities—such as peer learning events, regional workshops, innovation </w:t>
      </w:r>
      <w:proofErr w:type="gramStart"/>
      <w:r w:rsidRPr="00306F4D">
        <w:rPr>
          <w:rFonts w:ascii="Arial" w:eastAsia="Arial" w:hAnsi="Arial" w:cs="Arial"/>
          <w:color w:val="auto"/>
          <w:sz w:val="20"/>
          <w:szCs w:val="20"/>
        </w:rPr>
        <w:t>showcases, and</w:t>
      </w:r>
      <w:proofErr w:type="gramEnd"/>
      <w:r w:rsidRPr="00306F4D">
        <w:rPr>
          <w:rFonts w:ascii="Arial" w:eastAsia="Arial" w:hAnsi="Arial" w:cs="Arial"/>
          <w:color w:val="auto"/>
          <w:sz w:val="20"/>
          <w:szCs w:val="20"/>
        </w:rPr>
        <w:t xml:space="preserve"> facilitated exchanges—grantees and stakeholders will be empowered to share practical insights, build capacity, and adapt successful approaches to new contexts. These efforts will be complemented by systematic documentation and dissemination of lessons through diverse tools such as blogs, case studies, and working papers, leveraging UNDP’s regional expertise and platforms including BOOST, TADAMON, the AIM partner network, and the UNDP SGP Global Citizens Knowledge Platform. Importantly, the project will not invest in new digital infrastructure but will utilize a decentralized, multi-channel approach to ensure cost-efficiency while maximizing accessibility and impact. Knowledge will be shared through existing networks, creating a flexible, inclusive community of practice that reaches both grassroots actors and policymakers.</w:t>
      </w:r>
    </w:p>
    <w:p w14:paraId="7CB8489C" w14:textId="0AFB204C" w:rsidR="0E89D647" w:rsidRPr="00306F4D" w:rsidRDefault="04B964BD" w:rsidP="00413459">
      <w:pPr>
        <w:spacing w:before="240" w:after="240"/>
        <w:jc w:val="both"/>
        <w:rPr>
          <w:rFonts w:ascii="Arial" w:eastAsia="Arial" w:hAnsi="Arial" w:cs="Arial"/>
          <w:color w:val="auto"/>
          <w:sz w:val="20"/>
          <w:szCs w:val="20"/>
        </w:rPr>
      </w:pPr>
      <w:r w:rsidRPr="00306F4D">
        <w:rPr>
          <w:rFonts w:ascii="Arial" w:eastAsia="Arial" w:hAnsi="Arial" w:cs="Arial"/>
          <w:color w:val="auto"/>
          <w:sz w:val="20"/>
          <w:szCs w:val="20"/>
        </w:rPr>
        <w:t xml:space="preserve">Without this intervention, the existing public and private finance available in the region would not be directed toward these enabling functions. Baseline funding mechanisms do not typically cover the costs associated with cross-country learning, knowledge </w:t>
      </w:r>
      <w:r w:rsidR="236D68F4" w:rsidRPr="00306F4D">
        <w:rPr>
          <w:rFonts w:ascii="Arial" w:eastAsia="Arial" w:hAnsi="Arial" w:cs="Arial"/>
          <w:color w:val="auto"/>
          <w:sz w:val="20"/>
          <w:szCs w:val="20"/>
        </w:rPr>
        <w:t>exchange</w:t>
      </w:r>
      <w:r w:rsidRPr="00306F4D">
        <w:rPr>
          <w:rFonts w:ascii="Arial" w:eastAsia="Arial" w:hAnsi="Arial" w:cs="Arial"/>
          <w:color w:val="auto"/>
          <w:sz w:val="20"/>
          <w:szCs w:val="20"/>
        </w:rPr>
        <w:t>, or visibility for early-stage innovations—particularly those led by vulnerable or marginalized communities. These aspects are essential to achieving transformational, system-wide adaptation but remain underfunded due to their indirect and long-term return on investment.</w:t>
      </w:r>
    </w:p>
    <w:p w14:paraId="7A98661F" w14:textId="07368B12" w:rsidR="798B1398" w:rsidRPr="00306F4D" w:rsidRDefault="798B1398" w:rsidP="00413459">
      <w:pPr>
        <w:spacing w:before="240" w:after="240"/>
        <w:jc w:val="both"/>
        <w:rPr>
          <w:rFonts w:ascii="Arial" w:eastAsia="Arial" w:hAnsi="Arial" w:cs="Arial"/>
          <w:color w:val="auto"/>
          <w:sz w:val="20"/>
          <w:szCs w:val="20"/>
        </w:rPr>
      </w:pPr>
      <w:r w:rsidRPr="00306F4D">
        <w:rPr>
          <w:rFonts w:ascii="Arial" w:eastAsia="Arial" w:hAnsi="Arial" w:cs="Arial"/>
          <w:color w:val="auto"/>
          <w:sz w:val="20"/>
          <w:szCs w:val="20"/>
        </w:rPr>
        <w:t>Key activities under this component will include peer learning events, innovation showcases, regional workshops, and exchange forums designed in collaboration with grantees and local partners. These events will help surface practical insights and create opportunities for horizontal learning between communities, practitioners, and policymakers.</w:t>
      </w:r>
    </w:p>
    <w:p w14:paraId="78E4BF53" w14:textId="0D1CBD6F" w:rsidR="44C82ED5" w:rsidRPr="00306F4D" w:rsidRDefault="44C82ED5" w:rsidP="00413459">
      <w:pPr>
        <w:spacing w:before="240" w:after="240"/>
        <w:jc w:val="both"/>
        <w:rPr>
          <w:rFonts w:ascii="Arial" w:eastAsia="Arial" w:hAnsi="Arial" w:cs="Arial"/>
          <w:color w:val="auto"/>
          <w:sz w:val="20"/>
          <w:szCs w:val="20"/>
        </w:rPr>
      </w:pPr>
      <w:r w:rsidRPr="00306F4D">
        <w:rPr>
          <w:rFonts w:ascii="Arial" w:eastAsia="Arial" w:hAnsi="Arial" w:cs="Arial"/>
          <w:color w:val="auto"/>
          <w:sz w:val="20"/>
          <w:szCs w:val="20"/>
        </w:rPr>
        <w:t>To further strengthen regional knowledge ecosystems, UNDP Country Offices</w:t>
      </w:r>
      <w:r w:rsidR="3CA92445" w:rsidRPr="00306F4D">
        <w:rPr>
          <w:rFonts w:ascii="Arial" w:eastAsia="Arial" w:hAnsi="Arial" w:cs="Arial"/>
          <w:color w:val="auto"/>
          <w:sz w:val="20"/>
          <w:szCs w:val="20"/>
        </w:rPr>
        <w:t xml:space="preserve"> in 4 Western Balkan countries</w:t>
      </w:r>
      <w:r w:rsidRPr="00306F4D">
        <w:rPr>
          <w:rFonts w:ascii="Arial" w:eastAsia="Arial" w:hAnsi="Arial" w:cs="Arial"/>
          <w:color w:val="auto"/>
          <w:sz w:val="20"/>
          <w:szCs w:val="20"/>
        </w:rPr>
        <w:t xml:space="preserve"> will play a central role in coordinating stakeholder engagement, ensuring that learnings are integrated into policy processes, and supporting linkages with relevant national and regional institutions. The project will also foster virtual connections with incubators, accelerators, innovation labs, and climate adaptation experts to enrich learning and provide tailored technical input to grantees. </w:t>
      </w:r>
    </w:p>
    <w:p w14:paraId="45340C28" w14:textId="42AF2607" w:rsidR="27931951" w:rsidRPr="00306F4D" w:rsidRDefault="27931951" w:rsidP="00413459">
      <w:pPr>
        <w:spacing w:before="240" w:after="240"/>
        <w:jc w:val="both"/>
        <w:rPr>
          <w:rFonts w:ascii="Arial" w:eastAsia="Arial" w:hAnsi="Arial" w:cs="Arial"/>
          <w:color w:val="auto"/>
          <w:sz w:val="20"/>
          <w:szCs w:val="20"/>
        </w:rPr>
      </w:pPr>
      <w:r w:rsidRPr="00306F4D">
        <w:rPr>
          <w:rFonts w:ascii="Arial" w:eastAsia="Arial" w:hAnsi="Arial" w:cs="Arial"/>
          <w:color w:val="auto"/>
          <w:sz w:val="20"/>
          <w:szCs w:val="20"/>
        </w:rPr>
        <w:t>By addressing this critical gap, the project will ensure that locally led adaptation solutions are not only piloted but also equipped for replication and scaling. The funding requested is essential to cover the full cost of adaptation—going beyond direct implementation to include the long-term structures and capacities needed to support the sustained growth and spread of effective solutions.</w:t>
      </w:r>
    </w:p>
    <w:p w14:paraId="7AFFDFB4" w14:textId="0AE757C7" w:rsidR="27931951" w:rsidRPr="00306F4D" w:rsidRDefault="27931951" w:rsidP="00413459">
      <w:pPr>
        <w:spacing w:before="240" w:after="240"/>
        <w:jc w:val="both"/>
        <w:rPr>
          <w:rFonts w:ascii="Arial" w:eastAsia="Arial" w:hAnsi="Arial" w:cs="Arial"/>
          <w:color w:val="auto"/>
          <w:sz w:val="20"/>
          <w:szCs w:val="20"/>
        </w:rPr>
      </w:pPr>
      <w:r w:rsidRPr="00306F4D">
        <w:rPr>
          <w:rFonts w:ascii="Arial" w:eastAsia="Arial" w:hAnsi="Arial" w:cs="Arial"/>
          <w:color w:val="auto"/>
          <w:sz w:val="20"/>
          <w:szCs w:val="20"/>
        </w:rPr>
        <w:t>This outcome directly responds to the current fragmentation of knowledge and lack of structured learning opportunities in the Western Balkans. By fostering collaboration, peer learning, and cross-border exchange, it will enable grantees and their partners to design more adaptive, resilient responses to climate risks. Through this approach, the project will cultivate a culture of continuous improvement, ensuring that successful practices are systematically sustained, scaled, and adapted to new contexts.</w:t>
      </w:r>
    </w:p>
    <w:p w14:paraId="673E61FE" w14:textId="730F63D4" w:rsidR="00934D79" w:rsidRPr="00306F4D" w:rsidRDefault="7271641E" w:rsidP="00413459">
      <w:pPr>
        <w:spacing w:before="240" w:after="240"/>
        <w:jc w:val="both"/>
        <w:rPr>
          <w:rFonts w:ascii="Arial" w:eastAsia="Arial" w:hAnsi="Arial" w:cs="Arial"/>
          <w:color w:val="auto"/>
          <w:sz w:val="20"/>
          <w:szCs w:val="20"/>
        </w:rPr>
      </w:pPr>
      <w:r w:rsidRPr="00306F4D">
        <w:rPr>
          <w:rFonts w:ascii="Arial" w:eastAsia="Arial" w:hAnsi="Arial" w:cs="Arial"/>
          <w:color w:val="auto"/>
          <w:sz w:val="20"/>
          <w:szCs w:val="20"/>
        </w:rPr>
        <w:t xml:space="preserve">Ultimately, this component will lay the foundation for a more connected, inclusive, and durable adaptation ecosystem across the region—one where local </w:t>
      </w:r>
      <w:r w:rsidR="623D657B" w:rsidRPr="00306F4D">
        <w:rPr>
          <w:rFonts w:ascii="Arial" w:eastAsia="Arial" w:hAnsi="Arial" w:cs="Arial"/>
          <w:color w:val="auto"/>
          <w:sz w:val="20"/>
          <w:szCs w:val="20"/>
        </w:rPr>
        <w:t>innovation</w:t>
      </w:r>
      <w:r w:rsidRPr="00306F4D">
        <w:rPr>
          <w:rFonts w:ascii="Arial" w:eastAsia="Arial" w:hAnsi="Arial" w:cs="Arial"/>
          <w:color w:val="auto"/>
          <w:sz w:val="20"/>
          <w:szCs w:val="20"/>
        </w:rPr>
        <w:t xml:space="preserve"> can thrive, inform policy, and contribute meaningfully to long-term climate resilience.</w:t>
      </w:r>
    </w:p>
    <w:p w14:paraId="3E681CBF" w14:textId="5AD924F4" w:rsidR="004F0CCA" w:rsidRPr="00306F4D" w:rsidRDefault="00B96C30" w:rsidP="006D39F7">
      <w:pPr>
        <w:spacing w:before="240" w:after="240"/>
        <w:jc w:val="both"/>
        <w:rPr>
          <w:rFonts w:ascii="Arial" w:eastAsia="Arial" w:hAnsi="Arial" w:cs="Arial"/>
          <w:color w:val="auto"/>
          <w:sz w:val="20"/>
          <w:szCs w:val="20"/>
        </w:rPr>
      </w:pPr>
      <w:r w:rsidRPr="00306F4D">
        <w:rPr>
          <w:rFonts w:ascii="Arial" w:eastAsia="Arial" w:hAnsi="Arial" w:cs="Arial"/>
          <w:color w:val="auto"/>
          <w:sz w:val="20"/>
          <w:szCs w:val="20"/>
        </w:rPr>
        <w:t>The requested amount of $5,000,000 from the Adaptation Fund is sufficient to fully achieve the project’s intended outcomes and objectives. While the project may explore opportunities for additional financing to further enhance its impact, the successful delivery of core results is not contingent upon external co-financing.</w:t>
      </w:r>
    </w:p>
    <w:p w14:paraId="2054F620" w14:textId="77777777" w:rsidR="002159FB" w:rsidRPr="00306F4D" w:rsidRDefault="002159FB" w:rsidP="002159FB">
      <w:pPr>
        <w:pStyle w:val="Footer"/>
        <w:numPr>
          <w:ilvl w:val="0"/>
          <w:numId w:val="23"/>
        </w:numPr>
        <w:tabs>
          <w:tab w:val="clear" w:pos="720"/>
          <w:tab w:val="clear" w:pos="4680"/>
          <w:tab w:val="clear" w:pos="9360"/>
          <w:tab w:val="num" w:pos="360"/>
        </w:tabs>
        <w:spacing w:line="276" w:lineRule="auto"/>
        <w:ind w:left="360"/>
        <w:jc w:val="both"/>
        <w:rPr>
          <w:rFonts w:ascii="Arial" w:eastAsia="Arial" w:hAnsi="Arial" w:cs="Arial"/>
          <w:color w:val="AEAAAA" w:themeColor="background2" w:themeShade="BF"/>
          <w:lang w:val="en-GB"/>
        </w:rPr>
      </w:pPr>
      <w:r w:rsidRPr="00306F4D">
        <w:rPr>
          <w:rFonts w:ascii="Arial" w:eastAsia="Arial" w:hAnsi="Arial" w:cs="Arial"/>
          <w:color w:val="AEAAAA" w:themeColor="background2" w:themeShade="BF"/>
          <w:lang w:val="en-GB"/>
        </w:rPr>
        <w:lastRenderedPageBreak/>
        <w:t xml:space="preserve">Describe how the sustainability of the project / programme outcomes has been </w:t>
      </w:r>
      <w:proofErr w:type="gramStart"/>
      <w:r w:rsidRPr="00306F4D">
        <w:rPr>
          <w:rFonts w:ascii="Arial" w:eastAsia="Arial" w:hAnsi="Arial" w:cs="Arial"/>
          <w:color w:val="AEAAAA" w:themeColor="background2" w:themeShade="BF"/>
          <w:lang w:val="en-GB"/>
        </w:rPr>
        <w:t>taken into account</w:t>
      </w:r>
      <w:proofErr w:type="gramEnd"/>
      <w:r w:rsidRPr="00306F4D">
        <w:rPr>
          <w:rFonts w:ascii="Arial" w:eastAsia="Arial" w:hAnsi="Arial" w:cs="Arial"/>
          <w:color w:val="AEAAAA" w:themeColor="background2" w:themeShade="BF"/>
          <w:lang w:val="en-GB"/>
        </w:rPr>
        <w:t xml:space="preserve"> when designing the project / programme.</w:t>
      </w:r>
    </w:p>
    <w:p w14:paraId="7E9CB0B1" w14:textId="7FBC5D3A" w:rsidR="7FA9D0C9" w:rsidRPr="00306F4D" w:rsidRDefault="38E0E04B" w:rsidP="4186447D">
      <w:pPr>
        <w:pStyle w:val="Heading2"/>
        <w:spacing w:line="276" w:lineRule="auto"/>
        <w:jc w:val="both"/>
        <w:rPr>
          <w:rFonts w:ascii="Arial" w:eastAsia="Arial" w:hAnsi="Arial" w:cs="Arial"/>
          <w:sz w:val="20"/>
          <w:szCs w:val="20"/>
          <w:lang w:val="en-GB"/>
        </w:rPr>
      </w:pPr>
      <w:bookmarkStart w:id="166" w:name="_Toc1394731466"/>
      <w:bookmarkStart w:id="167" w:name="_Toc2018896842"/>
      <w:bookmarkStart w:id="168" w:name="_Toc202165719"/>
      <w:bookmarkStart w:id="169" w:name="_Toc202893750"/>
      <w:r w:rsidRPr="00306F4D">
        <w:rPr>
          <w:rFonts w:ascii="Arial" w:eastAsia="Arial" w:hAnsi="Arial" w:cs="Arial"/>
          <w:sz w:val="20"/>
          <w:szCs w:val="20"/>
          <w:lang w:val="en-GB"/>
        </w:rPr>
        <w:t>Ensuring Sustainability of Project Outcomes in the Design Process</w:t>
      </w:r>
      <w:bookmarkEnd w:id="166"/>
      <w:bookmarkEnd w:id="167"/>
      <w:bookmarkEnd w:id="168"/>
      <w:bookmarkEnd w:id="169"/>
    </w:p>
    <w:p w14:paraId="7BB99E2F" w14:textId="6098A108" w:rsidR="710DB9F2" w:rsidRPr="00306F4D" w:rsidRDefault="710DB9F2" w:rsidP="4186447D">
      <w:pPr>
        <w:pStyle w:val="Footer"/>
        <w:spacing w:line="276" w:lineRule="auto"/>
        <w:ind w:firstLine="360"/>
        <w:jc w:val="both"/>
        <w:rPr>
          <w:rFonts w:ascii="Arial" w:eastAsia="Arial" w:hAnsi="Arial" w:cs="Arial"/>
          <w:color w:val="AEAAAA" w:themeColor="background2" w:themeShade="BF"/>
          <w:sz w:val="20"/>
          <w:szCs w:val="20"/>
          <w:lang w:val="en-GB"/>
        </w:rPr>
      </w:pPr>
    </w:p>
    <w:p w14:paraId="1165C1D3" w14:textId="3FCBD66C" w:rsidR="710DB9F2" w:rsidRPr="00306F4D" w:rsidRDefault="231FF78E" w:rsidP="4186447D">
      <w:pPr>
        <w:pStyle w:val="Footer"/>
        <w:spacing w:line="276" w:lineRule="auto"/>
        <w:jc w:val="both"/>
        <w:rPr>
          <w:rFonts w:ascii="Arial" w:eastAsia="Arial" w:hAnsi="Arial" w:cs="Arial"/>
          <w:sz w:val="20"/>
          <w:szCs w:val="20"/>
        </w:rPr>
      </w:pPr>
      <w:r w:rsidRPr="00306F4D">
        <w:rPr>
          <w:rFonts w:ascii="Arial" w:eastAsia="Arial" w:hAnsi="Arial" w:cs="Arial"/>
          <w:sz w:val="20"/>
          <w:szCs w:val="20"/>
          <w:lang w:val="en-GB"/>
        </w:rPr>
        <w:t xml:space="preserve">The sustainability of the project outcomes has been carefully considered in the design of the programme to ensure long-term impact. </w:t>
      </w:r>
      <w:r w:rsidR="166928B3" w:rsidRPr="00306F4D">
        <w:rPr>
          <w:rFonts w:ascii="Arial" w:eastAsia="Arial" w:hAnsi="Arial" w:cs="Arial"/>
          <w:sz w:val="20"/>
          <w:szCs w:val="20"/>
          <w:lang w:val="en-GB"/>
        </w:rPr>
        <w:t xml:space="preserve">Proposals should demonstrate evidence of existing funding, a co-financing strategy (if applicable), and secure forthcoming funding. Additionally, a comprehensive fundraising strategy and identification of relevant partners must be included to ensure the project's long-term viability. </w:t>
      </w:r>
      <w:r w:rsidRPr="00306F4D">
        <w:rPr>
          <w:rFonts w:ascii="Arial" w:eastAsia="Arial" w:hAnsi="Arial" w:cs="Arial"/>
          <w:sz w:val="20"/>
          <w:szCs w:val="20"/>
          <w:lang w:val="en-GB"/>
        </w:rPr>
        <w:t>These elements will be evaluated as part of the proposal screening criteria.</w:t>
      </w:r>
    </w:p>
    <w:p w14:paraId="10ACD5D1" w14:textId="0E253421" w:rsidR="710DB9F2" w:rsidRPr="00306F4D" w:rsidRDefault="710DB9F2" w:rsidP="4186447D">
      <w:pPr>
        <w:pStyle w:val="Footer"/>
        <w:spacing w:line="276" w:lineRule="auto"/>
        <w:jc w:val="both"/>
        <w:rPr>
          <w:rFonts w:ascii="Arial" w:eastAsia="Arial" w:hAnsi="Arial" w:cs="Arial"/>
          <w:sz w:val="20"/>
          <w:szCs w:val="20"/>
          <w:lang w:val="en-GB"/>
        </w:rPr>
      </w:pPr>
    </w:p>
    <w:p w14:paraId="494D75A7" w14:textId="3A233FAF" w:rsidR="710DB9F2" w:rsidRPr="00306F4D" w:rsidRDefault="6A9215A0" w:rsidP="4186447D">
      <w:pPr>
        <w:pStyle w:val="Footer"/>
        <w:spacing w:line="276" w:lineRule="auto"/>
        <w:jc w:val="both"/>
        <w:rPr>
          <w:rFonts w:ascii="Arial" w:eastAsia="Arial" w:hAnsi="Arial" w:cs="Arial"/>
          <w:sz w:val="20"/>
          <w:szCs w:val="20"/>
          <w:lang w:val="en-GB"/>
        </w:rPr>
      </w:pPr>
      <w:r w:rsidRPr="00306F4D">
        <w:rPr>
          <w:rFonts w:ascii="Arial" w:eastAsia="Arial" w:hAnsi="Arial" w:cs="Arial"/>
          <w:sz w:val="20"/>
          <w:szCs w:val="20"/>
          <w:lang w:val="en-GB"/>
        </w:rPr>
        <w:t>Additionally, each proposal will include a project risk assessment and management plan focused on ensuring the expected outcomes and long-term sustainability. An exit strategy for each grantee will be developed, and a portion of the technical assistance facility will be dedicated to ensuring its effective implementation.</w:t>
      </w:r>
    </w:p>
    <w:p w14:paraId="0120702E" w14:textId="0C713A3E" w:rsidR="710DB9F2" w:rsidRPr="00306F4D" w:rsidRDefault="710DB9F2" w:rsidP="4186447D">
      <w:pPr>
        <w:pStyle w:val="Footer"/>
        <w:spacing w:line="276" w:lineRule="auto"/>
        <w:jc w:val="both"/>
        <w:rPr>
          <w:rFonts w:ascii="Arial" w:eastAsia="Arial" w:hAnsi="Arial" w:cs="Arial"/>
          <w:sz w:val="20"/>
          <w:szCs w:val="20"/>
          <w:lang w:val="en-GB"/>
        </w:rPr>
      </w:pPr>
    </w:p>
    <w:p w14:paraId="750E5089" w14:textId="66A1543F" w:rsidR="710DB9F2" w:rsidRPr="00306F4D" w:rsidRDefault="6A9215A0" w:rsidP="4186447D">
      <w:pPr>
        <w:pStyle w:val="Footer"/>
        <w:spacing w:line="276" w:lineRule="auto"/>
        <w:jc w:val="both"/>
        <w:rPr>
          <w:rFonts w:ascii="Arial" w:eastAsia="Arial" w:hAnsi="Arial" w:cs="Arial"/>
          <w:sz w:val="20"/>
          <w:szCs w:val="20"/>
          <w:lang w:val="en-GB"/>
        </w:rPr>
      </w:pPr>
      <w:r w:rsidRPr="00306F4D">
        <w:rPr>
          <w:rFonts w:ascii="Arial" w:eastAsia="Arial" w:hAnsi="Arial" w:cs="Arial"/>
          <w:sz w:val="20"/>
          <w:szCs w:val="20"/>
          <w:lang w:val="en-GB"/>
        </w:rPr>
        <w:t xml:space="preserve">To maintain transparency and accountability, </w:t>
      </w:r>
      <w:r w:rsidR="4D20AFB7" w:rsidRPr="00306F4D">
        <w:rPr>
          <w:rFonts w:ascii="Arial" w:eastAsia="Arial" w:hAnsi="Arial" w:cs="Arial"/>
          <w:sz w:val="20"/>
          <w:szCs w:val="20"/>
          <w:lang w:val="en-GB"/>
        </w:rPr>
        <w:t>the proposal must define clear and transparent procurement procedures, ensuring competition and efficiency. It should outline processes for (i) recording financial transactions and account balances, and (ii) managing and disbursing funds in alignment with project objectives. These procedures must adhere to established financial management best practices. Additionally, a financial and budget plan must be provided, with a possibility of an annual financial audit conducted to ensure compliance.</w:t>
      </w:r>
    </w:p>
    <w:p w14:paraId="0510467E" w14:textId="5445485D" w:rsidR="710DB9F2" w:rsidRPr="00306F4D" w:rsidRDefault="710DB9F2" w:rsidP="4186447D">
      <w:pPr>
        <w:pStyle w:val="Footer"/>
        <w:spacing w:line="276" w:lineRule="auto"/>
        <w:jc w:val="both"/>
        <w:rPr>
          <w:rFonts w:ascii="Arial" w:eastAsia="Arial" w:hAnsi="Arial" w:cs="Arial"/>
          <w:sz w:val="20"/>
          <w:szCs w:val="20"/>
          <w:lang w:val="en-GB"/>
        </w:rPr>
      </w:pPr>
    </w:p>
    <w:p w14:paraId="548FBB59" w14:textId="615EA29B" w:rsidR="00E60D8F" w:rsidRPr="00306F4D" w:rsidRDefault="231FF78E" w:rsidP="00E60D8F">
      <w:pPr>
        <w:pStyle w:val="Footer"/>
        <w:spacing w:line="276" w:lineRule="auto"/>
        <w:jc w:val="both"/>
        <w:rPr>
          <w:rFonts w:ascii="Arial" w:eastAsia="Arial" w:hAnsi="Arial" w:cs="Arial"/>
          <w:sz w:val="20"/>
          <w:szCs w:val="20"/>
          <w:lang w:val="en-GB"/>
        </w:rPr>
      </w:pPr>
      <w:r w:rsidRPr="00306F4D">
        <w:rPr>
          <w:rFonts w:ascii="Arial" w:eastAsia="Arial" w:hAnsi="Arial" w:cs="Arial"/>
          <w:sz w:val="20"/>
          <w:szCs w:val="20"/>
          <w:lang w:val="en-GB"/>
        </w:rPr>
        <w:t xml:space="preserve">In accordance with UNDP Financial Regulations and Rules, the </w:t>
      </w:r>
      <w:r w:rsidR="3FFCCBFA" w:rsidRPr="00306F4D">
        <w:rPr>
          <w:rFonts w:ascii="Arial" w:eastAsia="Arial" w:hAnsi="Arial" w:cs="Arial"/>
          <w:sz w:val="20"/>
          <w:szCs w:val="20"/>
          <w:lang w:val="en-GB"/>
        </w:rPr>
        <w:t>supported solutions</w:t>
      </w:r>
      <w:r w:rsidRPr="00306F4D">
        <w:rPr>
          <w:rFonts w:ascii="Arial" w:eastAsia="Arial" w:hAnsi="Arial" w:cs="Arial"/>
          <w:sz w:val="20"/>
          <w:szCs w:val="20"/>
          <w:lang w:val="en-GB"/>
        </w:rPr>
        <w:t xml:space="preserve"> </w:t>
      </w:r>
      <w:r w:rsidR="18914E47" w:rsidRPr="00306F4D">
        <w:rPr>
          <w:rFonts w:ascii="Arial" w:eastAsia="Arial" w:hAnsi="Arial" w:cs="Arial"/>
          <w:sz w:val="20"/>
          <w:szCs w:val="20"/>
          <w:lang w:val="en-GB"/>
        </w:rPr>
        <w:t>might</w:t>
      </w:r>
      <w:r w:rsidRPr="00306F4D">
        <w:rPr>
          <w:rFonts w:ascii="Arial" w:eastAsia="Arial" w:hAnsi="Arial" w:cs="Arial"/>
          <w:sz w:val="20"/>
          <w:szCs w:val="20"/>
          <w:lang w:val="en-GB"/>
        </w:rPr>
        <w:t xml:space="preserve"> undergo audits, with the audit cycle and process to be discussed during the inception </w:t>
      </w:r>
      <w:r w:rsidR="6D7062E6" w:rsidRPr="00306F4D">
        <w:rPr>
          <w:rFonts w:ascii="Arial" w:eastAsia="Arial" w:hAnsi="Arial" w:cs="Arial"/>
          <w:sz w:val="20"/>
          <w:szCs w:val="20"/>
          <w:lang w:val="en-GB"/>
        </w:rPr>
        <w:t>stage</w:t>
      </w:r>
      <w:r w:rsidRPr="00306F4D">
        <w:rPr>
          <w:rFonts w:ascii="Arial" w:eastAsia="Arial" w:hAnsi="Arial" w:cs="Arial"/>
          <w:sz w:val="20"/>
          <w:szCs w:val="20"/>
          <w:lang w:val="en-GB"/>
        </w:rPr>
        <w:t xml:space="preserve"> to ensure full compliance with applicable audit policies.</w:t>
      </w:r>
    </w:p>
    <w:p w14:paraId="14372BD9" w14:textId="77777777" w:rsidR="009C70E5" w:rsidRPr="00306F4D" w:rsidRDefault="009C70E5" w:rsidP="00E60D8F">
      <w:pPr>
        <w:pStyle w:val="Footer"/>
        <w:spacing w:line="276" w:lineRule="auto"/>
        <w:jc w:val="both"/>
        <w:rPr>
          <w:rFonts w:ascii="Arial" w:eastAsia="Arial" w:hAnsi="Arial" w:cs="Arial"/>
          <w:sz w:val="20"/>
          <w:szCs w:val="20"/>
          <w:lang w:val="en-GB"/>
        </w:rPr>
      </w:pPr>
    </w:p>
    <w:p w14:paraId="48ECF883" w14:textId="77777777" w:rsidR="009C70E5" w:rsidRPr="00306F4D" w:rsidRDefault="009C70E5" w:rsidP="009C70E5">
      <w:pPr>
        <w:pStyle w:val="Footer"/>
        <w:numPr>
          <w:ilvl w:val="0"/>
          <w:numId w:val="23"/>
        </w:numPr>
        <w:tabs>
          <w:tab w:val="clear" w:pos="720"/>
          <w:tab w:val="clear" w:pos="4680"/>
          <w:tab w:val="clear" w:pos="9360"/>
          <w:tab w:val="num" w:pos="360"/>
        </w:tabs>
        <w:spacing w:line="276" w:lineRule="auto"/>
        <w:ind w:left="360"/>
        <w:rPr>
          <w:rFonts w:ascii="Arial" w:eastAsia="Arial" w:hAnsi="Arial" w:cs="Arial"/>
          <w:color w:val="AEAAAA" w:themeColor="background2" w:themeShade="BF"/>
          <w:lang w:val="en-GB"/>
        </w:rPr>
      </w:pPr>
      <w:r w:rsidRPr="00306F4D">
        <w:rPr>
          <w:rFonts w:ascii="Arial" w:eastAsia="Arial" w:hAnsi="Arial" w:cs="Arial"/>
          <w:color w:val="AEAAAA" w:themeColor="background2" w:themeShade="BF"/>
          <w:lang w:val="en-GB"/>
        </w:rPr>
        <w:t xml:space="preserve">Provide an overview of the environmental and social impacts and risks identified as being relevant to the project / programme. </w:t>
      </w:r>
    </w:p>
    <w:p w14:paraId="610B8513" w14:textId="1729CCC9" w:rsidR="00BC3363" w:rsidRPr="00306F4D" w:rsidRDefault="00BC3363" w:rsidP="00762EAC">
      <w:pPr>
        <w:pStyle w:val="Heading2"/>
        <w:spacing w:line="276" w:lineRule="auto"/>
        <w:rPr>
          <w:rFonts w:ascii="Arial" w:eastAsia="Arial" w:hAnsi="Arial" w:cs="Arial"/>
          <w:sz w:val="20"/>
          <w:szCs w:val="20"/>
          <w:lang w:val="en-GB"/>
        </w:rPr>
      </w:pPr>
      <w:bookmarkStart w:id="170" w:name="_Toc1874740212"/>
      <w:bookmarkStart w:id="171" w:name="_Toc1744637644"/>
      <w:bookmarkStart w:id="172" w:name="_Toc202165720"/>
    </w:p>
    <w:p w14:paraId="4835EA41" w14:textId="77777777" w:rsidR="007A74D8" w:rsidRPr="00306F4D" w:rsidRDefault="007A74D8" w:rsidP="007A74D8">
      <w:pPr>
        <w:pStyle w:val="Footer"/>
        <w:spacing w:line="276" w:lineRule="auto"/>
        <w:jc w:val="both"/>
        <w:rPr>
          <w:rFonts w:ascii="Arial" w:eastAsia="Arial" w:hAnsi="Arial" w:cs="Arial"/>
          <w:sz w:val="20"/>
          <w:szCs w:val="20"/>
          <w:lang w:val="en-GB"/>
        </w:rPr>
      </w:pPr>
      <w:bookmarkStart w:id="173" w:name="_Toc202893751"/>
      <w:r w:rsidRPr="00306F4D">
        <w:rPr>
          <w:rFonts w:ascii="Arial" w:eastAsia="Arial" w:hAnsi="Arial" w:cs="Arial"/>
          <w:sz w:val="20"/>
          <w:szCs w:val="20"/>
          <w:lang w:val="en-GB"/>
        </w:rPr>
        <w:t>As mentioned in section J, it was not yet feasible to conduct deeper assessment of specific sub-projects during the proposal preparation, because these will be identified through a transparent open call for proposals, which will take place at the beginning of implementation. As such, the project currently includes Unidentified Sub-Projects (USPs), consistent with the nature of the innovation process being supported and in line with guidance from the Adaptation Fund (Decision B.39/52).</w:t>
      </w:r>
    </w:p>
    <w:p w14:paraId="75573BEB" w14:textId="7EEE8404" w:rsidR="007A74D8" w:rsidRPr="00306F4D" w:rsidRDefault="007A74D8" w:rsidP="00F97CC9">
      <w:pPr>
        <w:pStyle w:val="Footer"/>
        <w:spacing w:line="276" w:lineRule="auto"/>
        <w:jc w:val="both"/>
        <w:rPr>
          <w:rFonts w:ascii="Arial" w:eastAsia="Arial" w:hAnsi="Arial" w:cs="Arial"/>
          <w:sz w:val="20"/>
          <w:szCs w:val="20"/>
          <w:lang w:val="en-GB"/>
        </w:rPr>
      </w:pPr>
    </w:p>
    <w:p w14:paraId="3152F40A" w14:textId="13B0EE0A" w:rsidR="00F97CC9" w:rsidRPr="00306F4D" w:rsidRDefault="007F1963" w:rsidP="00F97CC9">
      <w:pPr>
        <w:pStyle w:val="Footer"/>
        <w:spacing w:line="276" w:lineRule="auto"/>
        <w:jc w:val="both"/>
        <w:rPr>
          <w:rFonts w:ascii="Arial" w:eastAsia="Arial" w:hAnsi="Arial" w:cs="Arial"/>
          <w:sz w:val="20"/>
          <w:szCs w:val="20"/>
          <w:lang w:val="en-GB"/>
        </w:rPr>
      </w:pPr>
      <w:r w:rsidRPr="00306F4D">
        <w:rPr>
          <w:rFonts w:ascii="Arial" w:eastAsia="Arial" w:hAnsi="Arial" w:cs="Arial"/>
          <w:sz w:val="20"/>
          <w:szCs w:val="20"/>
          <w:lang w:val="en-GB"/>
        </w:rPr>
        <w:t>In this regard, t</w:t>
      </w:r>
      <w:r w:rsidR="00F97CC9" w:rsidRPr="00306F4D">
        <w:rPr>
          <w:rFonts w:ascii="Arial" w:eastAsia="Arial" w:hAnsi="Arial" w:cs="Arial"/>
          <w:sz w:val="20"/>
          <w:szCs w:val="20"/>
          <w:lang w:val="en-GB"/>
        </w:rPr>
        <w:t xml:space="preserve">he UNDP has conducted its own </w:t>
      </w:r>
      <w:r w:rsidR="008E5A22" w:rsidRPr="00306F4D">
        <w:rPr>
          <w:rFonts w:ascii="Arial" w:eastAsia="Arial" w:hAnsi="Arial" w:cs="Arial"/>
          <w:sz w:val="20"/>
          <w:szCs w:val="20"/>
          <w:lang w:val="en-GB"/>
        </w:rPr>
        <w:t xml:space="preserve">generic </w:t>
      </w:r>
      <w:r w:rsidR="00F97CC9" w:rsidRPr="00306F4D">
        <w:rPr>
          <w:rFonts w:ascii="Arial" w:eastAsia="Arial" w:hAnsi="Arial" w:cs="Arial"/>
          <w:sz w:val="20"/>
          <w:szCs w:val="20"/>
          <w:lang w:val="en-GB"/>
        </w:rPr>
        <w:t>screening of the proposed project against the UNDP’s Social and Environmental Standards (see Annex with the Social and Environmental Screening Procedure)</w:t>
      </w:r>
      <w:r w:rsidR="00386B79" w:rsidRPr="00306F4D">
        <w:rPr>
          <w:rFonts w:ascii="Arial" w:eastAsia="Arial" w:hAnsi="Arial" w:cs="Arial"/>
          <w:sz w:val="20"/>
          <w:szCs w:val="20"/>
          <w:lang w:val="en-GB"/>
        </w:rPr>
        <w:t xml:space="preserve"> that broadly outlined the potential impacts and risks associated with the envisaged USPs</w:t>
      </w:r>
      <w:r w:rsidR="00F97CC9" w:rsidRPr="00306F4D">
        <w:rPr>
          <w:rFonts w:ascii="Arial" w:eastAsia="Arial" w:hAnsi="Arial" w:cs="Arial"/>
          <w:sz w:val="20"/>
          <w:szCs w:val="20"/>
          <w:lang w:val="en-GB"/>
        </w:rPr>
        <w:t>. The screening classified the projects as involving Moderate social and environmental risks based on the UNDP’s risk rating methodology</w:t>
      </w:r>
      <w:r w:rsidR="0018446C" w:rsidRPr="00306F4D">
        <w:rPr>
          <w:rFonts w:ascii="Arial" w:eastAsia="Arial" w:hAnsi="Arial" w:cs="Arial"/>
          <w:sz w:val="20"/>
          <w:szCs w:val="20"/>
          <w:lang w:val="en-GB"/>
        </w:rPr>
        <w:t xml:space="preserve"> and proposed further screenings of the specific USPs to ensure their full compliance with the UNDP SES and Adaptation Fund’s Environmental and Social Policy</w:t>
      </w:r>
      <w:r w:rsidR="00F97CC9" w:rsidRPr="00306F4D">
        <w:rPr>
          <w:rFonts w:ascii="Arial" w:eastAsia="Arial" w:hAnsi="Arial" w:cs="Arial"/>
          <w:sz w:val="20"/>
          <w:szCs w:val="20"/>
          <w:lang w:val="en-GB"/>
        </w:rPr>
        <w:t>.</w:t>
      </w:r>
    </w:p>
    <w:p w14:paraId="5668F47B" w14:textId="77777777" w:rsidR="00F97CC9" w:rsidRPr="00306F4D" w:rsidRDefault="00F97CC9" w:rsidP="00F97CC9">
      <w:pPr>
        <w:pStyle w:val="Footer"/>
        <w:spacing w:line="276" w:lineRule="auto"/>
        <w:jc w:val="both"/>
        <w:rPr>
          <w:rFonts w:ascii="Arial" w:eastAsia="Arial" w:hAnsi="Arial" w:cs="Arial"/>
          <w:sz w:val="20"/>
          <w:szCs w:val="20"/>
          <w:lang w:val="en-GB"/>
        </w:rPr>
      </w:pPr>
    </w:p>
    <w:p w14:paraId="1377EC27" w14:textId="05A8C1B0" w:rsidR="00F97CC9" w:rsidRPr="00306F4D" w:rsidRDefault="00F97CC9" w:rsidP="00F97CC9">
      <w:pPr>
        <w:pStyle w:val="Footer"/>
        <w:spacing w:line="276" w:lineRule="auto"/>
        <w:jc w:val="both"/>
        <w:rPr>
          <w:rFonts w:ascii="Arial" w:eastAsia="Arial" w:hAnsi="Arial" w:cs="Arial"/>
          <w:sz w:val="20"/>
          <w:szCs w:val="20"/>
          <w:lang w:val="en-GB"/>
        </w:rPr>
      </w:pPr>
      <w:r w:rsidRPr="00306F4D">
        <w:rPr>
          <w:rFonts w:ascii="Arial" w:eastAsia="Arial" w:hAnsi="Arial" w:cs="Arial"/>
          <w:sz w:val="20"/>
          <w:szCs w:val="20"/>
          <w:lang w:val="en-GB"/>
        </w:rPr>
        <w:t xml:space="preserve">The UNDP’s Moderate social and environmental risk rating corresponds to the Adaptation Fund’s environmental and social risks rating Category B (few, small, not widespread, and reversible or easily mitigated risks). For sake of completeness, a detailed review of the potential risks is provided below based on the Adaptation Funds Environmental and Social Policy. </w:t>
      </w:r>
    </w:p>
    <w:p w14:paraId="7AAB42FF" w14:textId="77777777" w:rsidR="00F97CC9" w:rsidRPr="00306F4D" w:rsidRDefault="00F97CC9" w:rsidP="00F97CC9">
      <w:pPr>
        <w:pStyle w:val="Footer"/>
        <w:spacing w:line="276" w:lineRule="auto"/>
        <w:jc w:val="both"/>
        <w:rPr>
          <w:rFonts w:ascii="Arial" w:eastAsia="Arial" w:hAnsi="Arial" w:cs="Arial"/>
          <w:sz w:val="20"/>
          <w:szCs w:val="20"/>
          <w:lang w:val="en-GB"/>
        </w:rPr>
      </w:pPr>
    </w:p>
    <w:p w14:paraId="17361EA2" w14:textId="77777777" w:rsidR="20164981" w:rsidRPr="00306F4D" w:rsidRDefault="31C9BC09" w:rsidP="00F97CC9">
      <w:pPr>
        <w:pStyle w:val="Heading2"/>
        <w:spacing w:line="276" w:lineRule="auto"/>
        <w:jc w:val="both"/>
        <w:rPr>
          <w:rFonts w:ascii="Arial" w:eastAsia="Arial" w:hAnsi="Arial" w:cs="Arial"/>
          <w:sz w:val="20"/>
          <w:szCs w:val="20"/>
          <w:lang w:val="en-GB"/>
        </w:rPr>
      </w:pPr>
      <w:r w:rsidRPr="00306F4D">
        <w:rPr>
          <w:rFonts w:ascii="Arial" w:eastAsia="Arial" w:hAnsi="Arial" w:cs="Arial"/>
          <w:sz w:val="20"/>
          <w:szCs w:val="20"/>
          <w:lang w:val="en-GB"/>
        </w:rPr>
        <w:lastRenderedPageBreak/>
        <w:t>Overview of Environmental and Social Impacts and Risks Relevant to the Project</w:t>
      </w:r>
      <w:bookmarkEnd w:id="170"/>
      <w:bookmarkEnd w:id="171"/>
      <w:bookmarkEnd w:id="172"/>
      <w:bookmarkEnd w:id="173"/>
    </w:p>
    <w:tbl>
      <w:tblPr>
        <w:tblStyle w:val="TableGrid"/>
        <w:tblW w:w="10060" w:type="dxa"/>
        <w:tblLook w:val="04A0" w:firstRow="1" w:lastRow="0" w:firstColumn="1" w:lastColumn="0" w:noHBand="0" w:noVBand="1"/>
      </w:tblPr>
      <w:tblGrid>
        <w:gridCol w:w="1980"/>
        <w:gridCol w:w="1417"/>
        <w:gridCol w:w="6663"/>
      </w:tblGrid>
      <w:tr w:rsidR="00F97CC9" w:rsidRPr="00306F4D" w14:paraId="44EC408F" w14:textId="77777777" w:rsidTr="00F97CC9">
        <w:trPr>
          <w:trHeight w:val="300"/>
        </w:trPr>
        <w:tc>
          <w:tcPr>
            <w:tcW w:w="1980" w:type="dxa"/>
            <w:shd w:val="clear" w:color="auto" w:fill="92D050"/>
            <w:vAlign w:val="center"/>
          </w:tcPr>
          <w:p w14:paraId="1241F935" w14:textId="77777777" w:rsidR="00F97CC9" w:rsidRPr="00306F4D" w:rsidRDefault="00F97CC9" w:rsidP="00F97CC9">
            <w:pPr>
              <w:rPr>
                <w:rFonts w:ascii="Arial" w:hAnsi="Arial" w:cs="Arial"/>
                <w:b/>
                <w:sz w:val="19"/>
                <w:szCs w:val="19"/>
              </w:rPr>
            </w:pPr>
            <w:r w:rsidRPr="00306F4D">
              <w:rPr>
                <w:rFonts w:ascii="Arial" w:eastAsia="Arial" w:hAnsi="Arial" w:cs="Arial"/>
                <w:b/>
                <w:sz w:val="19"/>
                <w:szCs w:val="19"/>
                <w:lang w:val="en-GB"/>
              </w:rPr>
              <w:t xml:space="preserve">Checklist of </w:t>
            </w:r>
            <w:r w:rsidRPr="00306F4D">
              <w:rPr>
                <w:rFonts w:ascii="Arial" w:eastAsia="Arial" w:hAnsi="Arial" w:cs="Arial"/>
                <w:b/>
                <w:sz w:val="19"/>
                <w:szCs w:val="19"/>
              </w:rPr>
              <w:t xml:space="preserve">environmental and social principles </w:t>
            </w:r>
          </w:p>
        </w:tc>
        <w:tc>
          <w:tcPr>
            <w:tcW w:w="1417" w:type="dxa"/>
            <w:shd w:val="clear" w:color="auto" w:fill="92D050"/>
            <w:vAlign w:val="center"/>
          </w:tcPr>
          <w:p w14:paraId="08021D41" w14:textId="77777777" w:rsidR="00F97CC9" w:rsidRPr="00306F4D" w:rsidRDefault="00F97CC9" w:rsidP="00F97CC9">
            <w:pPr>
              <w:rPr>
                <w:rFonts w:ascii="Arial" w:hAnsi="Arial" w:cs="Arial"/>
                <w:b/>
                <w:sz w:val="19"/>
                <w:szCs w:val="19"/>
              </w:rPr>
            </w:pPr>
            <w:r w:rsidRPr="00306F4D">
              <w:rPr>
                <w:rFonts w:ascii="Arial" w:eastAsia="Arial" w:hAnsi="Arial" w:cs="Arial"/>
                <w:b/>
                <w:sz w:val="19"/>
                <w:szCs w:val="19"/>
              </w:rPr>
              <w:t>No further assessment required for compliance</w:t>
            </w:r>
          </w:p>
        </w:tc>
        <w:tc>
          <w:tcPr>
            <w:tcW w:w="6663" w:type="dxa"/>
            <w:shd w:val="clear" w:color="auto" w:fill="92D050"/>
            <w:vAlign w:val="center"/>
          </w:tcPr>
          <w:p w14:paraId="54290687" w14:textId="77777777" w:rsidR="00F97CC9" w:rsidRPr="00306F4D" w:rsidRDefault="00F97CC9" w:rsidP="00F97CC9">
            <w:pPr>
              <w:rPr>
                <w:rFonts w:ascii="Arial" w:hAnsi="Arial" w:cs="Arial"/>
                <w:sz w:val="19"/>
                <w:szCs w:val="19"/>
              </w:rPr>
            </w:pPr>
            <w:r w:rsidRPr="00306F4D">
              <w:rPr>
                <w:rFonts w:ascii="Arial" w:eastAsia="Arial" w:hAnsi="Arial" w:cs="Arial"/>
                <w:b/>
                <w:sz w:val="19"/>
                <w:szCs w:val="19"/>
                <w:lang w:val="en-GB"/>
              </w:rPr>
              <w:t xml:space="preserve">Potential impacts and risks – further </w:t>
            </w:r>
            <w:r w:rsidRPr="00306F4D">
              <w:rPr>
                <w:rFonts w:ascii="Arial" w:eastAsia="Arial" w:hAnsi="Arial" w:cs="Arial"/>
                <w:b/>
                <w:sz w:val="19"/>
                <w:szCs w:val="19"/>
              </w:rPr>
              <w:t>assessment and management required for compliance</w:t>
            </w:r>
          </w:p>
        </w:tc>
      </w:tr>
      <w:tr w:rsidR="00F97CC9" w:rsidRPr="00306F4D" w14:paraId="69FF7857" w14:textId="77777777" w:rsidTr="00F97CC9">
        <w:trPr>
          <w:trHeight w:val="300"/>
        </w:trPr>
        <w:tc>
          <w:tcPr>
            <w:tcW w:w="1980" w:type="dxa"/>
          </w:tcPr>
          <w:p w14:paraId="36758DC9" w14:textId="77777777" w:rsidR="00F97CC9" w:rsidRPr="00306F4D" w:rsidRDefault="00F97CC9" w:rsidP="00F97CC9">
            <w:pPr>
              <w:rPr>
                <w:rFonts w:ascii="Arial" w:hAnsi="Arial" w:cs="Arial"/>
                <w:b/>
                <w:sz w:val="19"/>
                <w:szCs w:val="19"/>
              </w:rPr>
            </w:pPr>
            <w:r w:rsidRPr="00306F4D">
              <w:rPr>
                <w:rFonts w:ascii="Arial" w:hAnsi="Arial" w:cs="Arial"/>
                <w:b/>
                <w:sz w:val="19"/>
                <w:szCs w:val="19"/>
              </w:rPr>
              <w:t xml:space="preserve">Compliance with the Law: </w:t>
            </w:r>
          </w:p>
          <w:p w14:paraId="56CD17B5" w14:textId="77777777" w:rsidR="00F97CC9" w:rsidRPr="00306F4D" w:rsidRDefault="00F97CC9" w:rsidP="00F97CC9">
            <w:pPr>
              <w:rPr>
                <w:rFonts w:ascii="Arial" w:eastAsia="Arial" w:hAnsi="Arial" w:cs="Arial"/>
                <w:b/>
                <w:sz w:val="19"/>
                <w:szCs w:val="19"/>
                <w:lang w:val="en-GB"/>
              </w:rPr>
            </w:pPr>
          </w:p>
        </w:tc>
        <w:tc>
          <w:tcPr>
            <w:tcW w:w="1417" w:type="dxa"/>
          </w:tcPr>
          <w:p w14:paraId="151363BB" w14:textId="77777777" w:rsidR="00F97CC9" w:rsidRPr="00306F4D" w:rsidRDefault="00F97CC9" w:rsidP="00F97CC9">
            <w:pPr>
              <w:rPr>
                <w:rFonts w:ascii="Arial" w:eastAsia="Arial" w:hAnsi="Arial" w:cs="Arial"/>
                <w:b/>
                <w:sz w:val="19"/>
                <w:szCs w:val="19"/>
              </w:rPr>
            </w:pPr>
          </w:p>
        </w:tc>
        <w:tc>
          <w:tcPr>
            <w:tcW w:w="6663" w:type="dxa"/>
          </w:tcPr>
          <w:p w14:paraId="23E5C2C5" w14:textId="6D929514" w:rsidR="00F97CC9" w:rsidRPr="00306F4D" w:rsidRDefault="0071525D" w:rsidP="00F97CC9">
            <w:pPr>
              <w:rPr>
                <w:rFonts w:ascii="Arial" w:hAnsi="Arial" w:cs="Arial"/>
                <w:b/>
                <w:sz w:val="19"/>
                <w:szCs w:val="19"/>
              </w:rPr>
            </w:pPr>
            <w:r w:rsidRPr="00306F4D">
              <w:rPr>
                <w:rFonts w:ascii="Arial" w:hAnsi="Arial" w:cs="Arial"/>
                <w:b/>
                <w:sz w:val="19"/>
                <w:szCs w:val="19"/>
              </w:rPr>
              <w:t>Moderate risks</w:t>
            </w:r>
          </w:p>
          <w:p w14:paraId="406DBE22" w14:textId="77777777" w:rsidR="00F97CC9" w:rsidRPr="00306F4D" w:rsidRDefault="00F97CC9" w:rsidP="00F97CC9">
            <w:pPr>
              <w:rPr>
                <w:rFonts w:ascii="Arial" w:hAnsi="Arial" w:cs="Arial"/>
                <w:sz w:val="19"/>
                <w:szCs w:val="19"/>
              </w:rPr>
            </w:pPr>
            <w:r w:rsidRPr="00306F4D">
              <w:rPr>
                <w:rFonts w:ascii="Arial" w:hAnsi="Arial" w:cs="Arial"/>
                <w:sz w:val="19"/>
                <w:szCs w:val="19"/>
              </w:rPr>
              <w:t>The supported activities might fail to demonstrate full compliance with the applicable law.</w:t>
            </w:r>
          </w:p>
          <w:p w14:paraId="4D23EB87" w14:textId="77777777" w:rsidR="00F97CC9" w:rsidRPr="00306F4D" w:rsidRDefault="00F97CC9" w:rsidP="00F97CC9">
            <w:pPr>
              <w:rPr>
                <w:rFonts w:ascii="Arial" w:hAnsi="Arial" w:cs="Arial"/>
                <w:sz w:val="19"/>
                <w:szCs w:val="19"/>
              </w:rPr>
            </w:pPr>
          </w:p>
          <w:p w14:paraId="760F7753" w14:textId="77777777" w:rsidR="00F97CC9" w:rsidRPr="00306F4D" w:rsidRDefault="00F97CC9" w:rsidP="00F97CC9">
            <w:pPr>
              <w:rPr>
                <w:rFonts w:ascii="Arial" w:hAnsi="Arial" w:cs="Arial"/>
                <w:b/>
                <w:sz w:val="19"/>
                <w:szCs w:val="19"/>
              </w:rPr>
            </w:pPr>
            <w:r w:rsidRPr="00306F4D">
              <w:rPr>
                <w:rFonts w:ascii="Arial" w:hAnsi="Arial" w:cs="Arial"/>
                <w:b/>
                <w:sz w:val="19"/>
                <w:szCs w:val="19"/>
              </w:rPr>
              <w:t>Further assessment and management required for compliance</w:t>
            </w:r>
          </w:p>
          <w:p w14:paraId="4A61B0D3" w14:textId="77777777" w:rsidR="00F97CC9" w:rsidRPr="00306F4D" w:rsidRDefault="00F97CC9" w:rsidP="00F97CC9">
            <w:pPr>
              <w:rPr>
                <w:rFonts w:ascii="Arial" w:hAnsi="Arial" w:cs="Arial"/>
                <w:sz w:val="19"/>
                <w:szCs w:val="19"/>
              </w:rPr>
            </w:pPr>
            <w:r w:rsidRPr="00306F4D">
              <w:rPr>
                <w:rFonts w:ascii="Arial" w:hAnsi="Arial" w:cs="Arial"/>
                <w:sz w:val="19"/>
                <w:szCs w:val="19"/>
              </w:rPr>
              <w:t>All project-supported activities shall be screened to ensure that they fully comply with all applicable national law.</w:t>
            </w:r>
          </w:p>
          <w:p w14:paraId="20C96A4B" w14:textId="77777777" w:rsidR="00F97CC9" w:rsidRPr="00306F4D" w:rsidRDefault="00F97CC9" w:rsidP="00F97CC9">
            <w:pPr>
              <w:rPr>
                <w:rFonts w:ascii="Arial" w:eastAsia="Arial" w:hAnsi="Arial" w:cs="Arial"/>
                <w:b/>
                <w:sz w:val="19"/>
                <w:szCs w:val="19"/>
                <w:lang w:val="en-GB"/>
              </w:rPr>
            </w:pPr>
          </w:p>
        </w:tc>
      </w:tr>
      <w:tr w:rsidR="00F97CC9" w:rsidRPr="00306F4D" w14:paraId="55B0F59B" w14:textId="77777777" w:rsidTr="00E306C7">
        <w:trPr>
          <w:trHeight w:val="3546"/>
        </w:trPr>
        <w:tc>
          <w:tcPr>
            <w:tcW w:w="1980" w:type="dxa"/>
          </w:tcPr>
          <w:p w14:paraId="08B88B2F" w14:textId="77777777" w:rsidR="00F97CC9" w:rsidRPr="00306F4D" w:rsidRDefault="00F97CC9" w:rsidP="00F97CC9">
            <w:pPr>
              <w:rPr>
                <w:rFonts w:ascii="Arial" w:hAnsi="Arial" w:cs="Arial"/>
                <w:sz w:val="19"/>
                <w:szCs w:val="19"/>
              </w:rPr>
            </w:pPr>
            <w:r w:rsidRPr="00306F4D">
              <w:rPr>
                <w:rFonts w:ascii="Arial" w:hAnsi="Arial" w:cs="Arial"/>
                <w:b/>
                <w:sz w:val="19"/>
                <w:szCs w:val="19"/>
              </w:rPr>
              <w:t>Access and Equity:</w:t>
            </w:r>
            <w:r w:rsidRPr="00306F4D">
              <w:rPr>
                <w:rFonts w:ascii="Arial" w:hAnsi="Arial" w:cs="Arial"/>
                <w:sz w:val="19"/>
                <w:szCs w:val="19"/>
              </w:rPr>
              <w:t xml:space="preserve"> </w:t>
            </w:r>
          </w:p>
          <w:p w14:paraId="2AC03AEE" w14:textId="77777777" w:rsidR="00F97CC9" w:rsidRPr="00306F4D" w:rsidRDefault="00F97CC9" w:rsidP="00F97CC9">
            <w:pPr>
              <w:rPr>
                <w:rFonts w:ascii="Arial" w:hAnsi="Arial" w:cs="Arial"/>
                <w:sz w:val="19"/>
                <w:szCs w:val="19"/>
              </w:rPr>
            </w:pPr>
          </w:p>
          <w:p w14:paraId="2BA1806C" w14:textId="77777777" w:rsidR="00F97CC9" w:rsidRPr="00306F4D" w:rsidRDefault="00F97CC9" w:rsidP="00F97CC9">
            <w:pPr>
              <w:rPr>
                <w:rFonts w:ascii="Arial" w:hAnsi="Arial" w:cs="Arial"/>
                <w:sz w:val="19"/>
                <w:szCs w:val="19"/>
              </w:rPr>
            </w:pPr>
          </w:p>
        </w:tc>
        <w:tc>
          <w:tcPr>
            <w:tcW w:w="1417" w:type="dxa"/>
          </w:tcPr>
          <w:p w14:paraId="6DC87F68" w14:textId="77777777" w:rsidR="00F97CC9" w:rsidRPr="00306F4D" w:rsidRDefault="00F97CC9" w:rsidP="00F97CC9">
            <w:pPr>
              <w:rPr>
                <w:rFonts w:ascii="Arial" w:hAnsi="Arial" w:cs="Arial"/>
                <w:sz w:val="19"/>
                <w:szCs w:val="19"/>
              </w:rPr>
            </w:pPr>
          </w:p>
          <w:p w14:paraId="3FCCA042" w14:textId="77777777" w:rsidR="00F97CC9" w:rsidRPr="00306F4D" w:rsidRDefault="00F97CC9" w:rsidP="00F97CC9">
            <w:pPr>
              <w:rPr>
                <w:rFonts w:ascii="Arial" w:hAnsi="Arial" w:cs="Arial"/>
                <w:sz w:val="19"/>
                <w:szCs w:val="19"/>
              </w:rPr>
            </w:pPr>
          </w:p>
        </w:tc>
        <w:tc>
          <w:tcPr>
            <w:tcW w:w="6663" w:type="dxa"/>
          </w:tcPr>
          <w:p w14:paraId="7A8584E4" w14:textId="77777777" w:rsidR="0071525D" w:rsidRPr="00306F4D" w:rsidRDefault="0071525D" w:rsidP="0071525D">
            <w:pPr>
              <w:rPr>
                <w:rFonts w:ascii="Arial" w:hAnsi="Arial" w:cs="Arial"/>
                <w:b/>
                <w:sz w:val="19"/>
                <w:szCs w:val="19"/>
              </w:rPr>
            </w:pPr>
            <w:r w:rsidRPr="00306F4D">
              <w:rPr>
                <w:rFonts w:ascii="Arial" w:hAnsi="Arial" w:cs="Arial"/>
                <w:b/>
                <w:sz w:val="19"/>
                <w:szCs w:val="19"/>
              </w:rPr>
              <w:t>Moderate risks</w:t>
            </w:r>
          </w:p>
          <w:p w14:paraId="5B6636AF" w14:textId="77777777" w:rsidR="00F97CC9" w:rsidRPr="00306F4D" w:rsidRDefault="00F97CC9" w:rsidP="00F97CC9">
            <w:pPr>
              <w:rPr>
                <w:rFonts w:ascii="Arial" w:hAnsi="Arial" w:cs="Arial"/>
                <w:sz w:val="19"/>
                <w:szCs w:val="19"/>
              </w:rPr>
            </w:pPr>
            <w:r w:rsidRPr="00306F4D">
              <w:rPr>
                <w:rFonts w:ascii="Arial" w:hAnsi="Arial" w:cs="Arial"/>
                <w:sz w:val="19"/>
                <w:szCs w:val="19"/>
              </w:rPr>
              <w:t>Marginalized groups (persons with disabilities, ethnic minorities e.g. Roma populations, poor communities) may be excluded from decision-making and benefits because of limited outreach to vulnerable populations because of their insufficient capacity to engage effectively, or inadequate conflict sensitivity in project design.</w:t>
            </w:r>
          </w:p>
          <w:p w14:paraId="7B4CBF7F" w14:textId="77777777" w:rsidR="00F97CC9" w:rsidRPr="00306F4D" w:rsidRDefault="00F97CC9" w:rsidP="00F97CC9">
            <w:pPr>
              <w:rPr>
                <w:rFonts w:ascii="Arial" w:hAnsi="Arial" w:cs="Arial"/>
                <w:sz w:val="19"/>
                <w:szCs w:val="19"/>
              </w:rPr>
            </w:pPr>
          </w:p>
          <w:p w14:paraId="30D8FAC7" w14:textId="77777777" w:rsidR="00C518C1" w:rsidRPr="00306F4D" w:rsidRDefault="00C518C1" w:rsidP="00C518C1">
            <w:pPr>
              <w:rPr>
                <w:rFonts w:ascii="Arial" w:hAnsi="Arial" w:cs="Arial"/>
                <w:b/>
                <w:sz w:val="19"/>
                <w:szCs w:val="19"/>
              </w:rPr>
            </w:pPr>
            <w:r w:rsidRPr="00306F4D">
              <w:rPr>
                <w:rFonts w:ascii="Arial" w:hAnsi="Arial" w:cs="Arial"/>
                <w:b/>
                <w:sz w:val="19"/>
                <w:szCs w:val="19"/>
              </w:rPr>
              <w:t xml:space="preserve">Risk level based on Adaptation Fund’s methodology: Moderate </w:t>
            </w:r>
          </w:p>
          <w:p w14:paraId="2FD2DE8C" w14:textId="77777777" w:rsidR="00F97CC9" w:rsidRPr="00306F4D" w:rsidRDefault="00F97CC9" w:rsidP="00F97CC9">
            <w:pPr>
              <w:rPr>
                <w:rFonts w:ascii="Arial" w:hAnsi="Arial" w:cs="Arial"/>
                <w:b/>
                <w:sz w:val="19"/>
                <w:szCs w:val="19"/>
              </w:rPr>
            </w:pPr>
            <w:r w:rsidRPr="00306F4D">
              <w:rPr>
                <w:rFonts w:ascii="Arial" w:hAnsi="Arial" w:cs="Arial"/>
                <w:sz w:val="19"/>
                <w:szCs w:val="19"/>
              </w:rPr>
              <w:t>All project-supported activities shall be screened in order to ensure that provide fair and equitable access to benefits in a manner that is inclusive for potentially affected populations, including marginalized individuals and persons with disabilities, and not exacerbate existing inequities, particularly with respect to marginalized or vulnerable people who live in extreme poverty or face disadvantage(s) that limit their choices and opportunities relative to others in society.</w:t>
            </w:r>
          </w:p>
          <w:p w14:paraId="47B068CA" w14:textId="77777777" w:rsidR="00F97CC9" w:rsidRPr="00306F4D" w:rsidRDefault="00F97CC9" w:rsidP="00F97CC9">
            <w:pPr>
              <w:rPr>
                <w:rFonts w:ascii="Arial" w:hAnsi="Arial" w:cs="Arial"/>
                <w:sz w:val="19"/>
                <w:szCs w:val="19"/>
              </w:rPr>
            </w:pPr>
          </w:p>
        </w:tc>
      </w:tr>
      <w:tr w:rsidR="00F97CC9" w:rsidRPr="00306F4D" w14:paraId="3D363550" w14:textId="77777777" w:rsidTr="00F97CC9">
        <w:trPr>
          <w:trHeight w:val="300"/>
        </w:trPr>
        <w:tc>
          <w:tcPr>
            <w:tcW w:w="1980" w:type="dxa"/>
          </w:tcPr>
          <w:p w14:paraId="00CB2E8D" w14:textId="77777777" w:rsidR="00F97CC9" w:rsidRPr="00306F4D" w:rsidRDefault="00F97CC9" w:rsidP="00F97CC9">
            <w:pPr>
              <w:rPr>
                <w:rFonts w:ascii="Arial" w:hAnsi="Arial" w:cs="Arial"/>
                <w:sz w:val="19"/>
                <w:szCs w:val="19"/>
              </w:rPr>
            </w:pPr>
            <w:r w:rsidRPr="00306F4D">
              <w:rPr>
                <w:rFonts w:ascii="Arial" w:hAnsi="Arial" w:cs="Arial"/>
                <w:b/>
                <w:sz w:val="19"/>
                <w:szCs w:val="19"/>
              </w:rPr>
              <w:t>Marginalized and Vulnerable Groups:</w:t>
            </w:r>
            <w:r w:rsidRPr="00306F4D">
              <w:rPr>
                <w:rFonts w:ascii="Arial" w:hAnsi="Arial" w:cs="Arial"/>
                <w:sz w:val="19"/>
                <w:szCs w:val="19"/>
              </w:rPr>
              <w:t xml:space="preserve"> </w:t>
            </w:r>
          </w:p>
          <w:p w14:paraId="0DC598A3" w14:textId="77777777" w:rsidR="00F97CC9" w:rsidRPr="00306F4D" w:rsidRDefault="00F97CC9" w:rsidP="00F97CC9">
            <w:pPr>
              <w:rPr>
                <w:rFonts w:ascii="Arial" w:hAnsi="Arial" w:cs="Arial"/>
                <w:sz w:val="19"/>
                <w:szCs w:val="19"/>
              </w:rPr>
            </w:pPr>
          </w:p>
        </w:tc>
        <w:tc>
          <w:tcPr>
            <w:tcW w:w="1417" w:type="dxa"/>
          </w:tcPr>
          <w:p w14:paraId="707D6EA5" w14:textId="77777777" w:rsidR="00F97CC9" w:rsidRPr="00306F4D" w:rsidRDefault="00F97CC9" w:rsidP="00F97CC9">
            <w:pPr>
              <w:rPr>
                <w:rFonts w:ascii="Arial" w:hAnsi="Arial" w:cs="Arial"/>
                <w:sz w:val="19"/>
                <w:szCs w:val="19"/>
              </w:rPr>
            </w:pPr>
          </w:p>
        </w:tc>
        <w:tc>
          <w:tcPr>
            <w:tcW w:w="6663" w:type="dxa"/>
          </w:tcPr>
          <w:p w14:paraId="05A4DEE4" w14:textId="77777777" w:rsidR="0071525D" w:rsidRPr="00306F4D" w:rsidRDefault="0071525D" w:rsidP="0071525D">
            <w:pPr>
              <w:rPr>
                <w:rFonts w:ascii="Arial" w:hAnsi="Arial" w:cs="Arial"/>
                <w:b/>
                <w:sz w:val="19"/>
                <w:szCs w:val="19"/>
              </w:rPr>
            </w:pPr>
            <w:r w:rsidRPr="00306F4D">
              <w:rPr>
                <w:rFonts w:ascii="Arial" w:hAnsi="Arial" w:cs="Arial"/>
                <w:b/>
                <w:sz w:val="19"/>
                <w:szCs w:val="19"/>
              </w:rPr>
              <w:t>Moderate risks</w:t>
            </w:r>
          </w:p>
          <w:p w14:paraId="0C194AED" w14:textId="77777777" w:rsidR="00F97CC9" w:rsidRPr="00306F4D" w:rsidRDefault="00F97CC9" w:rsidP="00F97CC9">
            <w:pPr>
              <w:rPr>
                <w:rFonts w:ascii="Arial" w:hAnsi="Arial" w:cs="Arial"/>
                <w:sz w:val="19"/>
                <w:szCs w:val="19"/>
              </w:rPr>
            </w:pPr>
            <w:r w:rsidRPr="00306F4D">
              <w:rPr>
                <w:rFonts w:ascii="Arial" w:hAnsi="Arial" w:cs="Arial"/>
                <w:sz w:val="19"/>
                <w:szCs w:val="19"/>
              </w:rPr>
              <w:t xml:space="preserve">The supported projects might exacerbate existing inequities, particularly with respect to marginalized or vulnerable groups.  </w:t>
            </w:r>
          </w:p>
          <w:p w14:paraId="415C18C0" w14:textId="77777777" w:rsidR="00F97CC9" w:rsidRPr="00306F4D" w:rsidRDefault="00F97CC9" w:rsidP="00F97CC9">
            <w:pPr>
              <w:rPr>
                <w:rFonts w:ascii="Arial" w:hAnsi="Arial" w:cs="Arial"/>
                <w:sz w:val="19"/>
                <w:szCs w:val="19"/>
              </w:rPr>
            </w:pPr>
          </w:p>
          <w:p w14:paraId="052E4F80" w14:textId="77777777" w:rsidR="00F97CC9" w:rsidRPr="00306F4D" w:rsidRDefault="00F97CC9" w:rsidP="00F97CC9">
            <w:pPr>
              <w:rPr>
                <w:rFonts w:ascii="Arial" w:hAnsi="Arial" w:cs="Arial"/>
                <w:b/>
                <w:sz w:val="19"/>
                <w:szCs w:val="19"/>
              </w:rPr>
            </w:pPr>
            <w:r w:rsidRPr="00306F4D">
              <w:rPr>
                <w:rFonts w:ascii="Arial" w:hAnsi="Arial" w:cs="Arial"/>
                <w:b/>
                <w:sz w:val="19"/>
                <w:szCs w:val="19"/>
              </w:rPr>
              <w:t>Further assessment and management required for compliance</w:t>
            </w:r>
          </w:p>
          <w:p w14:paraId="5CAC9B7E" w14:textId="77777777" w:rsidR="00F97CC9" w:rsidRPr="00306F4D" w:rsidRDefault="00F97CC9" w:rsidP="00F97CC9">
            <w:pPr>
              <w:rPr>
                <w:rFonts w:ascii="Arial" w:hAnsi="Arial" w:cs="Arial"/>
                <w:b/>
                <w:sz w:val="19"/>
                <w:szCs w:val="19"/>
              </w:rPr>
            </w:pPr>
            <w:r w:rsidRPr="00306F4D">
              <w:rPr>
                <w:rFonts w:ascii="Arial" w:hAnsi="Arial" w:cs="Arial"/>
                <w:sz w:val="19"/>
                <w:szCs w:val="19"/>
              </w:rPr>
              <w:t xml:space="preserve">All project-supported activities shall be screened to ensure that they do not to exacerbate existing inequities, particularly with respect to marginalized or vulnerable groups.  Where risks of potential risks to access and equity arise, the supported actions shall be required to: </w:t>
            </w:r>
          </w:p>
          <w:p w14:paraId="64D6213D" w14:textId="77777777" w:rsidR="00F97CC9" w:rsidRPr="00306F4D" w:rsidRDefault="00F97CC9" w:rsidP="00F97CC9">
            <w:pPr>
              <w:pStyle w:val="ListParagraph"/>
              <w:numPr>
                <w:ilvl w:val="0"/>
                <w:numId w:val="109"/>
              </w:numPr>
              <w:rPr>
                <w:rFonts w:ascii="Arial" w:hAnsi="Arial" w:cs="Arial"/>
                <w:sz w:val="19"/>
                <w:szCs w:val="19"/>
              </w:rPr>
            </w:pPr>
            <w:r w:rsidRPr="00306F4D">
              <w:rPr>
                <w:rFonts w:ascii="Arial" w:hAnsi="Arial" w:cs="Arial"/>
                <w:sz w:val="19"/>
                <w:szCs w:val="19"/>
              </w:rPr>
              <w:t>identify potential impact of the proposed activities on the potentially affected individuals and groups, including those who have lesser access to its benefits and/or marginalized or vulnerable groups,</w:t>
            </w:r>
          </w:p>
          <w:p w14:paraId="05C613A8" w14:textId="77777777" w:rsidR="00F97CC9" w:rsidRPr="00306F4D" w:rsidRDefault="00F97CC9" w:rsidP="00F97CC9">
            <w:pPr>
              <w:pStyle w:val="ListParagraph"/>
              <w:numPr>
                <w:ilvl w:val="0"/>
                <w:numId w:val="109"/>
              </w:numPr>
              <w:rPr>
                <w:rFonts w:ascii="Arial" w:hAnsi="Arial" w:cs="Arial"/>
                <w:sz w:val="19"/>
                <w:szCs w:val="19"/>
              </w:rPr>
            </w:pPr>
            <w:r w:rsidRPr="00306F4D">
              <w:rPr>
                <w:rFonts w:ascii="Arial" w:hAnsi="Arial" w:cs="Arial"/>
                <w:sz w:val="19"/>
                <w:szCs w:val="19"/>
              </w:rPr>
              <w:t xml:space="preserve">Identify practical measures that avoid, reduce or offset such adverse impacts, and </w:t>
            </w:r>
          </w:p>
          <w:p w14:paraId="1AECB620" w14:textId="77777777" w:rsidR="00F97CC9" w:rsidRPr="00306F4D" w:rsidRDefault="00F97CC9" w:rsidP="00F97CC9">
            <w:pPr>
              <w:pStyle w:val="ListParagraph"/>
              <w:numPr>
                <w:ilvl w:val="0"/>
                <w:numId w:val="109"/>
              </w:numPr>
              <w:rPr>
                <w:rFonts w:ascii="Arial" w:hAnsi="Arial" w:cs="Arial"/>
                <w:sz w:val="19"/>
                <w:szCs w:val="19"/>
              </w:rPr>
            </w:pPr>
            <w:r w:rsidRPr="00306F4D">
              <w:rPr>
                <w:rFonts w:ascii="Arial" w:hAnsi="Arial" w:cs="Arial"/>
                <w:sz w:val="19"/>
                <w:szCs w:val="19"/>
              </w:rPr>
              <w:t>uphold the principles of accountability, inclusion, non-discrimination, and participation and increase the inclusion of potentially affected groups in decision-making processes that may impact them (consistent with the non-discrimination and equality human rights principle).</w:t>
            </w:r>
          </w:p>
          <w:p w14:paraId="0613B5E8" w14:textId="77777777" w:rsidR="00F97CC9" w:rsidRPr="00306F4D" w:rsidRDefault="00F97CC9" w:rsidP="00F97CC9">
            <w:pPr>
              <w:rPr>
                <w:rFonts w:ascii="Arial" w:hAnsi="Arial" w:cs="Arial"/>
                <w:sz w:val="19"/>
                <w:szCs w:val="19"/>
              </w:rPr>
            </w:pPr>
          </w:p>
        </w:tc>
      </w:tr>
      <w:tr w:rsidR="00F97CC9" w:rsidRPr="00306F4D" w14:paraId="7A082409" w14:textId="77777777" w:rsidTr="00F97CC9">
        <w:trPr>
          <w:trHeight w:val="300"/>
        </w:trPr>
        <w:tc>
          <w:tcPr>
            <w:tcW w:w="1980" w:type="dxa"/>
          </w:tcPr>
          <w:p w14:paraId="63A80218" w14:textId="77777777" w:rsidR="00F97CC9" w:rsidRPr="00306F4D" w:rsidRDefault="00F97CC9" w:rsidP="00F97CC9">
            <w:pPr>
              <w:rPr>
                <w:rFonts w:ascii="Arial" w:hAnsi="Arial" w:cs="Arial"/>
                <w:sz w:val="19"/>
                <w:szCs w:val="19"/>
              </w:rPr>
            </w:pPr>
            <w:r w:rsidRPr="00306F4D">
              <w:rPr>
                <w:rFonts w:ascii="Arial" w:hAnsi="Arial" w:cs="Arial"/>
                <w:b/>
                <w:sz w:val="19"/>
                <w:szCs w:val="19"/>
              </w:rPr>
              <w:t>Human Rights:</w:t>
            </w:r>
            <w:r w:rsidRPr="00306F4D">
              <w:rPr>
                <w:rFonts w:ascii="Arial" w:hAnsi="Arial" w:cs="Arial"/>
                <w:sz w:val="19"/>
                <w:szCs w:val="19"/>
              </w:rPr>
              <w:t xml:space="preserve"> </w:t>
            </w:r>
          </w:p>
          <w:p w14:paraId="3F655039" w14:textId="77777777" w:rsidR="00F97CC9" w:rsidRPr="00306F4D" w:rsidRDefault="00F97CC9" w:rsidP="00F97CC9">
            <w:pPr>
              <w:rPr>
                <w:rFonts w:ascii="Arial" w:hAnsi="Arial" w:cs="Arial"/>
                <w:sz w:val="19"/>
                <w:szCs w:val="19"/>
              </w:rPr>
            </w:pPr>
          </w:p>
          <w:p w14:paraId="2CC37E10" w14:textId="77777777" w:rsidR="00F97CC9" w:rsidRPr="00306F4D" w:rsidRDefault="00F97CC9" w:rsidP="00F97CC9">
            <w:pPr>
              <w:rPr>
                <w:rFonts w:ascii="Arial" w:hAnsi="Arial" w:cs="Arial"/>
                <w:sz w:val="19"/>
                <w:szCs w:val="19"/>
              </w:rPr>
            </w:pPr>
          </w:p>
        </w:tc>
        <w:tc>
          <w:tcPr>
            <w:tcW w:w="1417" w:type="dxa"/>
          </w:tcPr>
          <w:p w14:paraId="62C8001B" w14:textId="77777777" w:rsidR="00F97CC9" w:rsidRPr="00306F4D" w:rsidRDefault="00F97CC9" w:rsidP="00F97CC9">
            <w:pPr>
              <w:rPr>
                <w:rFonts w:ascii="Arial" w:hAnsi="Arial" w:cs="Arial"/>
                <w:sz w:val="19"/>
                <w:szCs w:val="19"/>
              </w:rPr>
            </w:pPr>
            <w:r w:rsidRPr="00306F4D">
              <w:rPr>
                <w:rFonts w:ascii="Arial" w:hAnsi="Arial" w:cs="Arial"/>
                <w:sz w:val="19"/>
                <w:szCs w:val="19"/>
              </w:rPr>
              <w:t xml:space="preserve"> </w:t>
            </w:r>
          </w:p>
        </w:tc>
        <w:tc>
          <w:tcPr>
            <w:tcW w:w="6663" w:type="dxa"/>
          </w:tcPr>
          <w:p w14:paraId="4AC7FEB4" w14:textId="77777777" w:rsidR="0071525D" w:rsidRPr="00306F4D" w:rsidRDefault="0071525D" w:rsidP="0071525D">
            <w:pPr>
              <w:rPr>
                <w:rFonts w:ascii="Arial" w:hAnsi="Arial" w:cs="Arial"/>
                <w:b/>
                <w:sz w:val="19"/>
                <w:szCs w:val="19"/>
              </w:rPr>
            </w:pPr>
            <w:r w:rsidRPr="00306F4D">
              <w:rPr>
                <w:rFonts w:ascii="Arial" w:hAnsi="Arial" w:cs="Arial"/>
                <w:b/>
                <w:sz w:val="19"/>
                <w:szCs w:val="19"/>
              </w:rPr>
              <w:t>Moderate risks</w:t>
            </w:r>
          </w:p>
          <w:p w14:paraId="2B4BAC16" w14:textId="77777777" w:rsidR="00F97CC9" w:rsidRPr="00306F4D" w:rsidRDefault="00F97CC9" w:rsidP="00F97CC9">
            <w:pPr>
              <w:rPr>
                <w:rFonts w:ascii="Arial" w:hAnsi="Arial" w:cs="Arial"/>
                <w:sz w:val="19"/>
                <w:szCs w:val="19"/>
              </w:rPr>
            </w:pPr>
            <w:r w:rsidRPr="00306F4D">
              <w:rPr>
                <w:rFonts w:ascii="Arial" w:hAnsi="Arial" w:cs="Arial"/>
                <w:sz w:val="19"/>
                <w:szCs w:val="19"/>
              </w:rPr>
              <w:t xml:space="preserve">The project might provide support for activities that guarantee e.g. equal protection under the law; discrimination based on race, color, sex, language, religion, political or other opinion, national or social origin, property, birth or other status right; etc., defined in the national law and the core international human rights treaties (e.g. Universal Declaration of Human Rights and International Covenant on Civil and Political Rights, etc.) </w:t>
            </w:r>
          </w:p>
          <w:p w14:paraId="1115A0DC" w14:textId="77777777" w:rsidR="00F97CC9" w:rsidRPr="00306F4D" w:rsidRDefault="00F97CC9" w:rsidP="00F97CC9">
            <w:pPr>
              <w:rPr>
                <w:rFonts w:ascii="Arial" w:hAnsi="Arial" w:cs="Arial"/>
                <w:sz w:val="19"/>
                <w:szCs w:val="19"/>
              </w:rPr>
            </w:pPr>
          </w:p>
          <w:p w14:paraId="05C8DBBC" w14:textId="77777777" w:rsidR="00F97CC9" w:rsidRPr="00306F4D" w:rsidRDefault="00F97CC9" w:rsidP="00F97CC9">
            <w:pPr>
              <w:rPr>
                <w:rFonts w:ascii="Arial" w:hAnsi="Arial" w:cs="Arial"/>
                <w:b/>
                <w:sz w:val="19"/>
                <w:szCs w:val="19"/>
              </w:rPr>
            </w:pPr>
            <w:r w:rsidRPr="00306F4D">
              <w:rPr>
                <w:rFonts w:ascii="Arial" w:hAnsi="Arial" w:cs="Arial"/>
                <w:b/>
                <w:sz w:val="19"/>
                <w:szCs w:val="19"/>
              </w:rPr>
              <w:t>Further assessment and management required for compliance</w:t>
            </w:r>
          </w:p>
          <w:p w14:paraId="05A27D8A" w14:textId="77777777" w:rsidR="00F97CC9" w:rsidRPr="00306F4D" w:rsidRDefault="00F97CC9" w:rsidP="00F97CC9">
            <w:pPr>
              <w:rPr>
                <w:rFonts w:ascii="Arial" w:hAnsi="Arial" w:cs="Arial"/>
                <w:sz w:val="19"/>
                <w:szCs w:val="19"/>
              </w:rPr>
            </w:pPr>
            <w:r w:rsidRPr="00306F4D">
              <w:rPr>
                <w:rFonts w:ascii="Arial" w:hAnsi="Arial" w:cs="Arial"/>
                <w:sz w:val="19"/>
                <w:szCs w:val="19"/>
              </w:rPr>
              <w:lastRenderedPageBreak/>
              <w:t>All project-supported activities shall be screened for potential Human Rights risks.</w:t>
            </w:r>
          </w:p>
          <w:p w14:paraId="45B6BA20" w14:textId="77777777" w:rsidR="00F97CC9" w:rsidRPr="00306F4D" w:rsidRDefault="00F97CC9" w:rsidP="00F97CC9">
            <w:pPr>
              <w:rPr>
                <w:rFonts w:ascii="Arial" w:hAnsi="Arial" w:cs="Arial"/>
                <w:sz w:val="19"/>
                <w:szCs w:val="19"/>
              </w:rPr>
            </w:pPr>
          </w:p>
          <w:p w14:paraId="0E0F30CC" w14:textId="77777777" w:rsidR="00F97CC9" w:rsidRPr="00306F4D" w:rsidRDefault="00F97CC9" w:rsidP="00F97CC9">
            <w:pPr>
              <w:rPr>
                <w:rFonts w:ascii="Arial" w:hAnsi="Arial" w:cs="Arial"/>
                <w:b/>
                <w:sz w:val="19"/>
                <w:szCs w:val="19"/>
              </w:rPr>
            </w:pPr>
            <w:r w:rsidRPr="00306F4D">
              <w:rPr>
                <w:rFonts w:ascii="Arial" w:hAnsi="Arial" w:cs="Arial"/>
                <w:sz w:val="19"/>
                <w:szCs w:val="19"/>
              </w:rPr>
              <w:t xml:space="preserve">Where the risks of Human Rights violation would rise, the project shall duly consider any such risks and assist the applicants in adequately addressing them based on standards set in international law or national law (whichever is higher). </w:t>
            </w:r>
          </w:p>
          <w:p w14:paraId="77CFCD69" w14:textId="77777777" w:rsidR="00F97CC9" w:rsidRPr="00306F4D" w:rsidRDefault="00F97CC9" w:rsidP="00F97CC9">
            <w:pPr>
              <w:rPr>
                <w:rFonts w:ascii="Arial" w:hAnsi="Arial" w:cs="Arial"/>
                <w:sz w:val="19"/>
                <w:szCs w:val="19"/>
              </w:rPr>
            </w:pPr>
          </w:p>
        </w:tc>
      </w:tr>
      <w:tr w:rsidR="00F97CC9" w:rsidRPr="00306F4D" w14:paraId="39843CB8" w14:textId="77777777" w:rsidTr="00F97CC9">
        <w:trPr>
          <w:trHeight w:val="300"/>
        </w:trPr>
        <w:tc>
          <w:tcPr>
            <w:tcW w:w="1980" w:type="dxa"/>
          </w:tcPr>
          <w:p w14:paraId="255B66E1" w14:textId="77777777" w:rsidR="00F97CC9" w:rsidRPr="00306F4D" w:rsidRDefault="00F97CC9" w:rsidP="00F97CC9">
            <w:pPr>
              <w:rPr>
                <w:rFonts w:ascii="Arial" w:hAnsi="Arial" w:cs="Arial"/>
                <w:b/>
                <w:sz w:val="19"/>
                <w:szCs w:val="19"/>
              </w:rPr>
            </w:pPr>
            <w:r w:rsidRPr="00306F4D">
              <w:rPr>
                <w:rFonts w:ascii="Arial" w:hAnsi="Arial" w:cs="Arial"/>
                <w:b/>
                <w:sz w:val="19"/>
                <w:szCs w:val="19"/>
              </w:rPr>
              <w:lastRenderedPageBreak/>
              <w:t xml:space="preserve">Gender Equality and Women’s Empowerment: </w:t>
            </w:r>
          </w:p>
          <w:p w14:paraId="3E869816" w14:textId="77777777" w:rsidR="00F97CC9" w:rsidRPr="00306F4D" w:rsidRDefault="00F97CC9" w:rsidP="00F97CC9">
            <w:pPr>
              <w:rPr>
                <w:rFonts w:ascii="Arial" w:hAnsi="Arial" w:cs="Arial"/>
                <w:sz w:val="19"/>
                <w:szCs w:val="19"/>
              </w:rPr>
            </w:pPr>
          </w:p>
        </w:tc>
        <w:tc>
          <w:tcPr>
            <w:tcW w:w="1417" w:type="dxa"/>
          </w:tcPr>
          <w:p w14:paraId="4C854F5F" w14:textId="77777777" w:rsidR="00F97CC9" w:rsidRPr="00306F4D" w:rsidRDefault="00F97CC9" w:rsidP="00F97CC9">
            <w:pPr>
              <w:rPr>
                <w:rFonts w:ascii="Arial" w:hAnsi="Arial" w:cs="Arial"/>
                <w:sz w:val="19"/>
                <w:szCs w:val="19"/>
              </w:rPr>
            </w:pPr>
          </w:p>
        </w:tc>
        <w:tc>
          <w:tcPr>
            <w:tcW w:w="6663" w:type="dxa"/>
          </w:tcPr>
          <w:p w14:paraId="2CC57C3F" w14:textId="77777777" w:rsidR="0071525D" w:rsidRPr="00306F4D" w:rsidRDefault="0071525D" w:rsidP="0071525D">
            <w:pPr>
              <w:rPr>
                <w:rFonts w:ascii="Arial" w:hAnsi="Arial" w:cs="Arial"/>
                <w:b/>
                <w:sz w:val="19"/>
                <w:szCs w:val="19"/>
              </w:rPr>
            </w:pPr>
            <w:r w:rsidRPr="00306F4D">
              <w:rPr>
                <w:rFonts w:ascii="Arial" w:hAnsi="Arial" w:cs="Arial"/>
                <w:b/>
                <w:sz w:val="19"/>
                <w:szCs w:val="19"/>
              </w:rPr>
              <w:t>Moderate risks</w:t>
            </w:r>
          </w:p>
          <w:p w14:paraId="68A6A536" w14:textId="77777777" w:rsidR="00F97CC9" w:rsidRPr="00306F4D" w:rsidRDefault="00F97CC9" w:rsidP="00F97CC9">
            <w:pPr>
              <w:rPr>
                <w:rFonts w:ascii="Arial" w:hAnsi="Arial" w:cs="Arial"/>
                <w:sz w:val="19"/>
                <w:szCs w:val="19"/>
              </w:rPr>
            </w:pPr>
            <w:r w:rsidRPr="00306F4D">
              <w:rPr>
                <w:rFonts w:ascii="Arial" w:hAnsi="Arial" w:cs="Arial"/>
                <w:sz w:val="19"/>
                <w:szCs w:val="19"/>
              </w:rPr>
              <w:t>The supported activities might not be implemented in a gender-responsive manner and discriminate against women or girls or reinforce gender-based discrimination and/or inequalities.</w:t>
            </w:r>
          </w:p>
          <w:p w14:paraId="5C1D01A0" w14:textId="77777777" w:rsidR="00F97CC9" w:rsidRPr="00306F4D" w:rsidRDefault="00F97CC9" w:rsidP="00F97CC9">
            <w:pPr>
              <w:rPr>
                <w:rFonts w:ascii="Arial" w:hAnsi="Arial" w:cs="Arial"/>
                <w:sz w:val="19"/>
                <w:szCs w:val="19"/>
              </w:rPr>
            </w:pPr>
          </w:p>
          <w:p w14:paraId="5FD43E60" w14:textId="77777777" w:rsidR="00F97CC9" w:rsidRPr="00306F4D" w:rsidRDefault="00F97CC9" w:rsidP="00F97CC9">
            <w:pPr>
              <w:rPr>
                <w:rFonts w:ascii="Arial" w:hAnsi="Arial" w:cs="Arial"/>
                <w:b/>
                <w:sz w:val="19"/>
                <w:szCs w:val="19"/>
              </w:rPr>
            </w:pPr>
            <w:r w:rsidRPr="00306F4D">
              <w:rPr>
                <w:rFonts w:ascii="Arial" w:hAnsi="Arial" w:cs="Arial"/>
                <w:b/>
                <w:sz w:val="19"/>
                <w:szCs w:val="19"/>
              </w:rPr>
              <w:t>Further assessment and management required for compliance</w:t>
            </w:r>
          </w:p>
          <w:p w14:paraId="6C69CE40" w14:textId="77777777" w:rsidR="00F97CC9" w:rsidRPr="00306F4D" w:rsidRDefault="00F97CC9" w:rsidP="00F97CC9">
            <w:pPr>
              <w:rPr>
                <w:rFonts w:ascii="Arial" w:hAnsi="Arial" w:cs="Arial"/>
                <w:sz w:val="19"/>
                <w:szCs w:val="19"/>
              </w:rPr>
            </w:pPr>
            <w:r w:rsidRPr="00306F4D">
              <w:rPr>
                <w:rFonts w:ascii="Arial" w:hAnsi="Arial" w:cs="Arial"/>
                <w:sz w:val="19"/>
                <w:szCs w:val="19"/>
              </w:rPr>
              <w:t>All project-supported activities shall be screened to ensure that they are gender-responsive and not reinforce gender-based discrimination and/or inequalities. The supported actions will be expected to promote a meaningful and equitable participation of both women and men in decision-making about the supported activities, allow both genders obtain comparable social and economic benefits from the proposed actions, and support women to easily access them. The project will (where relevant) promote women-led initiatives.</w:t>
            </w:r>
          </w:p>
          <w:p w14:paraId="321A643D" w14:textId="77777777" w:rsidR="00F97CC9" w:rsidRPr="00306F4D" w:rsidRDefault="00F97CC9" w:rsidP="00F97CC9">
            <w:pPr>
              <w:rPr>
                <w:rFonts w:ascii="Arial" w:hAnsi="Arial" w:cs="Arial"/>
                <w:sz w:val="19"/>
                <w:szCs w:val="19"/>
              </w:rPr>
            </w:pPr>
          </w:p>
        </w:tc>
      </w:tr>
      <w:tr w:rsidR="00F97CC9" w:rsidRPr="00306F4D" w14:paraId="0E19F7FA" w14:textId="77777777" w:rsidTr="00F97CC9">
        <w:trPr>
          <w:trHeight w:val="300"/>
        </w:trPr>
        <w:tc>
          <w:tcPr>
            <w:tcW w:w="1980" w:type="dxa"/>
          </w:tcPr>
          <w:p w14:paraId="211A4067" w14:textId="77777777" w:rsidR="00F97CC9" w:rsidRPr="00306F4D" w:rsidRDefault="00F97CC9" w:rsidP="00F97CC9">
            <w:pPr>
              <w:rPr>
                <w:rFonts w:ascii="Arial" w:hAnsi="Arial" w:cs="Arial"/>
                <w:sz w:val="19"/>
                <w:szCs w:val="19"/>
              </w:rPr>
            </w:pPr>
            <w:r w:rsidRPr="00306F4D">
              <w:rPr>
                <w:rFonts w:ascii="Arial" w:hAnsi="Arial" w:cs="Arial"/>
                <w:b/>
                <w:sz w:val="19"/>
                <w:szCs w:val="19"/>
              </w:rPr>
              <w:t xml:space="preserve">Core </w:t>
            </w:r>
            <w:proofErr w:type="spellStart"/>
            <w:r w:rsidRPr="00306F4D">
              <w:rPr>
                <w:rFonts w:ascii="Arial" w:hAnsi="Arial" w:cs="Arial"/>
                <w:b/>
                <w:sz w:val="19"/>
                <w:szCs w:val="19"/>
              </w:rPr>
              <w:t>Labour</w:t>
            </w:r>
            <w:proofErr w:type="spellEnd"/>
            <w:r w:rsidRPr="00306F4D">
              <w:rPr>
                <w:rFonts w:ascii="Arial" w:hAnsi="Arial" w:cs="Arial"/>
                <w:b/>
                <w:sz w:val="19"/>
                <w:szCs w:val="19"/>
              </w:rPr>
              <w:t xml:space="preserve"> Rights:</w:t>
            </w:r>
            <w:r w:rsidRPr="00306F4D">
              <w:rPr>
                <w:rFonts w:ascii="Arial" w:hAnsi="Arial" w:cs="Arial"/>
                <w:sz w:val="19"/>
                <w:szCs w:val="19"/>
              </w:rPr>
              <w:t xml:space="preserve"> </w:t>
            </w:r>
          </w:p>
          <w:p w14:paraId="072575EE" w14:textId="77777777" w:rsidR="00F97CC9" w:rsidRPr="00306F4D" w:rsidRDefault="00F97CC9" w:rsidP="00F97CC9">
            <w:pPr>
              <w:rPr>
                <w:rFonts w:ascii="Arial" w:hAnsi="Arial" w:cs="Arial"/>
                <w:sz w:val="19"/>
                <w:szCs w:val="19"/>
              </w:rPr>
            </w:pPr>
          </w:p>
        </w:tc>
        <w:tc>
          <w:tcPr>
            <w:tcW w:w="1417" w:type="dxa"/>
          </w:tcPr>
          <w:p w14:paraId="4329DC04" w14:textId="77777777" w:rsidR="00F97CC9" w:rsidRPr="00306F4D" w:rsidRDefault="00F97CC9" w:rsidP="00F97CC9">
            <w:pPr>
              <w:rPr>
                <w:rFonts w:ascii="Arial" w:hAnsi="Arial" w:cs="Arial"/>
                <w:sz w:val="19"/>
                <w:szCs w:val="19"/>
              </w:rPr>
            </w:pPr>
          </w:p>
        </w:tc>
        <w:tc>
          <w:tcPr>
            <w:tcW w:w="6663" w:type="dxa"/>
          </w:tcPr>
          <w:p w14:paraId="73DB49F8" w14:textId="77777777" w:rsidR="0071525D" w:rsidRPr="00306F4D" w:rsidRDefault="0071525D" w:rsidP="0071525D">
            <w:pPr>
              <w:rPr>
                <w:rFonts w:ascii="Arial" w:hAnsi="Arial" w:cs="Arial"/>
                <w:b/>
                <w:sz w:val="19"/>
                <w:szCs w:val="19"/>
              </w:rPr>
            </w:pPr>
            <w:r w:rsidRPr="00306F4D">
              <w:rPr>
                <w:rFonts w:ascii="Arial" w:hAnsi="Arial" w:cs="Arial"/>
                <w:b/>
                <w:sz w:val="19"/>
                <w:szCs w:val="19"/>
              </w:rPr>
              <w:t>Moderate risks</w:t>
            </w:r>
          </w:p>
          <w:p w14:paraId="33A1A594" w14:textId="77777777" w:rsidR="00F97CC9" w:rsidRPr="00306F4D" w:rsidRDefault="00F97CC9" w:rsidP="00F97CC9">
            <w:pPr>
              <w:rPr>
                <w:rFonts w:ascii="Arial" w:hAnsi="Arial" w:cs="Arial"/>
                <w:sz w:val="19"/>
                <w:szCs w:val="19"/>
              </w:rPr>
            </w:pPr>
            <w:r w:rsidRPr="00306F4D">
              <w:rPr>
                <w:rFonts w:ascii="Arial" w:hAnsi="Arial" w:cs="Arial"/>
                <w:sz w:val="19"/>
                <w:szCs w:val="19"/>
              </w:rPr>
              <w:t xml:space="preserve">The grant recipients and project contractors may not have procedures for observance of workers’ rights and may not provide contracted worker with </w:t>
            </w:r>
            <w:proofErr w:type="spellStart"/>
            <w:r w:rsidRPr="00306F4D">
              <w:rPr>
                <w:rFonts w:ascii="Arial" w:hAnsi="Arial" w:cs="Arial"/>
                <w:sz w:val="19"/>
                <w:szCs w:val="19"/>
              </w:rPr>
              <w:t>labour</w:t>
            </w:r>
            <w:proofErr w:type="spellEnd"/>
            <w:r w:rsidRPr="00306F4D">
              <w:rPr>
                <w:rFonts w:ascii="Arial" w:hAnsi="Arial" w:cs="Arial"/>
                <w:sz w:val="19"/>
                <w:szCs w:val="19"/>
              </w:rPr>
              <w:t xml:space="preserve"> and working conditions that meet the relevant national </w:t>
            </w:r>
            <w:proofErr w:type="spellStart"/>
            <w:r w:rsidRPr="00306F4D">
              <w:rPr>
                <w:rFonts w:ascii="Arial" w:hAnsi="Arial" w:cs="Arial"/>
                <w:sz w:val="19"/>
                <w:szCs w:val="19"/>
              </w:rPr>
              <w:t>labour</w:t>
            </w:r>
            <w:proofErr w:type="spellEnd"/>
            <w:r w:rsidRPr="00306F4D">
              <w:rPr>
                <w:rFonts w:ascii="Arial" w:hAnsi="Arial" w:cs="Arial"/>
                <w:sz w:val="19"/>
                <w:szCs w:val="19"/>
              </w:rPr>
              <w:t xml:space="preserve"> laws and relevant ILO conventions. </w:t>
            </w:r>
          </w:p>
          <w:p w14:paraId="5B59DE61" w14:textId="77777777" w:rsidR="00F97CC9" w:rsidRPr="00306F4D" w:rsidRDefault="00F97CC9" w:rsidP="00F97CC9">
            <w:pPr>
              <w:rPr>
                <w:rFonts w:ascii="Arial" w:hAnsi="Arial" w:cs="Arial"/>
                <w:sz w:val="19"/>
                <w:szCs w:val="19"/>
              </w:rPr>
            </w:pPr>
          </w:p>
          <w:p w14:paraId="21B5113F" w14:textId="77777777" w:rsidR="00F97CC9" w:rsidRPr="00306F4D" w:rsidRDefault="00F97CC9" w:rsidP="00F97CC9">
            <w:pPr>
              <w:rPr>
                <w:rFonts w:ascii="Arial" w:hAnsi="Arial" w:cs="Arial"/>
                <w:b/>
                <w:sz w:val="19"/>
                <w:szCs w:val="19"/>
              </w:rPr>
            </w:pPr>
            <w:r w:rsidRPr="00306F4D">
              <w:rPr>
                <w:rFonts w:ascii="Arial" w:hAnsi="Arial" w:cs="Arial"/>
                <w:b/>
                <w:sz w:val="19"/>
                <w:szCs w:val="19"/>
              </w:rPr>
              <w:t>Further assessment and management required for compliance</w:t>
            </w:r>
          </w:p>
          <w:p w14:paraId="3A6367D7" w14:textId="77777777" w:rsidR="00F97CC9" w:rsidRPr="00306F4D" w:rsidRDefault="00F97CC9" w:rsidP="00F97CC9">
            <w:pPr>
              <w:rPr>
                <w:rFonts w:ascii="Arial" w:hAnsi="Arial" w:cs="Arial"/>
                <w:b/>
                <w:sz w:val="19"/>
                <w:szCs w:val="19"/>
              </w:rPr>
            </w:pPr>
            <w:r w:rsidRPr="00306F4D">
              <w:rPr>
                <w:rFonts w:ascii="Arial" w:hAnsi="Arial" w:cs="Arial"/>
                <w:sz w:val="19"/>
                <w:szCs w:val="19"/>
              </w:rPr>
              <w:t xml:space="preserve">All project-supported activities shall be screened for the potential labor risk violations. The supported </w:t>
            </w:r>
            <w:proofErr w:type="spellStart"/>
            <w:r w:rsidRPr="00306F4D">
              <w:rPr>
                <w:rFonts w:ascii="Arial" w:hAnsi="Arial" w:cs="Arial"/>
                <w:sz w:val="19"/>
                <w:szCs w:val="19"/>
              </w:rPr>
              <w:t>organisations</w:t>
            </w:r>
            <w:proofErr w:type="spellEnd"/>
            <w:r w:rsidRPr="00306F4D">
              <w:rPr>
                <w:rFonts w:ascii="Arial" w:hAnsi="Arial" w:cs="Arial"/>
                <w:sz w:val="19"/>
                <w:szCs w:val="19"/>
              </w:rPr>
              <w:t xml:space="preserve"> will be required to provide their workers with </w:t>
            </w:r>
            <w:proofErr w:type="spellStart"/>
            <w:r w:rsidRPr="00306F4D">
              <w:rPr>
                <w:rFonts w:ascii="Arial" w:hAnsi="Arial" w:cs="Arial"/>
                <w:sz w:val="19"/>
                <w:szCs w:val="19"/>
              </w:rPr>
              <w:t>labour</w:t>
            </w:r>
            <w:proofErr w:type="spellEnd"/>
            <w:r w:rsidRPr="00306F4D">
              <w:rPr>
                <w:rFonts w:ascii="Arial" w:hAnsi="Arial" w:cs="Arial"/>
                <w:sz w:val="19"/>
                <w:szCs w:val="19"/>
              </w:rPr>
              <w:t xml:space="preserve"> and working conditions that meet the national </w:t>
            </w:r>
            <w:proofErr w:type="spellStart"/>
            <w:r w:rsidRPr="00306F4D">
              <w:rPr>
                <w:rFonts w:ascii="Arial" w:hAnsi="Arial" w:cs="Arial"/>
                <w:sz w:val="19"/>
                <w:szCs w:val="19"/>
              </w:rPr>
              <w:t>labour</w:t>
            </w:r>
            <w:proofErr w:type="spellEnd"/>
            <w:r w:rsidRPr="00306F4D">
              <w:rPr>
                <w:rFonts w:ascii="Arial" w:hAnsi="Arial" w:cs="Arial"/>
                <w:sz w:val="19"/>
                <w:szCs w:val="19"/>
              </w:rPr>
              <w:t xml:space="preserve"> laws, including the following core labor-related requirements stipulated in the relevant key ILO conventions:</w:t>
            </w:r>
          </w:p>
          <w:p w14:paraId="129387AA" w14:textId="77777777" w:rsidR="00F97CC9" w:rsidRPr="00306F4D" w:rsidRDefault="00F97CC9" w:rsidP="00F97CC9">
            <w:pPr>
              <w:pStyle w:val="ListParagraph"/>
              <w:numPr>
                <w:ilvl w:val="0"/>
                <w:numId w:val="109"/>
              </w:numPr>
              <w:rPr>
                <w:rFonts w:ascii="Arial" w:hAnsi="Arial" w:cs="Arial"/>
                <w:sz w:val="19"/>
                <w:szCs w:val="19"/>
              </w:rPr>
            </w:pPr>
            <w:r w:rsidRPr="00306F4D">
              <w:rPr>
                <w:rFonts w:ascii="Arial" w:hAnsi="Arial" w:cs="Arial"/>
                <w:sz w:val="19"/>
                <w:szCs w:val="19"/>
              </w:rPr>
              <w:t xml:space="preserve">Provide project workers with clear and understandable information on terms and conditions of their employment (e.g. payment in a timely manner, written notice of termination, and payment of all wages and benefits on termination, etc.). </w:t>
            </w:r>
          </w:p>
          <w:p w14:paraId="40C82F18" w14:textId="77777777" w:rsidR="00F97CC9" w:rsidRPr="00306F4D" w:rsidRDefault="00F97CC9" w:rsidP="00F97CC9">
            <w:pPr>
              <w:pStyle w:val="ListParagraph"/>
              <w:numPr>
                <w:ilvl w:val="0"/>
                <w:numId w:val="109"/>
              </w:numPr>
              <w:rPr>
                <w:rFonts w:ascii="Arial" w:hAnsi="Arial" w:cs="Arial"/>
                <w:sz w:val="19"/>
                <w:szCs w:val="19"/>
              </w:rPr>
            </w:pPr>
            <w:r w:rsidRPr="00306F4D">
              <w:rPr>
                <w:rFonts w:ascii="Arial" w:hAnsi="Arial" w:cs="Arial"/>
                <w:sz w:val="19"/>
                <w:szCs w:val="19"/>
              </w:rPr>
              <w:t>Prevent and address violence, harassment, intimidation, or exploitation, including any form of gender-based violence.</w:t>
            </w:r>
          </w:p>
          <w:p w14:paraId="5AC3773F" w14:textId="77777777" w:rsidR="00F97CC9" w:rsidRPr="00306F4D" w:rsidRDefault="00F97CC9" w:rsidP="00F97CC9">
            <w:pPr>
              <w:pStyle w:val="ListParagraph"/>
              <w:numPr>
                <w:ilvl w:val="0"/>
                <w:numId w:val="109"/>
              </w:numPr>
              <w:rPr>
                <w:rFonts w:ascii="Arial" w:hAnsi="Arial" w:cs="Arial"/>
                <w:sz w:val="19"/>
                <w:szCs w:val="19"/>
              </w:rPr>
            </w:pPr>
            <w:r w:rsidRPr="00306F4D">
              <w:rPr>
                <w:rFonts w:ascii="Arial" w:hAnsi="Arial" w:cs="Arial"/>
                <w:sz w:val="19"/>
                <w:szCs w:val="19"/>
              </w:rPr>
              <w:t>Ensure that workers engaged have appropriate health and social insurance.</w:t>
            </w:r>
          </w:p>
          <w:p w14:paraId="17C28953" w14:textId="77777777" w:rsidR="00F97CC9" w:rsidRPr="00306F4D" w:rsidRDefault="00F97CC9" w:rsidP="00F97CC9">
            <w:pPr>
              <w:pStyle w:val="ListParagraph"/>
              <w:numPr>
                <w:ilvl w:val="0"/>
                <w:numId w:val="109"/>
              </w:numPr>
              <w:rPr>
                <w:rFonts w:ascii="Arial" w:hAnsi="Arial" w:cs="Arial"/>
                <w:sz w:val="19"/>
                <w:szCs w:val="19"/>
              </w:rPr>
            </w:pPr>
            <w:r w:rsidRPr="00306F4D">
              <w:rPr>
                <w:rFonts w:ascii="Arial" w:hAnsi="Arial" w:cs="Arial"/>
                <w:sz w:val="19"/>
                <w:szCs w:val="19"/>
              </w:rPr>
              <w:t xml:space="preserve">Exclude unsafe working practices and implement relevant occupational health and safety measures, such as: </w:t>
            </w:r>
          </w:p>
          <w:p w14:paraId="1D1AFC09" w14:textId="77777777" w:rsidR="00F97CC9" w:rsidRPr="00306F4D" w:rsidRDefault="00F97CC9" w:rsidP="00F97CC9">
            <w:pPr>
              <w:pStyle w:val="ListParagraph"/>
              <w:numPr>
                <w:ilvl w:val="0"/>
                <w:numId w:val="109"/>
              </w:numPr>
              <w:rPr>
                <w:rFonts w:ascii="Arial" w:hAnsi="Arial" w:cs="Arial"/>
                <w:sz w:val="19"/>
                <w:szCs w:val="19"/>
              </w:rPr>
            </w:pPr>
            <w:r w:rsidRPr="00306F4D">
              <w:rPr>
                <w:rFonts w:ascii="Arial" w:hAnsi="Arial" w:cs="Arial"/>
                <w:sz w:val="19"/>
                <w:szCs w:val="19"/>
              </w:rPr>
              <w:t>Provide workers with introductory job- focused safety trainings before starting work; training event is properly registered in the instructions’ book.</w:t>
            </w:r>
          </w:p>
          <w:p w14:paraId="2F43B8AB" w14:textId="77777777" w:rsidR="00F97CC9" w:rsidRPr="00306F4D" w:rsidRDefault="00F97CC9" w:rsidP="00F97CC9">
            <w:pPr>
              <w:pStyle w:val="ListParagraph"/>
              <w:numPr>
                <w:ilvl w:val="0"/>
                <w:numId w:val="109"/>
              </w:numPr>
              <w:rPr>
                <w:rFonts w:ascii="Arial" w:hAnsi="Arial" w:cs="Arial"/>
                <w:sz w:val="19"/>
                <w:szCs w:val="19"/>
              </w:rPr>
            </w:pPr>
            <w:r w:rsidRPr="00306F4D">
              <w:rPr>
                <w:rFonts w:ascii="Arial" w:hAnsi="Arial" w:cs="Arial"/>
                <w:sz w:val="19"/>
                <w:szCs w:val="19"/>
              </w:rPr>
              <w:t>Ensure that workers’ protective equipment based on the local requirements and international good practice (e.g. hardhats, masks, safety glasses, harnesses, safety boots, etc.)</w:t>
            </w:r>
          </w:p>
          <w:p w14:paraId="541031F7" w14:textId="77777777" w:rsidR="00F97CC9" w:rsidRPr="00306F4D" w:rsidRDefault="00F97CC9" w:rsidP="00F97CC9">
            <w:pPr>
              <w:pStyle w:val="ListParagraph"/>
              <w:numPr>
                <w:ilvl w:val="0"/>
                <w:numId w:val="109"/>
              </w:numPr>
              <w:rPr>
                <w:rFonts w:ascii="Arial" w:hAnsi="Arial" w:cs="Arial"/>
                <w:sz w:val="19"/>
                <w:szCs w:val="19"/>
              </w:rPr>
            </w:pPr>
            <w:r w:rsidRPr="00306F4D">
              <w:rPr>
                <w:rFonts w:ascii="Arial" w:hAnsi="Arial" w:cs="Arial"/>
                <w:sz w:val="19"/>
                <w:szCs w:val="19"/>
              </w:rPr>
              <w:t>Make the first aid kits available on site and fire-extinguisher easily accessible in all sections of the site.</w:t>
            </w:r>
          </w:p>
          <w:p w14:paraId="0C59B344" w14:textId="77777777" w:rsidR="00F97CC9" w:rsidRPr="00306F4D" w:rsidRDefault="00F97CC9" w:rsidP="00F97CC9">
            <w:pPr>
              <w:pStyle w:val="ListParagraph"/>
              <w:numPr>
                <w:ilvl w:val="0"/>
                <w:numId w:val="109"/>
              </w:numPr>
              <w:rPr>
                <w:rFonts w:ascii="Arial" w:hAnsi="Arial" w:cs="Arial"/>
                <w:sz w:val="19"/>
                <w:szCs w:val="19"/>
              </w:rPr>
            </w:pPr>
            <w:r w:rsidRPr="00306F4D">
              <w:rPr>
                <w:rFonts w:ascii="Arial" w:hAnsi="Arial" w:cs="Arial"/>
                <w:sz w:val="19"/>
                <w:szCs w:val="19"/>
              </w:rPr>
              <w:t>Introduce appropriate signposting of the sites will inform workers of key rules and regulations to follow.</w:t>
            </w:r>
          </w:p>
          <w:p w14:paraId="683EE5B5" w14:textId="77777777" w:rsidR="00F97CC9" w:rsidRPr="00306F4D" w:rsidRDefault="00F97CC9" w:rsidP="00F97CC9">
            <w:pPr>
              <w:pStyle w:val="ListParagraph"/>
              <w:numPr>
                <w:ilvl w:val="0"/>
                <w:numId w:val="109"/>
              </w:numPr>
              <w:rPr>
                <w:rFonts w:ascii="Arial" w:hAnsi="Arial" w:cs="Arial"/>
                <w:sz w:val="19"/>
                <w:szCs w:val="19"/>
              </w:rPr>
            </w:pPr>
            <w:r w:rsidRPr="00306F4D">
              <w:rPr>
                <w:rFonts w:ascii="Arial" w:hAnsi="Arial" w:cs="Arial"/>
                <w:sz w:val="19"/>
                <w:szCs w:val="19"/>
              </w:rPr>
              <w:t>Record and report health &amp; safety incidents to UNDP.</w:t>
            </w:r>
          </w:p>
          <w:p w14:paraId="4FFF3ED3" w14:textId="77777777" w:rsidR="00F97CC9" w:rsidRPr="00306F4D" w:rsidRDefault="00F97CC9" w:rsidP="00F97CC9">
            <w:pPr>
              <w:rPr>
                <w:rFonts w:ascii="Arial" w:hAnsi="Arial" w:cs="Arial"/>
                <w:sz w:val="19"/>
                <w:szCs w:val="19"/>
              </w:rPr>
            </w:pPr>
          </w:p>
        </w:tc>
      </w:tr>
      <w:tr w:rsidR="00F97CC9" w:rsidRPr="00306F4D" w14:paraId="6FB60A0A" w14:textId="77777777" w:rsidTr="00F97CC9">
        <w:trPr>
          <w:trHeight w:val="557"/>
        </w:trPr>
        <w:tc>
          <w:tcPr>
            <w:tcW w:w="1980" w:type="dxa"/>
          </w:tcPr>
          <w:p w14:paraId="154AE4B3" w14:textId="77777777" w:rsidR="00F97CC9" w:rsidRPr="00306F4D" w:rsidRDefault="00F97CC9" w:rsidP="00F97CC9">
            <w:pPr>
              <w:rPr>
                <w:rFonts w:ascii="Arial" w:hAnsi="Arial" w:cs="Arial"/>
                <w:sz w:val="19"/>
                <w:szCs w:val="19"/>
              </w:rPr>
            </w:pPr>
            <w:r w:rsidRPr="00306F4D">
              <w:rPr>
                <w:rFonts w:ascii="Arial" w:hAnsi="Arial" w:cs="Arial"/>
                <w:b/>
                <w:sz w:val="19"/>
                <w:szCs w:val="19"/>
              </w:rPr>
              <w:lastRenderedPageBreak/>
              <w:t>Indigenous Peoples:</w:t>
            </w:r>
            <w:r w:rsidRPr="00306F4D">
              <w:rPr>
                <w:rFonts w:ascii="Arial" w:hAnsi="Arial" w:cs="Arial"/>
                <w:sz w:val="19"/>
                <w:szCs w:val="19"/>
              </w:rPr>
              <w:t xml:space="preserve"> </w:t>
            </w:r>
          </w:p>
          <w:p w14:paraId="75346750" w14:textId="77777777" w:rsidR="00F97CC9" w:rsidRPr="00306F4D" w:rsidRDefault="00F97CC9" w:rsidP="00F97CC9">
            <w:pPr>
              <w:rPr>
                <w:rFonts w:ascii="Arial" w:hAnsi="Arial" w:cs="Arial"/>
                <w:sz w:val="19"/>
                <w:szCs w:val="19"/>
              </w:rPr>
            </w:pPr>
          </w:p>
        </w:tc>
        <w:tc>
          <w:tcPr>
            <w:tcW w:w="1417" w:type="dxa"/>
          </w:tcPr>
          <w:p w14:paraId="766C626B" w14:textId="77777777" w:rsidR="00F97CC9" w:rsidRPr="00306F4D" w:rsidRDefault="00F97CC9" w:rsidP="00F97CC9">
            <w:pPr>
              <w:rPr>
                <w:rFonts w:ascii="Arial" w:hAnsi="Arial" w:cs="Arial"/>
                <w:sz w:val="19"/>
                <w:szCs w:val="19"/>
              </w:rPr>
            </w:pPr>
            <w:r w:rsidRPr="00306F4D">
              <w:rPr>
                <w:rFonts w:ascii="Arial" w:hAnsi="Arial" w:cs="Arial"/>
                <w:sz w:val="19"/>
                <w:szCs w:val="19"/>
              </w:rPr>
              <w:t>X</w:t>
            </w:r>
          </w:p>
        </w:tc>
        <w:tc>
          <w:tcPr>
            <w:tcW w:w="6663" w:type="dxa"/>
          </w:tcPr>
          <w:p w14:paraId="01394F9A" w14:textId="09B3AC08" w:rsidR="0071525D" w:rsidRPr="00306F4D" w:rsidRDefault="0071525D" w:rsidP="0071525D">
            <w:pPr>
              <w:rPr>
                <w:rFonts w:ascii="Arial" w:hAnsi="Arial" w:cs="Arial"/>
                <w:b/>
                <w:sz w:val="19"/>
                <w:szCs w:val="19"/>
              </w:rPr>
            </w:pPr>
            <w:r w:rsidRPr="00306F4D">
              <w:rPr>
                <w:rFonts w:ascii="Arial" w:hAnsi="Arial" w:cs="Arial"/>
                <w:b/>
                <w:sz w:val="19"/>
                <w:szCs w:val="19"/>
              </w:rPr>
              <w:t>No risks</w:t>
            </w:r>
          </w:p>
          <w:p w14:paraId="5F373ABD" w14:textId="77777777" w:rsidR="00F97CC9" w:rsidRPr="00306F4D" w:rsidRDefault="00F97CC9" w:rsidP="00F97CC9">
            <w:pPr>
              <w:rPr>
                <w:rFonts w:ascii="Arial" w:hAnsi="Arial" w:cs="Arial"/>
                <w:sz w:val="19"/>
                <w:szCs w:val="19"/>
              </w:rPr>
            </w:pPr>
            <w:r w:rsidRPr="00306F4D">
              <w:rPr>
                <w:rFonts w:ascii="Arial" w:hAnsi="Arial" w:cs="Arial"/>
                <w:sz w:val="19"/>
                <w:szCs w:val="19"/>
              </w:rPr>
              <w:t>The project area does not include any Indigenous Peoples.</w:t>
            </w:r>
          </w:p>
          <w:p w14:paraId="64D53EDF" w14:textId="77777777" w:rsidR="00F97CC9" w:rsidRPr="00306F4D" w:rsidRDefault="00F97CC9" w:rsidP="00F97CC9">
            <w:pPr>
              <w:rPr>
                <w:rFonts w:ascii="Arial" w:hAnsi="Arial" w:cs="Arial"/>
                <w:sz w:val="19"/>
                <w:szCs w:val="19"/>
              </w:rPr>
            </w:pPr>
          </w:p>
          <w:p w14:paraId="63D9E586" w14:textId="77777777" w:rsidR="00F97CC9" w:rsidRPr="00306F4D" w:rsidRDefault="00F97CC9" w:rsidP="00F97CC9">
            <w:pPr>
              <w:rPr>
                <w:rFonts w:ascii="Arial" w:hAnsi="Arial" w:cs="Arial"/>
                <w:b/>
                <w:sz w:val="19"/>
                <w:szCs w:val="19"/>
              </w:rPr>
            </w:pPr>
            <w:r w:rsidRPr="00306F4D">
              <w:rPr>
                <w:rFonts w:ascii="Arial" w:hAnsi="Arial" w:cs="Arial"/>
                <w:b/>
                <w:sz w:val="19"/>
                <w:szCs w:val="19"/>
              </w:rPr>
              <w:t>Further assessment and management required for compliance</w:t>
            </w:r>
          </w:p>
          <w:p w14:paraId="394730D4" w14:textId="77777777" w:rsidR="00F97CC9" w:rsidRPr="00306F4D" w:rsidRDefault="00F97CC9" w:rsidP="00F97CC9">
            <w:pPr>
              <w:rPr>
                <w:rFonts w:ascii="Arial" w:hAnsi="Arial" w:cs="Arial"/>
                <w:b/>
                <w:sz w:val="19"/>
                <w:szCs w:val="19"/>
              </w:rPr>
            </w:pPr>
            <w:r w:rsidRPr="00306F4D">
              <w:rPr>
                <w:rFonts w:ascii="Arial" w:hAnsi="Arial" w:cs="Arial"/>
                <w:sz w:val="19"/>
                <w:szCs w:val="19"/>
              </w:rPr>
              <w:t>N/A</w:t>
            </w:r>
          </w:p>
          <w:p w14:paraId="7B29051C" w14:textId="77777777" w:rsidR="00F97CC9" w:rsidRPr="00306F4D" w:rsidRDefault="00F97CC9" w:rsidP="00F97CC9">
            <w:pPr>
              <w:rPr>
                <w:rFonts w:ascii="Arial" w:hAnsi="Arial" w:cs="Arial"/>
                <w:sz w:val="19"/>
                <w:szCs w:val="19"/>
              </w:rPr>
            </w:pPr>
          </w:p>
        </w:tc>
      </w:tr>
      <w:tr w:rsidR="00F97CC9" w:rsidRPr="00306F4D" w14:paraId="525F6ED7" w14:textId="77777777" w:rsidTr="00F97CC9">
        <w:trPr>
          <w:trHeight w:val="300"/>
        </w:trPr>
        <w:tc>
          <w:tcPr>
            <w:tcW w:w="1980" w:type="dxa"/>
          </w:tcPr>
          <w:p w14:paraId="35AC200A" w14:textId="77777777" w:rsidR="00F97CC9" w:rsidRPr="00306F4D" w:rsidRDefault="00F97CC9" w:rsidP="00F97CC9">
            <w:pPr>
              <w:rPr>
                <w:rFonts w:ascii="Arial" w:hAnsi="Arial" w:cs="Arial"/>
                <w:sz w:val="19"/>
                <w:szCs w:val="19"/>
              </w:rPr>
            </w:pPr>
            <w:r w:rsidRPr="00306F4D">
              <w:rPr>
                <w:rFonts w:ascii="Arial" w:hAnsi="Arial" w:cs="Arial"/>
                <w:b/>
                <w:sz w:val="19"/>
                <w:szCs w:val="19"/>
              </w:rPr>
              <w:t>Involuntary Resettlement:</w:t>
            </w:r>
            <w:r w:rsidRPr="00306F4D">
              <w:rPr>
                <w:rFonts w:ascii="Arial" w:hAnsi="Arial" w:cs="Arial"/>
                <w:sz w:val="19"/>
                <w:szCs w:val="19"/>
              </w:rPr>
              <w:t xml:space="preserve"> </w:t>
            </w:r>
          </w:p>
          <w:p w14:paraId="2755E398" w14:textId="77777777" w:rsidR="00F97CC9" w:rsidRPr="00306F4D" w:rsidRDefault="00F97CC9" w:rsidP="00F97CC9">
            <w:pPr>
              <w:rPr>
                <w:rFonts w:ascii="Arial" w:hAnsi="Arial" w:cs="Arial"/>
                <w:sz w:val="19"/>
                <w:szCs w:val="19"/>
              </w:rPr>
            </w:pPr>
          </w:p>
        </w:tc>
        <w:tc>
          <w:tcPr>
            <w:tcW w:w="1417" w:type="dxa"/>
          </w:tcPr>
          <w:p w14:paraId="25090E65" w14:textId="77777777" w:rsidR="00F97CC9" w:rsidRPr="00306F4D" w:rsidRDefault="00F97CC9" w:rsidP="00F97CC9">
            <w:pPr>
              <w:rPr>
                <w:rFonts w:ascii="Arial" w:hAnsi="Arial" w:cs="Arial"/>
                <w:sz w:val="19"/>
                <w:szCs w:val="19"/>
              </w:rPr>
            </w:pPr>
          </w:p>
        </w:tc>
        <w:tc>
          <w:tcPr>
            <w:tcW w:w="6663" w:type="dxa"/>
          </w:tcPr>
          <w:p w14:paraId="522925B1" w14:textId="77777777" w:rsidR="0071525D" w:rsidRPr="00306F4D" w:rsidRDefault="0071525D" w:rsidP="0071525D">
            <w:pPr>
              <w:rPr>
                <w:rFonts w:ascii="Arial" w:hAnsi="Arial" w:cs="Arial"/>
                <w:b/>
                <w:sz w:val="19"/>
                <w:szCs w:val="19"/>
              </w:rPr>
            </w:pPr>
            <w:r w:rsidRPr="00306F4D">
              <w:rPr>
                <w:rFonts w:ascii="Arial" w:hAnsi="Arial" w:cs="Arial"/>
                <w:b/>
                <w:sz w:val="19"/>
                <w:szCs w:val="19"/>
              </w:rPr>
              <w:t>Moderate risks</w:t>
            </w:r>
          </w:p>
          <w:p w14:paraId="4D7127C1" w14:textId="77777777" w:rsidR="00F97CC9" w:rsidRPr="00306F4D" w:rsidRDefault="00F97CC9" w:rsidP="00F97CC9">
            <w:pPr>
              <w:rPr>
                <w:rFonts w:ascii="Arial" w:hAnsi="Arial" w:cs="Arial"/>
                <w:sz w:val="19"/>
                <w:szCs w:val="19"/>
              </w:rPr>
            </w:pPr>
            <w:r w:rsidRPr="00306F4D">
              <w:rPr>
                <w:rFonts w:ascii="Arial" w:hAnsi="Arial" w:cs="Arial"/>
                <w:sz w:val="19"/>
                <w:szCs w:val="19"/>
              </w:rPr>
              <w:t>Project activities might cause adverse social and economic impacts from land or resource acquisition or restrictions on land or resource use.</w:t>
            </w:r>
          </w:p>
          <w:p w14:paraId="090F01BD" w14:textId="77777777" w:rsidR="00F97CC9" w:rsidRPr="00306F4D" w:rsidRDefault="00F97CC9" w:rsidP="00F97CC9">
            <w:pPr>
              <w:rPr>
                <w:rFonts w:ascii="Arial" w:hAnsi="Arial" w:cs="Arial"/>
                <w:sz w:val="19"/>
                <w:szCs w:val="19"/>
              </w:rPr>
            </w:pPr>
          </w:p>
          <w:p w14:paraId="1FC27559" w14:textId="77777777" w:rsidR="00F97CC9" w:rsidRPr="00306F4D" w:rsidRDefault="00F97CC9" w:rsidP="00F97CC9">
            <w:pPr>
              <w:rPr>
                <w:rFonts w:ascii="Arial" w:hAnsi="Arial" w:cs="Arial"/>
                <w:b/>
                <w:sz w:val="19"/>
                <w:szCs w:val="19"/>
              </w:rPr>
            </w:pPr>
            <w:r w:rsidRPr="00306F4D">
              <w:rPr>
                <w:rFonts w:ascii="Arial" w:hAnsi="Arial" w:cs="Arial"/>
                <w:b/>
                <w:sz w:val="19"/>
                <w:szCs w:val="19"/>
              </w:rPr>
              <w:t>Further assessment and management required for compliance</w:t>
            </w:r>
          </w:p>
          <w:p w14:paraId="021C87F7" w14:textId="77777777" w:rsidR="00F97CC9" w:rsidRPr="00306F4D" w:rsidRDefault="00F97CC9" w:rsidP="00F97CC9">
            <w:pPr>
              <w:rPr>
                <w:rFonts w:ascii="Arial" w:hAnsi="Arial" w:cs="Arial"/>
                <w:sz w:val="19"/>
                <w:szCs w:val="19"/>
              </w:rPr>
            </w:pPr>
            <w:r w:rsidRPr="00306F4D">
              <w:rPr>
                <w:rFonts w:ascii="Arial" w:hAnsi="Arial" w:cs="Arial"/>
                <w:sz w:val="19"/>
                <w:szCs w:val="19"/>
              </w:rPr>
              <w:t xml:space="preserve">All project-supported activities shall be screened for potential displacement risks. Where such risks would arise, the actions seeking project support shall be required to conduct a dedicated due diligence of any displacement activities before they take place to: </w:t>
            </w:r>
          </w:p>
          <w:p w14:paraId="1B98BDCA" w14:textId="77777777" w:rsidR="00F97CC9" w:rsidRPr="00306F4D" w:rsidRDefault="00F97CC9" w:rsidP="00F97CC9">
            <w:pPr>
              <w:pStyle w:val="ListParagraph"/>
              <w:numPr>
                <w:ilvl w:val="0"/>
                <w:numId w:val="109"/>
              </w:numPr>
              <w:rPr>
                <w:rFonts w:ascii="Arial" w:hAnsi="Arial" w:cs="Arial"/>
                <w:sz w:val="19"/>
                <w:szCs w:val="19"/>
              </w:rPr>
            </w:pPr>
            <w:r w:rsidRPr="00306F4D">
              <w:rPr>
                <w:rFonts w:ascii="Arial" w:hAnsi="Arial" w:cs="Arial"/>
                <w:sz w:val="19"/>
                <w:szCs w:val="19"/>
              </w:rPr>
              <w:t xml:space="preserve">Identify and assess any potential physical and economic displacement risks </w:t>
            </w:r>
          </w:p>
          <w:p w14:paraId="4DB5A48F" w14:textId="77777777" w:rsidR="00F97CC9" w:rsidRPr="00306F4D" w:rsidRDefault="00F97CC9" w:rsidP="00F97CC9">
            <w:pPr>
              <w:pStyle w:val="ListParagraph"/>
              <w:numPr>
                <w:ilvl w:val="0"/>
                <w:numId w:val="109"/>
              </w:numPr>
              <w:rPr>
                <w:rFonts w:ascii="Arial" w:hAnsi="Arial" w:cs="Arial"/>
                <w:sz w:val="19"/>
                <w:szCs w:val="19"/>
              </w:rPr>
            </w:pPr>
            <w:r w:rsidRPr="00306F4D">
              <w:rPr>
                <w:rFonts w:ascii="Arial" w:hAnsi="Arial" w:cs="Arial"/>
                <w:sz w:val="19"/>
                <w:szCs w:val="19"/>
              </w:rPr>
              <w:t>Prohibit any forced evictions.</w:t>
            </w:r>
          </w:p>
          <w:p w14:paraId="4C76D8F1" w14:textId="77777777" w:rsidR="00F97CC9" w:rsidRPr="00306F4D" w:rsidRDefault="00F97CC9" w:rsidP="00F97CC9">
            <w:pPr>
              <w:pStyle w:val="ListParagraph"/>
              <w:numPr>
                <w:ilvl w:val="0"/>
                <w:numId w:val="109"/>
              </w:numPr>
              <w:rPr>
                <w:rFonts w:ascii="Arial" w:hAnsi="Arial" w:cs="Arial"/>
                <w:sz w:val="19"/>
                <w:szCs w:val="19"/>
              </w:rPr>
            </w:pPr>
            <w:r w:rsidRPr="00306F4D">
              <w:rPr>
                <w:rFonts w:ascii="Arial" w:hAnsi="Arial" w:cs="Arial"/>
                <w:sz w:val="19"/>
                <w:szCs w:val="19"/>
              </w:rPr>
              <w:t>Include measures for avoiding, or, when avoidance is not possible, minimizing any potential displacement risks and their adverse social and economic impacts.</w:t>
            </w:r>
          </w:p>
          <w:p w14:paraId="066D6AF9" w14:textId="77777777" w:rsidR="00F97CC9" w:rsidRPr="00306F4D" w:rsidRDefault="00F97CC9" w:rsidP="00F97CC9">
            <w:pPr>
              <w:pStyle w:val="ListParagraph"/>
              <w:numPr>
                <w:ilvl w:val="0"/>
                <w:numId w:val="109"/>
              </w:numPr>
              <w:rPr>
                <w:rFonts w:ascii="Arial" w:hAnsi="Arial" w:cs="Arial"/>
                <w:sz w:val="19"/>
                <w:szCs w:val="19"/>
                <w:lang w:bidi="th-TH"/>
              </w:rPr>
            </w:pPr>
            <w:r w:rsidRPr="00306F4D">
              <w:rPr>
                <w:rFonts w:ascii="Arial" w:hAnsi="Arial" w:cs="Arial"/>
                <w:sz w:val="19"/>
                <w:szCs w:val="19"/>
                <w:lang w:bidi="th-TH"/>
              </w:rPr>
              <w:t xml:space="preserve">Consult the potentially affected stakeholders (with specific attention to poor and </w:t>
            </w:r>
            <w:proofErr w:type="spellStart"/>
            <w:r w:rsidRPr="00306F4D">
              <w:rPr>
                <w:rFonts w:ascii="Arial" w:hAnsi="Arial" w:cs="Arial"/>
                <w:sz w:val="19"/>
                <w:szCs w:val="19"/>
                <w:lang w:bidi="th-TH"/>
              </w:rPr>
              <w:t>marginalised</w:t>
            </w:r>
            <w:proofErr w:type="spellEnd"/>
            <w:r w:rsidRPr="00306F4D">
              <w:rPr>
                <w:rFonts w:ascii="Arial" w:hAnsi="Arial" w:cs="Arial"/>
                <w:sz w:val="19"/>
                <w:szCs w:val="19"/>
                <w:lang w:bidi="th-TH"/>
              </w:rPr>
              <w:t xml:space="preserve"> groups) on the proposed measures and opportunities for improving their living standards and the overall socioeconomic status through the project interventions. </w:t>
            </w:r>
          </w:p>
          <w:p w14:paraId="2EAD88A2" w14:textId="77777777" w:rsidR="00F97CC9" w:rsidRPr="00306F4D" w:rsidRDefault="00F97CC9" w:rsidP="00F97CC9">
            <w:pPr>
              <w:rPr>
                <w:rFonts w:ascii="Arial" w:hAnsi="Arial" w:cs="Arial"/>
                <w:sz w:val="19"/>
                <w:szCs w:val="19"/>
              </w:rPr>
            </w:pPr>
          </w:p>
        </w:tc>
      </w:tr>
      <w:tr w:rsidR="00F97CC9" w:rsidRPr="00306F4D" w14:paraId="3F7705E0" w14:textId="77777777" w:rsidTr="00F97CC9">
        <w:trPr>
          <w:trHeight w:val="300"/>
        </w:trPr>
        <w:tc>
          <w:tcPr>
            <w:tcW w:w="1980" w:type="dxa"/>
          </w:tcPr>
          <w:p w14:paraId="322C0C97" w14:textId="77777777" w:rsidR="00F97CC9" w:rsidRPr="00306F4D" w:rsidRDefault="00F97CC9" w:rsidP="00F97CC9">
            <w:pPr>
              <w:rPr>
                <w:rFonts w:ascii="Arial" w:hAnsi="Arial" w:cs="Arial"/>
                <w:sz w:val="19"/>
                <w:szCs w:val="19"/>
              </w:rPr>
            </w:pPr>
            <w:r w:rsidRPr="00306F4D">
              <w:rPr>
                <w:rFonts w:ascii="Arial" w:hAnsi="Arial" w:cs="Arial"/>
                <w:b/>
                <w:sz w:val="19"/>
                <w:szCs w:val="19"/>
              </w:rPr>
              <w:t>Protection of Natural Habitats</w:t>
            </w:r>
            <w:r w:rsidRPr="00306F4D">
              <w:rPr>
                <w:rFonts w:ascii="Arial" w:hAnsi="Arial" w:cs="Arial"/>
                <w:sz w:val="19"/>
                <w:szCs w:val="19"/>
              </w:rPr>
              <w:t xml:space="preserve">: </w:t>
            </w:r>
          </w:p>
          <w:p w14:paraId="5EEBD891" w14:textId="77777777" w:rsidR="00F97CC9" w:rsidRPr="00306F4D" w:rsidRDefault="00F97CC9" w:rsidP="00F97CC9">
            <w:pPr>
              <w:rPr>
                <w:rFonts w:ascii="Arial" w:hAnsi="Arial" w:cs="Arial"/>
                <w:sz w:val="19"/>
                <w:szCs w:val="19"/>
              </w:rPr>
            </w:pPr>
          </w:p>
        </w:tc>
        <w:tc>
          <w:tcPr>
            <w:tcW w:w="1417" w:type="dxa"/>
          </w:tcPr>
          <w:p w14:paraId="18E0191B" w14:textId="77777777" w:rsidR="00F97CC9" w:rsidRPr="00306F4D" w:rsidRDefault="00F97CC9" w:rsidP="00F97CC9">
            <w:pPr>
              <w:rPr>
                <w:rFonts w:ascii="Arial" w:hAnsi="Arial" w:cs="Arial"/>
                <w:sz w:val="19"/>
                <w:szCs w:val="19"/>
              </w:rPr>
            </w:pPr>
          </w:p>
        </w:tc>
        <w:tc>
          <w:tcPr>
            <w:tcW w:w="6663" w:type="dxa"/>
          </w:tcPr>
          <w:p w14:paraId="45FFE4DE" w14:textId="77777777" w:rsidR="0071525D" w:rsidRPr="00306F4D" w:rsidRDefault="0071525D" w:rsidP="0071525D">
            <w:pPr>
              <w:rPr>
                <w:rFonts w:ascii="Arial" w:hAnsi="Arial" w:cs="Arial"/>
                <w:b/>
                <w:sz w:val="19"/>
                <w:szCs w:val="19"/>
              </w:rPr>
            </w:pPr>
            <w:r w:rsidRPr="00306F4D">
              <w:rPr>
                <w:rFonts w:ascii="Arial" w:hAnsi="Arial" w:cs="Arial"/>
                <w:b/>
                <w:sz w:val="19"/>
                <w:szCs w:val="19"/>
              </w:rPr>
              <w:t>Moderate risks</w:t>
            </w:r>
          </w:p>
          <w:p w14:paraId="0FAD5226" w14:textId="77777777" w:rsidR="00F97CC9" w:rsidRPr="00306F4D" w:rsidRDefault="00F97CC9" w:rsidP="00F97CC9">
            <w:pPr>
              <w:rPr>
                <w:rFonts w:ascii="Arial" w:hAnsi="Arial" w:cs="Arial"/>
                <w:sz w:val="19"/>
                <w:szCs w:val="19"/>
              </w:rPr>
            </w:pPr>
            <w:r w:rsidRPr="00306F4D">
              <w:rPr>
                <w:rFonts w:ascii="Arial" w:hAnsi="Arial" w:cs="Arial"/>
                <w:sz w:val="19"/>
                <w:szCs w:val="19"/>
              </w:rPr>
              <w:t>The supported activities might inadvertently cause a potential degradation of natural and critical habitats and adverse effects on ecosystem services.</w:t>
            </w:r>
          </w:p>
          <w:p w14:paraId="07353C3F" w14:textId="77777777" w:rsidR="00F97CC9" w:rsidRPr="00306F4D" w:rsidRDefault="00F97CC9" w:rsidP="00F97CC9">
            <w:pPr>
              <w:rPr>
                <w:rFonts w:ascii="Arial" w:hAnsi="Arial" w:cs="Arial"/>
                <w:sz w:val="19"/>
                <w:szCs w:val="19"/>
              </w:rPr>
            </w:pPr>
          </w:p>
          <w:p w14:paraId="2054F875" w14:textId="77777777" w:rsidR="00F97CC9" w:rsidRPr="00306F4D" w:rsidRDefault="00F97CC9" w:rsidP="00F97CC9">
            <w:pPr>
              <w:rPr>
                <w:rFonts w:ascii="Arial" w:hAnsi="Arial" w:cs="Arial"/>
                <w:b/>
                <w:sz w:val="19"/>
                <w:szCs w:val="19"/>
              </w:rPr>
            </w:pPr>
            <w:r w:rsidRPr="00306F4D">
              <w:rPr>
                <w:rFonts w:ascii="Arial" w:hAnsi="Arial" w:cs="Arial"/>
                <w:b/>
                <w:sz w:val="19"/>
                <w:szCs w:val="19"/>
              </w:rPr>
              <w:t>Further assessment and management required for compliance</w:t>
            </w:r>
          </w:p>
          <w:p w14:paraId="76CC637D" w14:textId="77777777" w:rsidR="00F97CC9" w:rsidRPr="00306F4D" w:rsidRDefault="00F97CC9" w:rsidP="00F97CC9">
            <w:pPr>
              <w:rPr>
                <w:rFonts w:ascii="Arial" w:hAnsi="Arial" w:cs="Arial"/>
                <w:b/>
                <w:sz w:val="19"/>
                <w:szCs w:val="19"/>
              </w:rPr>
            </w:pPr>
            <w:r w:rsidRPr="00306F4D">
              <w:rPr>
                <w:rFonts w:ascii="Arial" w:hAnsi="Arial" w:cs="Arial"/>
                <w:sz w:val="19"/>
                <w:szCs w:val="19"/>
              </w:rPr>
              <w:t xml:space="preserve">All project-supported activities shall be screened for risks related to natural Habitats. They shall be generally required to: </w:t>
            </w:r>
          </w:p>
          <w:p w14:paraId="1A119B16" w14:textId="77777777" w:rsidR="00F97CC9" w:rsidRPr="00306F4D" w:rsidRDefault="00F97CC9" w:rsidP="00F97CC9">
            <w:pPr>
              <w:pStyle w:val="ListParagraph"/>
              <w:numPr>
                <w:ilvl w:val="0"/>
                <w:numId w:val="109"/>
              </w:numPr>
              <w:rPr>
                <w:rFonts w:ascii="Arial" w:hAnsi="Arial" w:cs="Arial"/>
                <w:sz w:val="19"/>
                <w:szCs w:val="19"/>
              </w:rPr>
            </w:pPr>
            <w:r w:rsidRPr="00306F4D">
              <w:rPr>
                <w:rFonts w:ascii="Arial" w:hAnsi="Arial" w:cs="Arial"/>
                <w:sz w:val="19"/>
                <w:szCs w:val="19"/>
              </w:rPr>
              <w:t>as far as possible, conduct the proposed activities in areas where natural habitats have already been converted to other land uses or that have low value for biodiversity and ecosystem services, and low sensitivity to the anticipated impacts,</w:t>
            </w:r>
          </w:p>
          <w:p w14:paraId="30776B64" w14:textId="77777777" w:rsidR="00F97CC9" w:rsidRPr="00306F4D" w:rsidRDefault="00F97CC9" w:rsidP="00F97CC9">
            <w:pPr>
              <w:pStyle w:val="ListParagraph"/>
              <w:numPr>
                <w:ilvl w:val="0"/>
                <w:numId w:val="109"/>
              </w:numPr>
              <w:rPr>
                <w:rFonts w:ascii="Arial" w:hAnsi="Arial" w:cs="Arial"/>
                <w:sz w:val="19"/>
                <w:szCs w:val="19"/>
              </w:rPr>
            </w:pPr>
            <w:r w:rsidRPr="00306F4D">
              <w:rPr>
                <w:rFonts w:ascii="Arial" w:hAnsi="Arial" w:cs="Arial"/>
                <w:sz w:val="19"/>
                <w:szCs w:val="19"/>
              </w:rPr>
              <w:t>keep interventions in natural and semi-natural habitats to minimum in order not to disturb the existing flora and fauna, degrade the habitat and resident species populations</w:t>
            </w:r>
          </w:p>
          <w:p w14:paraId="705FB158" w14:textId="77777777" w:rsidR="00F97CC9" w:rsidRPr="00306F4D" w:rsidRDefault="00F97CC9" w:rsidP="00F97CC9">
            <w:pPr>
              <w:pStyle w:val="ListParagraph"/>
              <w:numPr>
                <w:ilvl w:val="0"/>
                <w:numId w:val="109"/>
              </w:numPr>
              <w:rPr>
                <w:rFonts w:ascii="Arial" w:hAnsi="Arial" w:cs="Arial"/>
                <w:sz w:val="19"/>
                <w:szCs w:val="19"/>
              </w:rPr>
            </w:pPr>
            <w:r w:rsidRPr="00306F4D">
              <w:rPr>
                <w:rFonts w:ascii="Arial" w:hAnsi="Arial" w:cs="Arial"/>
                <w:sz w:val="19"/>
                <w:szCs w:val="19"/>
              </w:rPr>
              <w:t>where possible avoid interventions that would reduce ecological connectivity in the ecosystem (e.g. restricting the free movement of species between important habitats) or changes in the important ecosystem processes (e.g. hydrological regimes and nutrient flows) that support ecosystems and their services.</w:t>
            </w:r>
          </w:p>
          <w:p w14:paraId="22236AE4" w14:textId="77777777" w:rsidR="00F97CC9" w:rsidRPr="00306F4D" w:rsidRDefault="00F97CC9" w:rsidP="00F97CC9">
            <w:pPr>
              <w:pStyle w:val="ListParagraph"/>
              <w:numPr>
                <w:ilvl w:val="0"/>
                <w:numId w:val="109"/>
              </w:numPr>
              <w:rPr>
                <w:rFonts w:ascii="Arial" w:hAnsi="Arial" w:cs="Arial"/>
                <w:sz w:val="19"/>
                <w:szCs w:val="19"/>
              </w:rPr>
            </w:pPr>
            <w:r w:rsidRPr="00306F4D">
              <w:rPr>
                <w:rFonts w:ascii="Arial" w:hAnsi="Arial" w:cs="Arial"/>
                <w:sz w:val="19"/>
                <w:szCs w:val="19"/>
              </w:rPr>
              <w:t>assess and manage the impacts of proposed interventions on critical, natural and modified habitats and their ecosystem services in accordance with the UNDP SES 1 requirements,</w:t>
            </w:r>
          </w:p>
          <w:p w14:paraId="43C87249" w14:textId="77777777" w:rsidR="00F97CC9" w:rsidRPr="00306F4D" w:rsidRDefault="00F97CC9" w:rsidP="00F97CC9">
            <w:pPr>
              <w:pStyle w:val="ListParagraph"/>
              <w:numPr>
                <w:ilvl w:val="0"/>
                <w:numId w:val="109"/>
              </w:numPr>
              <w:rPr>
                <w:rFonts w:ascii="Arial" w:hAnsi="Arial" w:cs="Arial"/>
                <w:sz w:val="19"/>
                <w:szCs w:val="19"/>
              </w:rPr>
            </w:pPr>
            <w:r w:rsidRPr="00306F4D">
              <w:rPr>
                <w:rFonts w:ascii="Arial" w:hAnsi="Arial" w:cs="Arial"/>
                <w:sz w:val="19"/>
                <w:szCs w:val="19"/>
              </w:rPr>
              <w:t xml:space="preserve">use cost-effective opportunities to enhance the existing habitats and ecosystem services as part of the proposed interventions. </w:t>
            </w:r>
          </w:p>
          <w:p w14:paraId="7BD542F7" w14:textId="77777777" w:rsidR="00F97CC9" w:rsidRPr="00306F4D" w:rsidRDefault="00F97CC9" w:rsidP="00F97CC9">
            <w:pPr>
              <w:rPr>
                <w:rFonts w:ascii="Arial" w:hAnsi="Arial" w:cs="Arial"/>
                <w:sz w:val="19"/>
                <w:szCs w:val="19"/>
              </w:rPr>
            </w:pPr>
          </w:p>
        </w:tc>
      </w:tr>
      <w:tr w:rsidR="00F97CC9" w:rsidRPr="00306F4D" w14:paraId="50664EBF" w14:textId="77777777" w:rsidTr="00F97CC9">
        <w:trPr>
          <w:trHeight w:val="300"/>
        </w:trPr>
        <w:tc>
          <w:tcPr>
            <w:tcW w:w="1980" w:type="dxa"/>
          </w:tcPr>
          <w:p w14:paraId="54293DDD" w14:textId="77777777" w:rsidR="00F97CC9" w:rsidRPr="00306F4D" w:rsidRDefault="00F97CC9" w:rsidP="00F97CC9">
            <w:pPr>
              <w:rPr>
                <w:rFonts w:ascii="Arial" w:hAnsi="Arial" w:cs="Arial"/>
                <w:b/>
                <w:sz w:val="19"/>
                <w:szCs w:val="19"/>
              </w:rPr>
            </w:pPr>
            <w:r w:rsidRPr="00306F4D">
              <w:rPr>
                <w:rFonts w:ascii="Arial" w:hAnsi="Arial" w:cs="Arial"/>
                <w:b/>
                <w:sz w:val="19"/>
                <w:szCs w:val="19"/>
              </w:rPr>
              <w:t>Conservation of Biological Diversity:</w:t>
            </w:r>
          </w:p>
          <w:p w14:paraId="4D3718CF" w14:textId="77777777" w:rsidR="00F97CC9" w:rsidRPr="00306F4D" w:rsidRDefault="00F97CC9" w:rsidP="00F97CC9">
            <w:pPr>
              <w:rPr>
                <w:rFonts w:ascii="Arial" w:hAnsi="Arial" w:cs="Arial"/>
                <w:sz w:val="19"/>
                <w:szCs w:val="19"/>
              </w:rPr>
            </w:pPr>
          </w:p>
        </w:tc>
        <w:tc>
          <w:tcPr>
            <w:tcW w:w="1417" w:type="dxa"/>
          </w:tcPr>
          <w:p w14:paraId="55BF88A7" w14:textId="77777777" w:rsidR="00F97CC9" w:rsidRPr="00306F4D" w:rsidRDefault="00F97CC9" w:rsidP="00F97CC9">
            <w:pPr>
              <w:rPr>
                <w:rFonts w:ascii="Arial" w:hAnsi="Arial" w:cs="Arial"/>
                <w:sz w:val="19"/>
                <w:szCs w:val="19"/>
              </w:rPr>
            </w:pPr>
          </w:p>
        </w:tc>
        <w:tc>
          <w:tcPr>
            <w:tcW w:w="6663" w:type="dxa"/>
          </w:tcPr>
          <w:p w14:paraId="201BE7B4" w14:textId="77777777" w:rsidR="0071525D" w:rsidRPr="00306F4D" w:rsidRDefault="0071525D" w:rsidP="0071525D">
            <w:pPr>
              <w:rPr>
                <w:rFonts w:ascii="Arial" w:hAnsi="Arial" w:cs="Arial"/>
                <w:b/>
                <w:sz w:val="19"/>
                <w:szCs w:val="19"/>
              </w:rPr>
            </w:pPr>
            <w:r w:rsidRPr="00306F4D">
              <w:rPr>
                <w:rFonts w:ascii="Arial" w:hAnsi="Arial" w:cs="Arial"/>
                <w:b/>
                <w:sz w:val="19"/>
                <w:szCs w:val="19"/>
              </w:rPr>
              <w:t>Moderate risks</w:t>
            </w:r>
          </w:p>
          <w:p w14:paraId="496B1AB8" w14:textId="77777777" w:rsidR="00F97CC9" w:rsidRPr="00306F4D" w:rsidRDefault="00F97CC9" w:rsidP="00F97CC9">
            <w:pPr>
              <w:rPr>
                <w:rFonts w:ascii="Arial" w:hAnsi="Arial" w:cs="Arial"/>
                <w:sz w:val="19"/>
                <w:szCs w:val="19"/>
              </w:rPr>
            </w:pPr>
            <w:r w:rsidRPr="00306F4D">
              <w:rPr>
                <w:rFonts w:ascii="Arial" w:hAnsi="Arial" w:cs="Arial"/>
                <w:sz w:val="19"/>
                <w:szCs w:val="19"/>
              </w:rPr>
              <w:t>The supported activities located in the proximity of critical ecosystems might cause reduction of recognized Vulnerable, Endangered, or Critically Endangered species, or have adverse impacts on endemic species, restricted-range species, and migratory species.</w:t>
            </w:r>
          </w:p>
          <w:p w14:paraId="2CECD7DE" w14:textId="77777777" w:rsidR="00F97CC9" w:rsidRPr="00306F4D" w:rsidRDefault="00F97CC9" w:rsidP="00F97CC9">
            <w:pPr>
              <w:rPr>
                <w:rFonts w:ascii="Arial" w:hAnsi="Arial" w:cs="Arial"/>
                <w:sz w:val="19"/>
                <w:szCs w:val="19"/>
              </w:rPr>
            </w:pPr>
          </w:p>
          <w:p w14:paraId="15221D05" w14:textId="77777777" w:rsidR="00F97CC9" w:rsidRPr="00306F4D" w:rsidRDefault="00F97CC9" w:rsidP="00F97CC9">
            <w:pPr>
              <w:rPr>
                <w:rFonts w:ascii="Arial" w:hAnsi="Arial" w:cs="Arial"/>
                <w:b/>
                <w:sz w:val="19"/>
                <w:szCs w:val="19"/>
              </w:rPr>
            </w:pPr>
            <w:r w:rsidRPr="00306F4D">
              <w:rPr>
                <w:rFonts w:ascii="Arial" w:hAnsi="Arial" w:cs="Arial"/>
                <w:b/>
                <w:sz w:val="19"/>
                <w:szCs w:val="19"/>
              </w:rPr>
              <w:t>Further assessment and management required for compliance</w:t>
            </w:r>
          </w:p>
          <w:p w14:paraId="58BFF33A" w14:textId="77777777" w:rsidR="00F97CC9" w:rsidRPr="00306F4D" w:rsidRDefault="00F97CC9" w:rsidP="00F97CC9">
            <w:pPr>
              <w:rPr>
                <w:rFonts w:ascii="Arial" w:hAnsi="Arial" w:cs="Arial"/>
                <w:b/>
                <w:sz w:val="19"/>
                <w:szCs w:val="19"/>
              </w:rPr>
            </w:pPr>
            <w:r w:rsidRPr="00306F4D">
              <w:rPr>
                <w:rFonts w:ascii="Arial" w:hAnsi="Arial" w:cs="Arial"/>
                <w:sz w:val="19"/>
                <w:szCs w:val="19"/>
              </w:rPr>
              <w:lastRenderedPageBreak/>
              <w:t xml:space="preserve">All project-supported activities shall be screened for biodiversity risks. They shall be generally required to consider the presence of any endangered species and any potentially significant adverse impacts on their habitats, breeding grounds, free movement, and migration needs and will be </w:t>
            </w:r>
            <w:proofErr w:type="spellStart"/>
            <w:r w:rsidRPr="00306F4D">
              <w:rPr>
                <w:rFonts w:ascii="Arial" w:hAnsi="Arial" w:cs="Arial"/>
                <w:sz w:val="19"/>
                <w:szCs w:val="19"/>
              </w:rPr>
              <w:t>optimised</w:t>
            </w:r>
            <w:proofErr w:type="spellEnd"/>
            <w:r w:rsidRPr="00306F4D">
              <w:rPr>
                <w:rFonts w:ascii="Arial" w:hAnsi="Arial" w:cs="Arial"/>
                <w:sz w:val="19"/>
                <w:szCs w:val="19"/>
              </w:rPr>
              <w:t xml:space="preserve"> to ensure that they:</w:t>
            </w:r>
          </w:p>
          <w:p w14:paraId="56E2CA91" w14:textId="77777777" w:rsidR="00F97CC9" w:rsidRPr="00306F4D" w:rsidRDefault="00F97CC9" w:rsidP="00F97CC9">
            <w:pPr>
              <w:pStyle w:val="ListParagraph"/>
              <w:numPr>
                <w:ilvl w:val="0"/>
                <w:numId w:val="109"/>
              </w:numPr>
              <w:rPr>
                <w:rFonts w:ascii="Arial" w:hAnsi="Arial" w:cs="Arial"/>
                <w:sz w:val="19"/>
                <w:szCs w:val="19"/>
              </w:rPr>
            </w:pPr>
            <w:r w:rsidRPr="00306F4D">
              <w:rPr>
                <w:rFonts w:ascii="Arial" w:hAnsi="Arial" w:cs="Arial"/>
                <w:sz w:val="19"/>
                <w:szCs w:val="19"/>
              </w:rPr>
              <w:t>do not cause any reduction of any recognized Vulnerable, Endangered, or Critically Endangered species,</w:t>
            </w:r>
          </w:p>
          <w:p w14:paraId="5581F5FD" w14:textId="77777777" w:rsidR="00F97CC9" w:rsidRPr="00306F4D" w:rsidRDefault="00F97CC9" w:rsidP="00F97CC9">
            <w:pPr>
              <w:pStyle w:val="ListParagraph"/>
              <w:numPr>
                <w:ilvl w:val="0"/>
                <w:numId w:val="109"/>
              </w:numPr>
              <w:rPr>
                <w:rFonts w:ascii="Arial" w:hAnsi="Arial" w:cs="Arial"/>
                <w:sz w:val="19"/>
                <w:szCs w:val="19"/>
              </w:rPr>
            </w:pPr>
            <w:r w:rsidRPr="00306F4D">
              <w:rPr>
                <w:rFonts w:ascii="Arial" w:hAnsi="Arial" w:cs="Arial"/>
                <w:sz w:val="19"/>
                <w:szCs w:val="19"/>
              </w:rPr>
              <w:t>avoid adverse impacts on endemic species, restricted-range species, and migratory species, and</w:t>
            </w:r>
          </w:p>
          <w:p w14:paraId="75C6D887" w14:textId="77777777" w:rsidR="00F97CC9" w:rsidRPr="00306F4D" w:rsidRDefault="00F97CC9" w:rsidP="00F97CC9">
            <w:pPr>
              <w:pStyle w:val="ListParagraph"/>
              <w:numPr>
                <w:ilvl w:val="0"/>
                <w:numId w:val="109"/>
              </w:numPr>
              <w:rPr>
                <w:rFonts w:ascii="Arial" w:hAnsi="Arial" w:cs="Arial"/>
                <w:sz w:val="19"/>
                <w:szCs w:val="19"/>
              </w:rPr>
            </w:pPr>
            <w:r w:rsidRPr="00306F4D">
              <w:rPr>
                <w:rFonts w:ascii="Arial" w:hAnsi="Arial" w:cs="Arial"/>
                <w:sz w:val="19"/>
                <w:szCs w:val="19"/>
              </w:rPr>
              <w:t>minimize unwarranted impacts on resident species populations.</w:t>
            </w:r>
          </w:p>
          <w:p w14:paraId="686DA947" w14:textId="77777777" w:rsidR="00F97CC9" w:rsidRPr="00306F4D" w:rsidRDefault="00F97CC9" w:rsidP="00F97CC9">
            <w:pPr>
              <w:pStyle w:val="ListParagraph"/>
              <w:ind w:left="360" w:hanging="360"/>
              <w:rPr>
                <w:rFonts w:ascii="Arial" w:hAnsi="Arial" w:cs="Arial"/>
                <w:sz w:val="19"/>
                <w:szCs w:val="19"/>
              </w:rPr>
            </w:pPr>
          </w:p>
          <w:p w14:paraId="5203FAC2" w14:textId="77777777" w:rsidR="00F97CC9" w:rsidRPr="00306F4D" w:rsidRDefault="00F97CC9" w:rsidP="00F97CC9">
            <w:pPr>
              <w:widowControl w:val="0"/>
              <w:ind w:left="-24"/>
              <w:rPr>
                <w:rFonts w:ascii="Arial" w:hAnsi="Arial" w:cs="Arial"/>
                <w:sz w:val="19"/>
                <w:szCs w:val="19"/>
              </w:rPr>
            </w:pPr>
            <w:r w:rsidRPr="00306F4D">
              <w:rPr>
                <w:rFonts w:ascii="Arial" w:hAnsi="Arial" w:cs="Arial"/>
                <w:sz w:val="19"/>
                <w:szCs w:val="19"/>
              </w:rPr>
              <w:t xml:space="preserve">They shall also be required to: </w:t>
            </w:r>
          </w:p>
          <w:p w14:paraId="7DB7C8E1" w14:textId="77777777" w:rsidR="00F97CC9" w:rsidRPr="00306F4D" w:rsidRDefault="00F97CC9" w:rsidP="00F97CC9">
            <w:pPr>
              <w:pStyle w:val="ListParagraph"/>
              <w:numPr>
                <w:ilvl w:val="0"/>
                <w:numId w:val="109"/>
              </w:numPr>
              <w:rPr>
                <w:rFonts w:ascii="Arial" w:hAnsi="Arial" w:cs="Arial"/>
                <w:sz w:val="19"/>
                <w:szCs w:val="19"/>
              </w:rPr>
            </w:pPr>
            <w:r w:rsidRPr="00306F4D">
              <w:rPr>
                <w:rFonts w:ascii="Arial" w:hAnsi="Arial" w:cs="Arial"/>
                <w:sz w:val="19"/>
                <w:szCs w:val="19"/>
              </w:rPr>
              <w:t>not introduce species known to be invasive into new environments,</w:t>
            </w:r>
          </w:p>
          <w:p w14:paraId="0EA248DE" w14:textId="77777777" w:rsidR="00F97CC9" w:rsidRPr="00306F4D" w:rsidRDefault="00F97CC9" w:rsidP="00F97CC9">
            <w:pPr>
              <w:pStyle w:val="ListParagraph"/>
              <w:numPr>
                <w:ilvl w:val="0"/>
                <w:numId w:val="109"/>
              </w:numPr>
              <w:rPr>
                <w:rFonts w:ascii="Arial" w:hAnsi="Arial" w:cs="Arial"/>
                <w:sz w:val="19"/>
                <w:szCs w:val="19"/>
              </w:rPr>
            </w:pPr>
            <w:r w:rsidRPr="00306F4D">
              <w:rPr>
                <w:rFonts w:ascii="Arial" w:hAnsi="Arial" w:cs="Arial"/>
                <w:sz w:val="19"/>
                <w:szCs w:val="19"/>
              </w:rPr>
              <w:t>promote the use of native species or more resilient varieties of native species as a priority, and</w:t>
            </w:r>
          </w:p>
          <w:p w14:paraId="02D21A22" w14:textId="77777777" w:rsidR="00F97CC9" w:rsidRPr="00306F4D" w:rsidRDefault="00F97CC9" w:rsidP="00F97CC9">
            <w:pPr>
              <w:pStyle w:val="ListParagraph"/>
              <w:numPr>
                <w:ilvl w:val="0"/>
                <w:numId w:val="109"/>
              </w:numPr>
              <w:rPr>
                <w:rFonts w:ascii="Arial" w:hAnsi="Arial" w:cs="Arial"/>
                <w:sz w:val="19"/>
                <w:szCs w:val="19"/>
              </w:rPr>
            </w:pPr>
            <w:r w:rsidRPr="00306F4D">
              <w:rPr>
                <w:rFonts w:ascii="Arial" w:hAnsi="Arial" w:cs="Arial"/>
                <w:sz w:val="19"/>
                <w:szCs w:val="19"/>
              </w:rPr>
              <w:t xml:space="preserve">use any potentially suitable alien species (e.g. climate resilient crop seed varieties) only if they were duly approved as posing no risks of potential invasive </w:t>
            </w:r>
            <w:proofErr w:type="spellStart"/>
            <w:r w:rsidRPr="00306F4D">
              <w:rPr>
                <w:rFonts w:ascii="Arial" w:hAnsi="Arial" w:cs="Arial"/>
                <w:sz w:val="19"/>
                <w:szCs w:val="19"/>
              </w:rPr>
              <w:t>behaviour</w:t>
            </w:r>
            <w:proofErr w:type="spellEnd"/>
            <w:r w:rsidRPr="00306F4D">
              <w:rPr>
                <w:rFonts w:ascii="Arial" w:hAnsi="Arial" w:cs="Arial"/>
                <w:sz w:val="19"/>
                <w:szCs w:val="19"/>
              </w:rPr>
              <w:t xml:space="preserve"> by the relevant authorities.</w:t>
            </w:r>
          </w:p>
          <w:p w14:paraId="514147A4" w14:textId="77777777" w:rsidR="00F97CC9" w:rsidRPr="00306F4D" w:rsidRDefault="00F97CC9" w:rsidP="00F97CC9">
            <w:pPr>
              <w:rPr>
                <w:rFonts w:ascii="Arial" w:hAnsi="Arial" w:cs="Arial"/>
                <w:sz w:val="19"/>
                <w:szCs w:val="19"/>
              </w:rPr>
            </w:pPr>
          </w:p>
        </w:tc>
      </w:tr>
      <w:tr w:rsidR="00F97CC9" w:rsidRPr="00306F4D" w14:paraId="5381424C" w14:textId="77777777" w:rsidTr="00F97CC9">
        <w:trPr>
          <w:trHeight w:val="300"/>
        </w:trPr>
        <w:tc>
          <w:tcPr>
            <w:tcW w:w="1980" w:type="dxa"/>
          </w:tcPr>
          <w:p w14:paraId="7FE7E301" w14:textId="77777777" w:rsidR="00F97CC9" w:rsidRPr="00306F4D" w:rsidRDefault="00F97CC9" w:rsidP="00F97CC9">
            <w:pPr>
              <w:rPr>
                <w:rFonts w:ascii="Arial" w:hAnsi="Arial" w:cs="Arial"/>
                <w:sz w:val="19"/>
                <w:szCs w:val="19"/>
              </w:rPr>
            </w:pPr>
            <w:r w:rsidRPr="00306F4D">
              <w:rPr>
                <w:rFonts w:ascii="Arial" w:hAnsi="Arial" w:cs="Arial"/>
                <w:b/>
                <w:sz w:val="19"/>
                <w:szCs w:val="19"/>
              </w:rPr>
              <w:lastRenderedPageBreak/>
              <w:t>Climate Change:</w:t>
            </w:r>
            <w:r w:rsidRPr="00306F4D">
              <w:rPr>
                <w:rFonts w:ascii="Arial" w:hAnsi="Arial" w:cs="Arial"/>
                <w:sz w:val="19"/>
                <w:szCs w:val="19"/>
              </w:rPr>
              <w:t xml:space="preserve"> </w:t>
            </w:r>
          </w:p>
          <w:p w14:paraId="7DFC9399" w14:textId="77777777" w:rsidR="00F97CC9" w:rsidRPr="00306F4D" w:rsidRDefault="00F97CC9" w:rsidP="00F97CC9">
            <w:pPr>
              <w:rPr>
                <w:rFonts w:ascii="Arial" w:hAnsi="Arial" w:cs="Arial"/>
                <w:sz w:val="19"/>
                <w:szCs w:val="19"/>
              </w:rPr>
            </w:pPr>
          </w:p>
        </w:tc>
        <w:tc>
          <w:tcPr>
            <w:tcW w:w="1417" w:type="dxa"/>
          </w:tcPr>
          <w:p w14:paraId="5DB7468C" w14:textId="77777777" w:rsidR="00F97CC9" w:rsidRPr="00306F4D" w:rsidRDefault="00F97CC9" w:rsidP="00F97CC9">
            <w:pPr>
              <w:rPr>
                <w:rFonts w:ascii="Arial" w:hAnsi="Arial" w:cs="Arial"/>
                <w:sz w:val="19"/>
                <w:szCs w:val="19"/>
              </w:rPr>
            </w:pPr>
          </w:p>
          <w:p w14:paraId="5B1A4D56" w14:textId="77777777" w:rsidR="00F97CC9" w:rsidRPr="00306F4D" w:rsidRDefault="00F97CC9" w:rsidP="00F97CC9">
            <w:pPr>
              <w:rPr>
                <w:rFonts w:ascii="Arial" w:hAnsi="Arial" w:cs="Arial"/>
                <w:sz w:val="19"/>
                <w:szCs w:val="19"/>
              </w:rPr>
            </w:pPr>
          </w:p>
        </w:tc>
        <w:tc>
          <w:tcPr>
            <w:tcW w:w="6663" w:type="dxa"/>
          </w:tcPr>
          <w:p w14:paraId="05254756" w14:textId="77777777" w:rsidR="0071525D" w:rsidRPr="00306F4D" w:rsidRDefault="0071525D" w:rsidP="0071525D">
            <w:pPr>
              <w:rPr>
                <w:rFonts w:ascii="Arial" w:hAnsi="Arial" w:cs="Arial"/>
                <w:b/>
                <w:sz w:val="19"/>
                <w:szCs w:val="19"/>
              </w:rPr>
            </w:pPr>
            <w:r w:rsidRPr="00306F4D">
              <w:rPr>
                <w:rFonts w:ascii="Arial" w:hAnsi="Arial" w:cs="Arial"/>
                <w:b/>
                <w:sz w:val="19"/>
                <w:szCs w:val="19"/>
              </w:rPr>
              <w:t>Moderate risks</w:t>
            </w:r>
          </w:p>
          <w:p w14:paraId="2E4CCEE4" w14:textId="77777777" w:rsidR="00F97CC9" w:rsidRPr="00306F4D" w:rsidRDefault="00F97CC9" w:rsidP="00F97CC9">
            <w:pPr>
              <w:rPr>
                <w:rFonts w:ascii="Arial" w:hAnsi="Arial" w:cs="Arial"/>
                <w:sz w:val="19"/>
                <w:szCs w:val="19"/>
              </w:rPr>
            </w:pPr>
            <w:r w:rsidRPr="00306F4D">
              <w:rPr>
                <w:rFonts w:ascii="Arial" w:hAnsi="Arial" w:cs="Arial"/>
                <w:sz w:val="19"/>
                <w:szCs w:val="19"/>
              </w:rPr>
              <w:t>Some supported activities (e.g. changes in land-uses or changes in the cooling systems) might inadvertently trigger greenhouse gas emissions.</w:t>
            </w:r>
          </w:p>
          <w:p w14:paraId="53A9DDE3" w14:textId="77777777" w:rsidR="00F97CC9" w:rsidRPr="00306F4D" w:rsidRDefault="00F97CC9" w:rsidP="00F97CC9">
            <w:pPr>
              <w:rPr>
                <w:rFonts w:ascii="Arial" w:hAnsi="Arial" w:cs="Arial"/>
                <w:sz w:val="19"/>
                <w:szCs w:val="19"/>
              </w:rPr>
            </w:pPr>
          </w:p>
          <w:p w14:paraId="36B23E3C" w14:textId="77777777" w:rsidR="00F97CC9" w:rsidRPr="00306F4D" w:rsidRDefault="00F97CC9" w:rsidP="00F97CC9">
            <w:pPr>
              <w:rPr>
                <w:rFonts w:ascii="Arial" w:hAnsi="Arial" w:cs="Arial"/>
                <w:b/>
                <w:sz w:val="19"/>
                <w:szCs w:val="19"/>
              </w:rPr>
            </w:pPr>
            <w:r w:rsidRPr="00306F4D">
              <w:rPr>
                <w:rFonts w:ascii="Arial" w:hAnsi="Arial" w:cs="Arial"/>
                <w:b/>
                <w:sz w:val="19"/>
                <w:szCs w:val="19"/>
              </w:rPr>
              <w:t>Further assessment and management required for compliance</w:t>
            </w:r>
          </w:p>
          <w:p w14:paraId="6F0A456E" w14:textId="77777777" w:rsidR="00F97CC9" w:rsidRPr="00306F4D" w:rsidRDefault="00F97CC9" w:rsidP="00F97CC9">
            <w:pPr>
              <w:rPr>
                <w:rFonts w:ascii="Arial" w:hAnsi="Arial" w:cs="Arial"/>
                <w:sz w:val="19"/>
                <w:szCs w:val="19"/>
              </w:rPr>
            </w:pPr>
            <w:r w:rsidRPr="00306F4D">
              <w:rPr>
                <w:rFonts w:ascii="Arial" w:hAnsi="Arial" w:cs="Arial"/>
                <w:sz w:val="19"/>
                <w:szCs w:val="19"/>
              </w:rPr>
              <w:t>The supported actions shall be screened for any potential project-related increases in emissions that may exacerbate climate change, such as GHG emissions and black carbon emissions.</w:t>
            </w:r>
          </w:p>
          <w:p w14:paraId="781691A8" w14:textId="77777777" w:rsidR="00F97CC9" w:rsidRPr="00306F4D" w:rsidRDefault="00F97CC9" w:rsidP="00F97CC9">
            <w:pPr>
              <w:rPr>
                <w:rFonts w:ascii="Arial" w:hAnsi="Arial" w:cs="Arial"/>
                <w:b/>
                <w:sz w:val="19"/>
                <w:szCs w:val="19"/>
              </w:rPr>
            </w:pPr>
          </w:p>
          <w:p w14:paraId="14DECE3F" w14:textId="77777777" w:rsidR="00F97CC9" w:rsidRPr="00306F4D" w:rsidRDefault="00F97CC9" w:rsidP="00F97CC9">
            <w:pPr>
              <w:widowControl w:val="0"/>
              <w:rPr>
                <w:rFonts w:ascii="Arial" w:hAnsi="Arial" w:cs="Arial"/>
                <w:sz w:val="19"/>
                <w:szCs w:val="19"/>
              </w:rPr>
            </w:pPr>
            <w:r w:rsidRPr="00306F4D">
              <w:rPr>
                <w:rFonts w:ascii="Arial" w:hAnsi="Arial" w:cs="Arial"/>
                <w:sz w:val="19"/>
                <w:szCs w:val="19"/>
              </w:rPr>
              <w:t>Where any such risks would arise (e.g. the use of cooling systems), the action shall be asked to consider and adopt technically and financially feasible alternatives for reducing proposal-related greenhouse gas emissions. Such options may include, but are not limited to:</w:t>
            </w:r>
          </w:p>
          <w:p w14:paraId="429B163C" w14:textId="77777777" w:rsidR="00F97CC9" w:rsidRPr="00306F4D" w:rsidRDefault="00F97CC9" w:rsidP="00F97CC9">
            <w:pPr>
              <w:pStyle w:val="ListParagraph"/>
              <w:numPr>
                <w:ilvl w:val="0"/>
                <w:numId w:val="109"/>
              </w:numPr>
              <w:rPr>
                <w:rFonts w:ascii="Arial" w:hAnsi="Arial" w:cs="Arial"/>
                <w:sz w:val="19"/>
                <w:szCs w:val="19"/>
              </w:rPr>
            </w:pPr>
            <w:r w:rsidRPr="00306F4D">
              <w:rPr>
                <w:rFonts w:ascii="Arial" w:hAnsi="Arial" w:cs="Arial"/>
                <w:sz w:val="19"/>
                <w:szCs w:val="19"/>
              </w:rPr>
              <w:t xml:space="preserve">alternative project locations, </w:t>
            </w:r>
          </w:p>
          <w:p w14:paraId="52B0E359" w14:textId="77777777" w:rsidR="00F97CC9" w:rsidRPr="00306F4D" w:rsidRDefault="00F97CC9" w:rsidP="00F97CC9">
            <w:pPr>
              <w:pStyle w:val="ListParagraph"/>
              <w:numPr>
                <w:ilvl w:val="0"/>
                <w:numId w:val="109"/>
              </w:numPr>
              <w:rPr>
                <w:rFonts w:ascii="Arial" w:hAnsi="Arial" w:cs="Arial"/>
                <w:sz w:val="19"/>
                <w:szCs w:val="19"/>
              </w:rPr>
            </w:pPr>
            <w:r w:rsidRPr="00306F4D">
              <w:rPr>
                <w:rFonts w:ascii="Arial" w:hAnsi="Arial" w:cs="Arial"/>
                <w:sz w:val="19"/>
                <w:szCs w:val="19"/>
              </w:rPr>
              <w:t xml:space="preserve">adoption of renewable or low-carbon energy sources, or energy efficiency measures </w:t>
            </w:r>
          </w:p>
          <w:p w14:paraId="670EA838" w14:textId="77777777" w:rsidR="00F97CC9" w:rsidRPr="00306F4D" w:rsidRDefault="00F97CC9" w:rsidP="00F97CC9">
            <w:pPr>
              <w:pStyle w:val="ListParagraph"/>
              <w:numPr>
                <w:ilvl w:val="0"/>
                <w:numId w:val="109"/>
              </w:numPr>
              <w:rPr>
                <w:rFonts w:ascii="Arial" w:hAnsi="Arial" w:cs="Arial"/>
                <w:sz w:val="19"/>
                <w:szCs w:val="19"/>
              </w:rPr>
            </w:pPr>
            <w:r w:rsidRPr="00306F4D">
              <w:rPr>
                <w:rFonts w:ascii="Arial" w:hAnsi="Arial" w:cs="Arial"/>
                <w:sz w:val="19"/>
                <w:szCs w:val="19"/>
              </w:rPr>
              <w:t xml:space="preserve">use of low-global-warming-potential coolants for air-conditioning and refrigeration, </w:t>
            </w:r>
          </w:p>
          <w:p w14:paraId="385852D9" w14:textId="77777777" w:rsidR="00F97CC9" w:rsidRPr="00306F4D" w:rsidRDefault="00F97CC9" w:rsidP="00F97CC9">
            <w:pPr>
              <w:pStyle w:val="ListParagraph"/>
              <w:numPr>
                <w:ilvl w:val="0"/>
                <w:numId w:val="109"/>
              </w:numPr>
              <w:rPr>
                <w:rFonts w:ascii="Arial" w:hAnsi="Arial" w:cs="Arial"/>
                <w:sz w:val="19"/>
                <w:szCs w:val="19"/>
              </w:rPr>
            </w:pPr>
            <w:r w:rsidRPr="00306F4D">
              <w:rPr>
                <w:rFonts w:ascii="Arial" w:hAnsi="Arial" w:cs="Arial"/>
                <w:sz w:val="19"/>
                <w:szCs w:val="19"/>
              </w:rPr>
              <w:t>promote climate-smart agricultural, forestry, and livestock management practices, and ecosystem-based adaptation and mitigation measures (including potential integration of carbon sinks).</w:t>
            </w:r>
          </w:p>
          <w:p w14:paraId="2F6F14E4" w14:textId="77777777" w:rsidR="00F97CC9" w:rsidRPr="00306F4D" w:rsidRDefault="00F97CC9" w:rsidP="00F97CC9">
            <w:pPr>
              <w:rPr>
                <w:rFonts w:ascii="Arial" w:hAnsi="Arial" w:cs="Arial"/>
                <w:sz w:val="19"/>
                <w:szCs w:val="19"/>
              </w:rPr>
            </w:pPr>
          </w:p>
        </w:tc>
      </w:tr>
      <w:tr w:rsidR="00F97CC9" w:rsidRPr="00306F4D" w14:paraId="13772E5E" w14:textId="77777777" w:rsidTr="00F97CC9">
        <w:trPr>
          <w:trHeight w:val="65"/>
        </w:trPr>
        <w:tc>
          <w:tcPr>
            <w:tcW w:w="1980" w:type="dxa"/>
          </w:tcPr>
          <w:p w14:paraId="20D944CA" w14:textId="77777777" w:rsidR="00F97CC9" w:rsidRPr="00306F4D" w:rsidRDefault="00F97CC9" w:rsidP="00F97CC9">
            <w:pPr>
              <w:rPr>
                <w:rFonts w:ascii="Arial" w:hAnsi="Arial" w:cs="Arial"/>
                <w:sz w:val="19"/>
                <w:szCs w:val="19"/>
              </w:rPr>
            </w:pPr>
            <w:r w:rsidRPr="00306F4D">
              <w:rPr>
                <w:rFonts w:ascii="Arial" w:hAnsi="Arial" w:cs="Arial"/>
                <w:b/>
                <w:sz w:val="19"/>
                <w:szCs w:val="19"/>
              </w:rPr>
              <w:t>Pollution Prevention and Resource Efficiency:</w:t>
            </w:r>
            <w:r w:rsidRPr="00306F4D">
              <w:rPr>
                <w:rFonts w:ascii="Arial" w:hAnsi="Arial" w:cs="Arial"/>
                <w:sz w:val="19"/>
                <w:szCs w:val="19"/>
              </w:rPr>
              <w:t xml:space="preserve"> </w:t>
            </w:r>
          </w:p>
        </w:tc>
        <w:tc>
          <w:tcPr>
            <w:tcW w:w="1417" w:type="dxa"/>
          </w:tcPr>
          <w:p w14:paraId="4A30B16E" w14:textId="77777777" w:rsidR="00F97CC9" w:rsidRPr="00306F4D" w:rsidRDefault="00F97CC9" w:rsidP="00F97CC9">
            <w:pPr>
              <w:rPr>
                <w:rFonts w:ascii="Arial" w:hAnsi="Arial" w:cs="Arial"/>
                <w:sz w:val="19"/>
                <w:szCs w:val="19"/>
              </w:rPr>
            </w:pPr>
          </w:p>
        </w:tc>
        <w:tc>
          <w:tcPr>
            <w:tcW w:w="6663" w:type="dxa"/>
          </w:tcPr>
          <w:p w14:paraId="4E083196" w14:textId="77777777" w:rsidR="0071525D" w:rsidRPr="00306F4D" w:rsidRDefault="0071525D" w:rsidP="0071525D">
            <w:pPr>
              <w:rPr>
                <w:rFonts w:ascii="Arial" w:hAnsi="Arial" w:cs="Arial"/>
                <w:b/>
                <w:sz w:val="19"/>
                <w:szCs w:val="19"/>
              </w:rPr>
            </w:pPr>
            <w:r w:rsidRPr="00306F4D">
              <w:rPr>
                <w:rFonts w:ascii="Arial" w:hAnsi="Arial" w:cs="Arial"/>
                <w:b/>
                <w:sz w:val="19"/>
                <w:szCs w:val="19"/>
              </w:rPr>
              <w:t>Moderate risks</w:t>
            </w:r>
          </w:p>
          <w:p w14:paraId="1095ECF1" w14:textId="77777777" w:rsidR="00F97CC9" w:rsidRPr="00306F4D" w:rsidRDefault="00F97CC9" w:rsidP="00F97CC9">
            <w:pPr>
              <w:rPr>
                <w:rFonts w:ascii="Arial" w:hAnsi="Arial" w:cs="Arial"/>
                <w:sz w:val="19"/>
                <w:szCs w:val="19"/>
              </w:rPr>
            </w:pPr>
            <w:r w:rsidRPr="00306F4D">
              <w:rPr>
                <w:rFonts w:ascii="Arial" w:hAnsi="Arial" w:cs="Arial"/>
                <w:sz w:val="19"/>
                <w:szCs w:val="19"/>
              </w:rPr>
              <w:t xml:space="preserve">Grant-supported activities may fail to meet all applicable national environmental laws and standards, and applicable international agreements and good international practices or avoiding, minimizing, and mitigating environmental and related public health risks associated with the potential release of pollutants due to routine or non-routine circumstances.  </w:t>
            </w:r>
          </w:p>
          <w:p w14:paraId="62AF9844" w14:textId="77777777" w:rsidR="00F97CC9" w:rsidRPr="00306F4D" w:rsidRDefault="00F97CC9" w:rsidP="00F97CC9">
            <w:pPr>
              <w:rPr>
                <w:rFonts w:ascii="Arial" w:hAnsi="Arial" w:cs="Arial"/>
                <w:sz w:val="19"/>
                <w:szCs w:val="19"/>
              </w:rPr>
            </w:pPr>
          </w:p>
          <w:p w14:paraId="057143D2" w14:textId="77777777" w:rsidR="00F97CC9" w:rsidRPr="00306F4D" w:rsidRDefault="00F97CC9" w:rsidP="00F97CC9">
            <w:pPr>
              <w:rPr>
                <w:rFonts w:ascii="Arial" w:hAnsi="Arial" w:cs="Arial"/>
                <w:b/>
                <w:sz w:val="19"/>
                <w:szCs w:val="19"/>
              </w:rPr>
            </w:pPr>
            <w:r w:rsidRPr="00306F4D">
              <w:rPr>
                <w:rFonts w:ascii="Arial" w:hAnsi="Arial" w:cs="Arial"/>
                <w:b/>
                <w:sz w:val="19"/>
                <w:szCs w:val="19"/>
              </w:rPr>
              <w:t>Further assessment and management required for compliance</w:t>
            </w:r>
          </w:p>
          <w:p w14:paraId="65437DF8" w14:textId="77777777" w:rsidR="00F97CC9" w:rsidRPr="00306F4D" w:rsidRDefault="00F97CC9" w:rsidP="00F97CC9">
            <w:pPr>
              <w:rPr>
                <w:rFonts w:ascii="Arial" w:hAnsi="Arial" w:cs="Arial"/>
                <w:sz w:val="19"/>
                <w:szCs w:val="19"/>
              </w:rPr>
            </w:pPr>
            <w:r w:rsidRPr="00306F4D">
              <w:rPr>
                <w:rFonts w:ascii="Arial" w:hAnsi="Arial" w:cs="Arial"/>
                <w:sz w:val="19"/>
                <w:szCs w:val="19"/>
              </w:rPr>
              <w:t>The supported actions shall be screened for pollution prevention and resource efficiency risks. They will be required to avoid, minimize, and mitigate environmental and related public health risks associated with the potential release of pollutants in routine and non-routine circumstances in accordance with the national law and international best practices used in the region.</w:t>
            </w:r>
          </w:p>
          <w:p w14:paraId="69447326" w14:textId="77777777" w:rsidR="00F97CC9" w:rsidRPr="00306F4D" w:rsidRDefault="00F97CC9" w:rsidP="00F97CC9">
            <w:pPr>
              <w:rPr>
                <w:rFonts w:ascii="Arial" w:hAnsi="Arial" w:cs="Arial"/>
                <w:b/>
                <w:sz w:val="19"/>
                <w:szCs w:val="19"/>
              </w:rPr>
            </w:pPr>
          </w:p>
          <w:p w14:paraId="020273C4" w14:textId="77777777" w:rsidR="00F97CC9" w:rsidRPr="00306F4D" w:rsidRDefault="00F97CC9" w:rsidP="00F97CC9">
            <w:pPr>
              <w:widowControl w:val="0"/>
              <w:rPr>
                <w:rFonts w:ascii="Arial" w:hAnsi="Arial" w:cs="Arial"/>
                <w:sz w:val="19"/>
                <w:szCs w:val="19"/>
              </w:rPr>
            </w:pPr>
            <w:r w:rsidRPr="00306F4D">
              <w:rPr>
                <w:rFonts w:ascii="Arial" w:hAnsi="Arial" w:cs="Arial"/>
                <w:sz w:val="19"/>
                <w:szCs w:val="19"/>
              </w:rPr>
              <w:t xml:space="preserve">Where the risks of pollution release would arise, the project will:  </w:t>
            </w:r>
          </w:p>
          <w:p w14:paraId="331FDC74" w14:textId="77777777" w:rsidR="00F97CC9" w:rsidRPr="00306F4D" w:rsidRDefault="00F97CC9" w:rsidP="00F97CC9">
            <w:pPr>
              <w:pStyle w:val="ListParagraph"/>
              <w:numPr>
                <w:ilvl w:val="0"/>
                <w:numId w:val="109"/>
              </w:numPr>
              <w:rPr>
                <w:rFonts w:ascii="Arial" w:hAnsi="Arial" w:cs="Arial"/>
                <w:sz w:val="19"/>
                <w:szCs w:val="19"/>
              </w:rPr>
            </w:pPr>
            <w:r w:rsidRPr="00306F4D">
              <w:rPr>
                <w:rFonts w:ascii="Arial" w:hAnsi="Arial" w:cs="Arial"/>
                <w:sz w:val="19"/>
                <w:szCs w:val="19"/>
              </w:rPr>
              <w:lastRenderedPageBreak/>
              <w:t>require operators to conduct orientation training addressing relevant environmental and occupational health and safety issues prior commencement of the relevant operations,</w:t>
            </w:r>
          </w:p>
          <w:p w14:paraId="68591519" w14:textId="77777777" w:rsidR="00F97CC9" w:rsidRPr="00306F4D" w:rsidRDefault="00F97CC9" w:rsidP="00F97CC9">
            <w:pPr>
              <w:pStyle w:val="ListParagraph"/>
              <w:numPr>
                <w:ilvl w:val="0"/>
                <w:numId w:val="109"/>
              </w:numPr>
              <w:rPr>
                <w:rFonts w:ascii="Arial" w:hAnsi="Arial" w:cs="Arial"/>
                <w:sz w:val="19"/>
                <w:szCs w:val="19"/>
              </w:rPr>
            </w:pPr>
            <w:r w:rsidRPr="00306F4D">
              <w:rPr>
                <w:rFonts w:ascii="Arial" w:hAnsi="Arial" w:cs="Arial"/>
                <w:sz w:val="19"/>
                <w:szCs w:val="19"/>
              </w:rPr>
              <w:t>conduct regular surveillance is conducted to avoid leaks, spills, incidents or accidents occurring during the use of equipment and during storage,</w:t>
            </w:r>
          </w:p>
          <w:p w14:paraId="3C8B5173" w14:textId="77777777" w:rsidR="00F97CC9" w:rsidRPr="00306F4D" w:rsidRDefault="00F97CC9" w:rsidP="00F97CC9">
            <w:pPr>
              <w:pStyle w:val="ListParagraph"/>
              <w:numPr>
                <w:ilvl w:val="0"/>
                <w:numId w:val="109"/>
              </w:numPr>
              <w:rPr>
                <w:rFonts w:ascii="Arial" w:hAnsi="Arial" w:cs="Arial"/>
                <w:sz w:val="19"/>
                <w:szCs w:val="19"/>
              </w:rPr>
            </w:pPr>
            <w:r w:rsidRPr="00306F4D">
              <w:rPr>
                <w:rFonts w:ascii="Arial" w:hAnsi="Arial" w:cs="Arial"/>
                <w:sz w:val="19"/>
                <w:szCs w:val="19"/>
              </w:rPr>
              <w:t>monitor, manage and remediate any chemical oil leaks or spills, and incidents/accidents occurring during the use of equipment and their effects, and undertake all necessary immediate actions to ensure they do not adversely affect water bodies/sources.</w:t>
            </w:r>
          </w:p>
          <w:p w14:paraId="47C07BCC" w14:textId="77777777" w:rsidR="00F97CC9" w:rsidRPr="00306F4D" w:rsidRDefault="00F97CC9" w:rsidP="00F97CC9">
            <w:pPr>
              <w:rPr>
                <w:rFonts w:ascii="Arial" w:hAnsi="Arial" w:cs="Arial"/>
                <w:sz w:val="19"/>
                <w:szCs w:val="19"/>
              </w:rPr>
            </w:pPr>
          </w:p>
          <w:p w14:paraId="3E5A24D7" w14:textId="77777777" w:rsidR="00F97CC9" w:rsidRPr="00306F4D" w:rsidRDefault="00F97CC9" w:rsidP="00F97CC9">
            <w:pPr>
              <w:rPr>
                <w:rFonts w:ascii="Arial" w:hAnsi="Arial" w:cs="Arial"/>
                <w:sz w:val="19"/>
                <w:szCs w:val="19"/>
              </w:rPr>
            </w:pPr>
            <w:r w:rsidRPr="00306F4D">
              <w:rPr>
                <w:rFonts w:ascii="Arial" w:hAnsi="Arial" w:cs="Arial"/>
                <w:sz w:val="19"/>
                <w:szCs w:val="19"/>
              </w:rPr>
              <w:t xml:space="preserve">Where the risks of inadequate waste management would arise, the supported actions shall be required to: </w:t>
            </w:r>
          </w:p>
          <w:p w14:paraId="23441CE1" w14:textId="77777777" w:rsidR="00F97CC9" w:rsidRPr="00306F4D" w:rsidRDefault="00F97CC9" w:rsidP="00F97CC9">
            <w:pPr>
              <w:pStyle w:val="ListParagraph"/>
              <w:numPr>
                <w:ilvl w:val="0"/>
                <w:numId w:val="109"/>
              </w:numPr>
              <w:rPr>
                <w:rFonts w:ascii="Arial" w:hAnsi="Arial" w:cs="Arial"/>
                <w:sz w:val="19"/>
                <w:szCs w:val="19"/>
              </w:rPr>
            </w:pPr>
            <w:r w:rsidRPr="00306F4D">
              <w:rPr>
                <w:rFonts w:ascii="Arial" w:hAnsi="Arial" w:cs="Arial"/>
                <w:sz w:val="19"/>
                <w:szCs w:val="19"/>
              </w:rPr>
              <w:t>reduce the generation of any generated waste</w:t>
            </w:r>
          </w:p>
          <w:p w14:paraId="0714B63D" w14:textId="77777777" w:rsidR="00F97CC9" w:rsidRPr="00306F4D" w:rsidRDefault="00F97CC9" w:rsidP="00F97CC9">
            <w:pPr>
              <w:pStyle w:val="ListParagraph"/>
              <w:numPr>
                <w:ilvl w:val="0"/>
                <w:numId w:val="109"/>
              </w:numPr>
              <w:rPr>
                <w:rFonts w:ascii="Arial" w:hAnsi="Arial" w:cs="Arial"/>
                <w:sz w:val="19"/>
                <w:szCs w:val="19"/>
              </w:rPr>
            </w:pPr>
            <w:r w:rsidRPr="00306F4D">
              <w:rPr>
                <w:rFonts w:ascii="Arial" w:hAnsi="Arial" w:cs="Arial"/>
                <w:sz w:val="19"/>
                <w:szCs w:val="19"/>
              </w:rPr>
              <w:t xml:space="preserve">separate waste at the source (where possible) </w:t>
            </w:r>
          </w:p>
          <w:p w14:paraId="409FF51D" w14:textId="77777777" w:rsidR="00F97CC9" w:rsidRPr="00306F4D" w:rsidRDefault="00F97CC9" w:rsidP="00F97CC9">
            <w:pPr>
              <w:pStyle w:val="ListParagraph"/>
              <w:numPr>
                <w:ilvl w:val="0"/>
                <w:numId w:val="109"/>
              </w:numPr>
              <w:rPr>
                <w:rFonts w:ascii="Arial" w:hAnsi="Arial" w:cs="Arial"/>
                <w:sz w:val="19"/>
                <w:szCs w:val="19"/>
              </w:rPr>
            </w:pPr>
            <w:r w:rsidRPr="00306F4D">
              <w:rPr>
                <w:rFonts w:ascii="Arial" w:hAnsi="Arial" w:cs="Arial"/>
                <w:sz w:val="19"/>
                <w:szCs w:val="19"/>
              </w:rPr>
              <w:t xml:space="preserve">reuse waste in a manner that is safe for human health and the environment. </w:t>
            </w:r>
          </w:p>
          <w:p w14:paraId="538B20CB" w14:textId="77777777" w:rsidR="00F97CC9" w:rsidRPr="00306F4D" w:rsidRDefault="00F97CC9" w:rsidP="00F97CC9">
            <w:pPr>
              <w:pStyle w:val="ListParagraph"/>
              <w:numPr>
                <w:ilvl w:val="0"/>
                <w:numId w:val="109"/>
              </w:numPr>
              <w:rPr>
                <w:rFonts w:ascii="Arial" w:hAnsi="Arial" w:cs="Arial"/>
                <w:sz w:val="19"/>
                <w:szCs w:val="19"/>
              </w:rPr>
            </w:pPr>
            <w:r w:rsidRPr="00306F4D">
              <w:rPr>
                <w:rFonts w:ascii="Arial" w:hAnsi="Arial" w:cs="Arial"/>
                <w:sz w:val="19"/>
                <w:szCs w:val="19"/>
              </w:rPr>
              <w:t>transport all waste that cannot be reused to an appropriate waste recovery-or-treatment facility that appropriately controls its emissions and residues in accordance with the national law and international best practices used in the region.</w:t>
            </w:r>
          </w:p>
          <w:p w14:paraId="1B75DB9F" w14:textId="77777777" w:rsidR="00F97CC9" w:rsidRPr="00306F4D" w:rsidRDefault="00F97CC9" w:rsidP="00F97CC9">
            <w:pPr>
              <w:pStyle w:val="ListParagraph"/>
              <w:ind w:left="0" w:hanging="360"/>
              <w:rPr>
                <w:rFonts w:ascii="Arial" w:hAnsi="Arial" w:cs="Arial"/>
                <w:sz w:val="19"/>
                <w:szCs w:val="19"/>
              </w:rPr>
            </w:pPr>
          </w:p>
        </w:tc>
      </w:tr>
      <w:tr w:rsidR="00F97CC9" w:rsidRPr="00306F4D" w14:paraId="23CE5087" w14:textId="77777777" w:rsidTr="00F97CC9">
        <w:trPr>
          <w:trHeight w:val="300"/>
        </w:trPr>
        <w:tc>
          <w:tcPr>
            <w:tcW w:w="1980" w:type="dxa"/>
          </w:tcPr>
          <w:p w14:paraId="5E3A8A30" w14:textId="77777777" w:rsidR="00F97CC9" w:rsidRPr="00306F4D" w:rsidRDefault="00F97CC9" w:rsidP="00F97CC9">
            <w:pPr>
              <w:rPr>
                <w:rFonts w:ascii="Arial" w:hAnsi="Arial" w:cs="Arial"/>
                <w:sz w:val="19"/>
                <w:szCs w:val="19"/>
              </w:rPr>
            </w:pPr>
            <w:r w:rsidRPr="00306F4D">
              <w:rPr>
                <w:rFonts w:ascii="Arial" w:hAnsi="Arial" w:cs="Arial"/>
                <w:b/>
                <w:sz w:val="19"/>
                <w:szCs w:val="19"/>
              </w:rPr>
              <w:lastRenderedPageBreak/>
              <w:t>Public Health:</w:t>
            </w:r>
            <w:r w:rsidRPr="00306F4D">
              <w:rPr>
                <w:rFonts w:ascii="Arial" w:hAnsi="Arial" w:cs="Arial"/>
                <w:sz w:val="19"/>
                <w:szCs w:val="19"/>
              </w:rPr>
              <w:t xml:space="preserve"> </w:t>
            </w:r>
          </w:p>
          <w:p w14:paraId="06D43C91" w14:textId="77777777" w:rsidR="00F97CC9" w:rsidRPr="00306F4D" w:rsidRDefault="00F97CC9" w:rsidP="00F97CC9">
            <w:pPr>
              <w:rPr>
                <w:rFonts w:ascii="Arial" w:hAnsi="Arial" w:cs="Arial"/>
                <w:sz w:val="19"/>
                <w:szCs w:val="19"/>
              </w:rPr>
            </w:pPr>
          </w:p>
        </w:tc>
        <w:tc>
          <w:tcPr>
            <w:tcW w:w="1417" w:type="dxa"/>
          </w:tcPr>
          <w:p w14:paraId="17243416" w14:textId="77777777" w:rsidR="00F97CC9" w:rsidRPr="00306F4D" w:rsidRDefault="00F97CC9" w:rsidP="00F97CC9">
            <w:pPr>
              <w:rPr>
                <w:rFonts w:ascii="Arial" w:hAnsi="Arial" w:cs="Arial"/>
                <w:sz w:val="19"/>
                <w:szCs w:val="19"/>
              </w:rPr>
            </w:pPr>
          </w:p>
        </w:tc>
        <w:tc>
          <w:tcPr>
            <w:tcW w:w="6663" w:type="dxa"/>
          </w:tcPr>
          <w:p w14:paraId="09201819" w14:textId="77777777" w:rsidR="0071525D" w:rsidRPr="00306F4D" w:rsidRDefault="0071525D" w:rsidP="0071525D">
            <w:pPr>
              <w:rPr>
                <w:rFonts w:ascii="Arial" w:hAnsi="Arial" w:cs="Arial"/>
                <w:b/>
                <w:sz w:val="19"/>
                <w:szCs w:val="19"/>
              </w:rPr>
            </w:pPr>
            <w:r w:rsidRPr="00306F4D">
              <w:rPr>
                <w:rFonts w:ascii="Arial" w:hAnsi="Arial" w:cs="Arial"/>
                <w:b/>
                <w:sz w:val="19"/>
                <w:szCs w:val="19"/>
              </w:rPr>
              <w:t>Moderate risks</w:t>
            </w:r>
          </w:p>
          <w:p w14:paraId="02067F5B" w14:textId="77777777" w:rsidR="00F97CC9" w:rsidRPr="00306F4D" w:rsidRDefault="00F97CC9" w:rsidP="00F97CC9">
            <w:pPr>
              <w:rPr>
                <w:rFonts w:ascii="Arial" w:hAnsi="Arial" w:cs="Arial"/>
                <w:sz w:val="19"/>
                <w:szCs w:val="19"/>
              </w:rPr>
            </w:pPr>
            <w:r w:rsidRPr="00306F4D">
              <w:rPr>
                <w:rFonts w:ascii="Arial" w:hAnsi="Arial" w:cs="Arial"/>
                <w:sz w:val="19"/>
                <w:szCs w:val="19"/>
              </w:rPr>
              <w:t>Projects may create certain health and safety risks or construction-related risks to communities and workers.</w:t>
            </w:r>
          </w:p>
          <w:p w14:paraId="4E5075F0" w14:textId="77777777" w:rsidR="00F97CC9" w:rsidRPr="00306F4D" w:rsidRDefault="00F97CC9" w:rsidP="00F97CC9">
            <w:pPr>
              <w:rPr>
                <w:rFonts w:ascii="Arial" w:hAnsi="Arial" w:cs="Arial"/>
                <w:sz w:val="19"/>
                <w:szCs w:val="19"/>
              </w:rPr>
            </w:pPr>
          </w:p>
          <w:p w14:paraId="7FC954A6" w14:textId="77777777" w:rsidR="00F97CC9" w:rsidRPr="00306F4D" w:rsidRDefault="00F97CC9" w:rsidP="00F97CC9">
            <w:pPr>
              <w:rPr>
                <w:rFonts w:ascii="Arial" w:hAnsi="Arial" w:cs="Arial"/>
                <w:b/>
                <w:sz w:val="19"/>
                <w:szCs w:val="19"/>
              </w:rPr>
            </w:pPr>
            <w:r w:rsidRPr="00306F4D">
              <w:rPr>
                <w:rFonts w:ascii="Arial" w:hAnsi="Arial" w:cs="Arial"/>
                <w:b/>
                <w:sz w:val="19"/>
                <w:szCs w:val="19"/>
              </w:rPr>
              <w:t>Further assessment and management required for compliance</w:t>
            </w:r>
          </w:p>
          <w:p w14:paraId="69C15AB0" w14:textId="77777777" w:rsidR="00F97CC9" w:rsidRPr="00306F4D" w:rsidRDefault="00F97CC9" w:rsidP="00F97CC9">
            <w:pPr>
              <w:rPr>
                <w:rFonts w:ascii="Arial" w:hAnsi="Arial" w:cs="Arial"/>
                <w:sz w:val="19"/>
                <w:szCs w:val="19"/>
              </w:rPr>
            </w:pPr>
            <w:r w:rsidRPr="00306F4D">
              <w:rPr>
                <w:rFonts w:ascii="Arial" w:hAnsi="Arial" w:cs="Arial"/>
                <w:sz w:val="19"/>
                <w:szCs w:val="19"/>
              </w:rPr>
              <w:t xml:space="preserve">The supported actions shall be screened for public health and safety risks. They will be required to be designed, implemented, and operated in accordance with the national law and will also respect the following UNDP requirements for construction process management: </w:t>
            </w:r>
          </w:p>
          <w:p w14:paraId="39C111D7" w14:textId="77777777" w:rsidR="00F97CC9" w:rsidRPr="00306F4D" w:rsidRDefault="00F97CC9" w:rsidP="00F97CC9">
            <w:pPr>
              <w:pStyle w:val="ListParagraph"/>
              <w:numPr>
                <w:ilvl w:val="0"/>
                <w:numId w:val="109"/>
              </w:numPr>
              <w:rPr>
                <w:rFonts w:ascii="Arial" w:hAnsi="Arial" w:cs="Arial"/>
                <w:sz w:val="19"/>
                <w:szCs w:val="19"/>
              </w:rPr>
            </w:pPr>
            <w:r w:rsidRPr="00306F4D">
              <w:rPr>
                <w:rFonts w:ascii="Arial" w:hAnsi="Arial" w:cs="Arial"/>
                <w:sz w:val="19"/>
                <w:szCs w:val="19"/>
              </w:rPr>
              <w:t>have design and management plans which were: i) prepared by suitably qualified and experienced professionals who are certified for such design process, and ii) cleared by the competent authorities for construction process management. Low-risk designs will require at least a peer-review by qualified professionals.</w:t>
            </w:r>
          </w:p>
          <w:p w14:paraId="3ED64145" w14:textId="77777777" w:rsidR="00F97CC9" w:rsidRPr="00306F4D" w:rsidRDefault="00F97CC9" w:rsidP="00F97CC9">
            <w:pPr>
              <w:pStyle w:val="ListParagraph"/>
              <w:numPr>
                <w:ilvl w:val="0"/>
                <w:numId w:val="109"/>
              </w:numPr>
              <w:rPr>
                <w:rFonts w:ascii="Arial" w:hAnsi="Arial" w:cs="Arial"/>
                <w:sz w:val="19"/>
                <w:szCs w:val="19"/>
              </w:rPr>
            </w:pPr>
            <w:r w:rsidRPr="00306F4D">
              <w:rPr>
                <w:rFonts w:ascii="Arial" w:hAnsi="Arial" w:cs="Arial"/>
                <w:sz w:val="19"/>
                <w:szCs w:val="19"/>
              </w:rPr>
              <w:t>be constructed and operated by the experienced contractor(s) having relevant certifications and permits for the relevant works,</w:t>
            </w:r>
          </w:p>
          <w:p w14:paraId="3C92B794" w14:textId="77777777" w:rsidR="00F97CC9" w:rsidRPr="00306F4D" w:rsidRDefault="00F97CC9" w:rsidP="00F97CC9">
            <w:pPr>
              <w:pStyle w:val="ListParagraph"/>
              <w:numPr>
                <w:ilvl w:val="0"/>
                <w:numId w:val="109"/>
              </w:numPr>
              <w:rPr>
                <w:rFonts w:ascii="Arial" w:hAnsi="Arial" w:cs="Arial"/>
                <w:sz w:val="19"/>
                <w:szCs w:val="19"/>
              </w:rPr>
            </w:pPr>
            <w:r w:rsidRPr="00306F4D">
              <w:rPr>
                <w:rFonts w:ascii="Arial" w:hAnsi="Arial" w:cs="Arial"/>
                <w:sz w:val="19"/>
                <w:szCs w:val="19"/>
              </w:rPr>
              <w:t>implement preventive/protective measures to avoid/minimize the relevant health and safety risks for the construction workers and the surrounding communities based on the national law and international good practice, and</w:t>
            </w:r>
          </w:p>
          <w:p w14:paraId="6399757E" w14:textId="77777777" w:rsidR="00F97CC9" w:rsidRPr="00306F4D" w:rsidRDefault="00F97CC9" w:rsidP="00F97CC9">
            <w:pPr>
              <w:pStyle w:val="ListParagraph"/>
              <w:numPr>
                <w:ilvl w:val="0"/>
                <w:numId w:val="109"/>
              </w:numPr>
              <w:rPr>
                <w:rFonts w:ascii="Arial" w:hAnsi="Arial" w:cs="Arial"/>
                <w:sz w:val="19"/>
                <w:szCs w:val="19"/>
              </w:rPr>
            </w:pPr>
            <w:r w:rsidRPr="00306F4D">
              <w:rPr>
                <w:rFonts w:ascii="Arial" w:hAnsi="Arial" w:cs="Arial"/>
                <w:sz w:val="19"/>
                <w:szCs w:val="19"/>
              </w:rPr>
              <w:t xml:space="preserve">be before the beginning of their actual use/operation approved (and where needed certified) by either competent authorities or independent professionals not involved in their design and construction. </w:t>
            </w:r>
          </w:p>
          <w:p w14:paraId="113D3C9E" w14:textId="77777777" w:rsidR="00F97CC9" w:rsidRPr="00306F4D" w:rsidRDefault="00F97CC9" w:rsidP="00F97CC9">
            <w:pPr>
              <w:pStyle w:val="ListParagraph"/>
              <w:ind w:left="360"/>
              <w:rPr>
                <w:rFonts w:ascii="Arial" w:hAnsi="Arial" w:cs="Arial"/>
                <w:sz w:val="19"/>
                <w:szCs w:val="19"/>
              </w:rPr>
            </w:pPr>
          </w:p>
          <w:p w14:paraId="754B24B4" w14:textId="77777777" w:rsidR="00F97CC9" w:rsidRPr="00306F4D" w:rsidRDefault="00F97CC9" w:rsidP="00F97CC9">
            <w:pPr>
              <w:widowControl w:val="0"/>
              <w:rPr>
                <w:rFonts w:ascii="Arial" w:hAnsi="Arial" w:cs="Arial"/>
                <w:sz w:val="19"/>
                <w:szCs w:val="19"/>
              </w:rPr>
            </w:pPr>
            <w:r w:rsidRPr="00306F4D">
              <w:rPr>
                <w:rFonts w:ascii="Arial" w:hAnsi="Arial" w:cs="Arial"/>
                <w:sz w:val="19"/>
                <w:szCs w:val="19"/>
              </w:rPr>
              <w:t xml:space="preserve">Where potential impacts on public health arise, the supported actions shall be required to: </w:t>
            </w:r>
          </w:p>
          <w:p w14:paraId="5ECC0D24" w14:textId="77777777" w:rsidR="00F97CC9" w:rsidRPr="00306F4D" w:rsidRDefault="00F97CC9" w:rsidP="00F97CC9">
            <w:pPr>
              <w:pStyle w:val="ListParagraph"/>
              <w:numPr>
                <w:ilvl w:val="0"/>
                <w:numId w:val="109"/>
              </w:numPr>
              <w:rPr>
                <w:rFonts w:ascii="Arial" w:hAnsi="Arial" w:cs="Arial"/>
                <w:sz w:val="19"/>
                <w:szCs w:val="19"/>
              </w:rPr>
            </w:pPr>
            <w:r w:rsidRPr="00306F4D">
              <w:rPr>
                <w:rFonts w:ascii="Arial" w:hAnsi="Arial" w:cs="Arial"/>
                <w:sz w:val="19"/>
                <w:szCs w:val="19"/>
              </w:rPr>
              <w:t>use qualified health and safety experts to assess the risks to, and potential impacts on, the safety of affected communities during the project design, construction, operation, and decommissioning,</w:t>
            </w:r>
          </w:p>
          <w:p w14:paraId="552112BE" w14:textId="77777777" w:rsidR="00F97CC9" w:rsidRPr="00306F4D" w:rsidRDefault="00F97CC9" w:rsidP="00F97CC9">
            <w:pPr>
              <w:pStyle w:val="ListParagraph"/>
              <w:numPr>
                <w:ilvl w:val="0"/>
                <w:numId w:val="109"/>
              </w:numPr>
              <w:rPr>
                <w:rFonts w:ascii="Arial" w:hAnsi="Arial" w:cs="Arial"/>
                <w:sz w:val="19"/>
                <w:szCs w:val="19"/>
              </w:rPr>
            </w:pPr>
            <w:r w:rsidRPr="00306F4D">
              <w:rPr>
                <w:rFonts w:ascii="Arial" w:hAnsi="Arial" w:cs="Arial"/>
                <w:sz w:val="19"/>
                <w:szCs w:val="19"/>
              </w:rPr>
              <w:t>adopt preventive measures and plans to address any identified risks in a manner commensurate with their potential impacts based on good practices and standards used by the international organizations working in the region,</w:t>
            </w:r>
          </w:p>
          <w:p w14:paraId="70D8D5BE" w14:textId="77777777" w:rsidR="00F97CC9" w:rsidRPr="00306F4D" w:rsidRDefault="00F97CC9" w:rsidP="00F97CC9">
            <w:pPr>
              <w:pStyle w:val="ListParagraph"/>
              <w:numPr>
                <w:ilvl w:val="0"/>
                <w:numId w:val="109"/>
              </w:numPr>
              <w:rPr>
                <w:rFonts w:ascii="Arial" w:hAnsi="Arial" w:cs="Arial"/>
                <w:sz w:val="19"/>
                <w:szCs w:val="19"/>
              </w:rPr>
            </w:pPr>
            <w:r w:rsidRPr="00306F4D">
              <w:rPr>
                <w:rFonts w:ascii="Arial" w:hAnsi="Arial" w:cs="Arial"/>
                <w:sz w:val="19"/>
                <w:szCs w:val="19"/>
              </w:rPr>
              <w:t>prepare, implement, and monitor emergency preparedness plans in collaboration with stakeholders and relevant authorities, where relevant, and</w:t>
            </w:r>
          </w:p>
          <w:p w14:paraId="498CC83E" w14:textId="77777777" w:rsidR="00F97CC9" w:rsidRPr="00306F4D" w:rsidRDefault="00F97CC9" w:rsidP="00F97CC9">
            <w:pPr>
              <w:pStyle w:val="ListParagraph"/>
              <w:numPr>
                <w:ilvl w:val="0"/>
                <w:numId w:val="109"/>
              </w:numPr>
              <w:rPr>
                <w:rFonts w:ascii="Arial" w:hAnsi="Arial" w:cs="Arial"/>
                <w:sz w:val="19"/>
                <w:szCs w:val="19"/>
              </w:rPr>
            </w:pPr>
            <w:r w:rsidRPr="00306F4D">
              <w:rPr>
                <w:rFonts w:ascii="Arial" w:hAnsi="Arial" w:cs="Arial"/>
                <w:sz w:val="19"/>
                <w:szCs w:val="19"/>
              </w:rPr>
              <w:lastRenderedPageBreak/>
              <w:t xml:space="preserve">require periodic safety inspections and monitoring, and report to UNDP should any issue be found. </w:t>
            </w:r>
          </w:p>
          <w:p w14:paraId="38EAD3DB" w14:textId="77777777" w:rsidR="00F97CC9" w:rsidRPr="00306F4D" w:rsidRDefault="00F97CC9" w:rsidP="00F97CC9">
            <w:pPr>
              <w:pStyle w:val="ListParagraph"/>
              <w:ind w:left="360"/>
              <w:rPr>
                <w:rFonts w:ascii="Arial" w:hAnsi="Arial" w:cs="Arial"/>
                <w:sz w:val="19"/>
                <w:szCs w:val="19"/>
              </w:rPr>
            </w:pPr>
          </w:p>
        </w:tc>
      </w:tr>
      <w:tr w:rsidR="00F97CC9" w:rsidRPr="00306F4D" w14:paraId="6EA17737" w14:textId="77777777" w:rsidTr="00F97CC9">
        <w:trPr>
          <w:trHeight w:val="300"/>
        </w:trPr>
        <w:tc>
          <w:tcPr>
            <w:tcW w:w="1980" w:type="dxa"/>
          </w:tcPr>
          <w:p w14:paraId="3CF407F6" w14:textId="77777777" w:rsidR="00F97CC9" w:rsidRPr="00306F4D" w:rsidRDefault="00F97CC9" w:rsidP="00F97CC9">
            <w:pPr>
              <w:rPr>
                <w:rFonts w:ascii="Arial" w:hAnsi="Arial" w:cs="Arial"/>
                <w:sz w:val="19"/>
                <w:szCs w:val="19"/>
              </w:rPr>
            </w:pPr>
            <w:r w:rsidRPr="00306F4D">
              <w:rPr>
                <w:rFonts w:ascii="Arial" w:hAnsi="Arial" w:cs="Arial"/>
                <w:b/>
                <w:sz w:val="19"/>
                <w:szCs w:val="19"/>
              </w:rPr>
              <w:lastRenderedPageBreak/>
              <w:t>Physical and Cultural Heritage:</w:t>
            </w:r>
            <w:r w:rsidRPr="00306F4D">
              <w:rPr>
                <w:rFonts w:ascii="Arial" w:hAnsi="Arial" w:cs="Arial"/>
                <w:sz w:val="19"/>
                <w:szCs w:val="19"/>
              </w:rPr>
              <w:t xml:space="preserve"> </w:t>
            </w:r>
          </w:p>
          <w:p w14:paraId="78E235B1" w14:textId="77777777" w:rsidR="00F97CC9" w:rsidRPr="00306F4D" w:rsidRDefault="00F97CC9" w:rsidP="00F97CC9">
            <w:pPr>
              <w:rPr>
                <w:rFonts w:ascii="Arial" w:hAnsi="Arial" w:cs="Arial"/>
                <w:sz w:val="19"/>
                <w:szCs w:val="19"/>
              </w:rPr>
            </w:pPr>
          </w:p>
        </w:tc>
        <w:tc>
          <w:tcPr>
            <w:tcW w:w="1417" w:type="dxa"/>
          </w:tcPr>
          <w:p w14:paraId="1932B287" w14:textId="77777777" w:rsidR="00F97CC9" w:rsidRPr="00306F4D" w:rsidRDefault="00F97CC9" w:rsidP="00F97CC9">
            <w:pPr>
              <w:rPr>
                <w:rFonts w:ascii="Arial" w:hAnsi="Arial" w:cs="Arial"/>
                <w:sz w:val="19"/>
                <w:szCs w:val="19"/>
              </w:rPr>
            </w:pPr>
          </w:p>
        </w:tc>
        <w:tc>
          <w:tcPr>
            <w:tcW w:w="6663" w:type="dxa"/>
          </w:tcPr>
          <w:p w14:paraId="6C8B3E3C" w14:textId="77777777" w:rsidR="0071525D" w:rsidRPr="00306F4D" w:rsidRDefault="0071525D" w:rsidP="0071525D">
            <w:pPr>
              <w:rPr>
                <w:rFonts w:ascii="Arial" w:hAnsi="Arial" w:cs="Arial"/>
                <w:b/>
                <w:sz w:val="19"/>
                <w:szCs w:val="19"/>
              </w:rPr>
            </w:pPr>
            <w:r w:rsidRPr="00306F4D">
              <w:rPr>
                <w:rFonts w:ascii="Arial" w:hAnsi="Arial" w:cs="Arial"/>
                <w:b/>
                <w:sz w:val="19"/>
                <w:szCs w:val="19"/>
              </w:rPr>
              <w:t>Moderate risks</w:t>
            </w:r>
          </w:p>
          <w:p w14:paraId="5D3B7CA4" w14:textId="77777777" w:rsidR="00F97CC9" w:rsidRPr="00306F4D" w:rsidRDefault="00F97CC9" w:rsidP="00F97CC9">
            <w:pPr>
              <w:pStyle w:val="ListParagraph"/>
              <w:ind w:left="0"/>
              <w:rPr>
                <w:rFonts w:ascii="Arial" w:hAnsi="Arial" w:cs="Arial"/>
                <w:sz w:val="19"/>
                <w:szCs w:val="19"/>
              </w:rPr>
            </w:pPr>
            <w:r w:rsidRPr="00306F4D">
              <w:rPr>
                <w:rFonts w:ascii="Arial" w:hAnsi="Arial" w:cs="Arial"/>
                <w:sz w:val="19"/>
                <w:szCs w:val="19"/>
              </w:rPr>
              <w:t xml:space="preserve">Grant-supported activities may damage sites, structures, or objects with historical, cultural, or religious values; or adverse impacts on intangible cultural heritage (e.g. changes in landscapes with cultural significance). </w:t>
            </w:r>
          </w:p>
          <w:p w14:paraId="4E299A3C" w14:textId="77777777" w:rsidR="00F97CC9" w:rsidRPr="00306F4D" w:rsidRDefault="00F97CC9" w:rsidP="00F97CC9">
            <w:pPr>
              <w:pStyle w:val="ListParagraph"/>
              <w:ind w:left="0"/>
              <w:rPr>
                <w:rFonts w:ascii="Arial" w:hAnsi="Arial" w:cs="Arial"/>
                <w:sz w:val="19"/>
                <w:szCs w:val="19"/>
              </w:rPr>
            </w:pPr>
          </w:p>
          <w:p w14:paraId="2D0ED6E6" w14:textId="77777777" w:rsidR="00F97CC9" w:rsidRPr="00306F4D" w:rsidRDefault="00F97CC9" w:rsidP="00F97CC9">
            <w:pPr>
              <w:pStyle w:val="ListParagraph"/>
              <w:ind w:left="0"/>
              <w:rPr>
                <w:rFonts w:ascii="Arial" w:hAnsi="Arial" w:cs="Arial"/>
                <w:sz w:val="19"/>
                <w:szCs w:val="19"/>
              </w:rPr>
            </w:pPr>
            <w:r w:rsidRPr="00306F4D">
              <w:rPr>
                <w:rFonts w:ascii="Arial" w:hAnsi="Arial" w:cs="Arial"/>
                <w:sz w:val="19"/>
                <w:szCs w:val="19"/>
              </w:rPr>
              <w:t xml:space="preserve">The supported actions shall be screened for risks related to cultural heritage. They will be required to: </w:t>
            </w:r>
          </w:p>
          <w:p w14:paraId="2D570CFF" w14:textId="77777777" w:rsidR="00F97CC9" w:rsidRPr="00306F4D" w:rsidRDefault="00F97CC9" w:rsidP="00F97CC9">
            <w:pPr>
              <w:pStyle w:val="ListParagraph"/>
              <w:numPr>
                <w:ilvl w:val="0"/>
                <w:numId w:val="109"/>
              </w:numPr>
              <w:rPr>
                <w:rFonts w:ascii="Arial" w:hAnsi="Arial" w:cs="Arial"/>
                <w:sz w:val="19"/>
                <w:szCs w:val="19"/>
              </w:rPr>
            </w:pPr>
            <w:r w:rsidRPr="00306F4D">
              <w:rPr>
                <w:rFonts w:ascii="Arial" w:hAnsi="Arial" w:cs="Arial"/>
                <w:sz w:val="19"/>
                <w:szCs w:val="19"/>
              </w:rPr>
              <w:t>comply with the local requirements for their protection and preservation and fully respect the requirements of the World Heritage Convention (if they might affect the World Heritage sites).</w:t>
            </w:r>
          </w:p>
          <w:p w14:paraId="7F9A6B80" w14:textId="77777777" w:rsidR="00F97CC9" w:rsidRPr="00306F4D" w:rsidRDefault="00F97CC9" w:rsidP="00F97CC9">
            <w:pPr>
              <w:pStyle w:val="ListParagraph"/>
              <w:numPr>
                <w:ilvl w:val="0"/>
                <w:numId w:val="109"/>
              </w:numPr>
              <w:rPr>
                <w:rFonts w:ascii="Arial" w:hAnsi="Arial" w:cs="Arial"/>
                <w:sz w:val="19"/>
                <w:szCs w:val="19"/>
              </w:rPr>
            </w:pPr>
            <w:r w:rsidRPr="00306F4D">
              <w:rPr>
                <w:rFonts w:ascii="Arial" w:hAnsi="Arial" w:cs="Arial"/>
                <w:sz w:val="19"/>
                <w:szCs w:val="19"/>
              </w:rPr>
              <w:t>Where moderate risks arise, consult the relevant authorities and explore all viable and feasible alternatives for the reduction of these risks (including changes in the planned activities, in situ conservation and rehabilitation, etc.) to avoid, minimize, or offset such risks.</w:t>
            </w:r>
          </w:p>
          <w:p w14:paraId="621AF7AC" w14:textId="77777777" w:rsidR="00F97CC9" w:rsidRPr="00306F4D" w:rsidRDefault="00F97CC9" w:rsidP="00F97CC9">
            <w:pPr>
              <w:pStyle w:val="ListParagraph"/>
              <w:numPr>
                <w:ilvl w:val="0"/>
                <w:numId w:val="109"/>
              </w:numPr>
              <w:rPr>
                <w:rFonts w:ascii="Arial" w:hAnsi="Arial" w:cs="Arial"/>
                <w:sz w:val="19"/>
                <w:szCs w:val="19"/>
              </w:rPr>
            </w:pPr>
            <w:r w:rsidRPr="00306F4D">
              <w:rPr>
                <w:rFonts w:ascii="Arial" w:hAnsi="Arial" w:cs="Arial"/>
                <w:sz w:val="19"/>
                <w:szCs w:val="19"/>
              </w:rPr>
              <w:t xml:space="preserve">ensure that it does not lead to the destruction of unknown cultural heritage and follow national requirements and/or globally recognized good practices for field study, inventorying, and documentation of archaeological heritage. </w:t>
            </w:r>
          </w:p>
          <w:p w14:paraId="3F9C6A29" w14:textId="77777777" w:rsidR="00F97CC9" w:rsidRPr="00306F4D" w:rsidRDefault="00F97CC9" w:rsidP="00F97CC9">
            <w:pPr>
              <w:pStyle w:val="ListParagraph"/>
              <w:ind w:left="360"/>
              <w:rPr>
                <w:rFonts w:ascii="Arial" w:hAnsi="Arial" w:cs="Arial"/>
                <w:sz w:val="19"/>
                <w:szCs w:val="19"/>
              </w:rPr>
            </w:pPr>
          </w:p>
        </w:tc>
      </w:tr>
      <w:tr w:rsidR="00F97CC9" w:rsidRPr="00306F4D" w14:paraId="3AF5A729" w14:textId="77777777" w:rsidTr="00F97CC9">
        <w:trPr>
          <w:trHeight w:val="300"/>
        </w:trPr>
        <w:tc>
          <w:tcPr>
            <w:tcW w:w="1980" w:type="dxa"/>
          </w:tcPr>
          <w:p w14:paraId="43676E65" w14:textId="77777777" w:rsidR="00F97CC9" w:rsidRPr="00306F4D" w:rsidRDefault="00F97CC9" w:rsidP="00F97CC9">
            <w:pPr>
              <w:rPr>
                <w:rFonts w:ascii="Arial" w:hAnsi="Arial" w:cs="Arial"/>
                <w:sz w:val="19"/>
                <w:szCs w:val="19"/>
              </w:rPr>
            </w:pPr>
            <w:r w:rsidRPr="00306F4D">
              <w:rPr>
                <w:rFonts w:ascii="Arial" w:hAnsi="Arial" w:cs="Arial"/>
                <w:b/>
                <w:sz w:val="19"/>
                <w:szCs w:val="19"/>
              </w:rPr>
              <w:t>Lands and Soil Conservation:</w:t>
            </w:r>
            <w:r w:rsidRPr="00306F4D">
              <w:rPr>
                <w:rFonts w:ascii="Arial" w:hAnsi="Arial" w:cs="Arial"/>
                <w:sz w:val="19"/>
                <w:szCs w:val="19"/>
              </w:rPr>
              <w:t xml:space="preserve"> </w:t>
            </w:r>
          </w:p>
        </w:tc>
        <w:tc>
          <w:tcPr>
            <w:tcW w:w="1417" w:type="dxa"/>
          </w:tcPr>
          <w:p w14:paraId="7202E471" w14:textId="77777777" w:rsidR="00F97CC9" w:rsidRPr="00306F4D" w:rsidRDefault="00F97CC9" w:rsidP="00F97CC9">
            <w:pPr>
              <w:widowControl w:val="0"/>
              <w:rPr>
                <w:rFonts w:ascii="Arial" w:hAnsi="Arial" w:cs="Arial"/>
                <w:sz w:val="19"/>
                <w:szCs w:val="19"/>
              </w:rPr>
            </w:pPr>
          </w:p>
        </w:tc>
        <w:tc>
          <w:tcPr>
            <w:tcW w:w="6663" w:type="dxa"/>
          </w:tcPr>
          <w:p w14:paraId="3D6909A9" w14:textId="77777777" w:rsidR="0071525D" w:rsidRPr="00306F4D" w:rsidRDefault="0071525D" w:rsidP="0071525D">
            <w:pPr>
              <w:rPr>
                <w:rFonts w:ascii="Arial" w:hAnsi="Arial" w:cs="Arial"/>
                <w:b/>
                <w:sz w:val="19"/>
                <w:szCs w:val="19"/>
              </w:rPr>
            </w:pPr>
            <w:r w:rsidRPr="00306F4D">
              <w:rPr>
                <w:rFonts w:ascii="Arial" w:hAnsi="Arial" w:cs="Arial"/>
                <w:b/>
                <w:sz w:val="19"/>
                <w:szCs w:val="19"/>
              </w:rPr>
              <w:t>Moderate risks</w:t>
            </w:r>
          </w:p>
          <w:p w14:paraId="26F59E36" w14:textId="77777777" w:rsidR="00F97CC9" w:rsidRPr="00306F4D" w:rsidRDefault="00F97CC9" w:rsidP="00E306C7">
            <w:pPr>
              <w:rPr>
                <w:rFonts w:ascii="Arial" w:hAnsi="Arial" w:cs="Arial"/>
                <w:sz w:val="19"/>
                <w:szCs w:val="19"/>
              </w:rPr>
            </w:pPr>
            <w:r w:rsidRPr="00306F4D">
              <w:rPr>
                <w:rFonts w:ascii="Arial" w:hAnsi="Arial" w:cs="Arial"/>
                <w:sz w:val="19"/>
                <w:szCs w:val="19"/>
              </w:rPr>
              <w:t>The supported activities might cause adverse impacts on productivity, organic content, structure, and water-retention capacity of soils.</w:t>
            </w:r>
          </w:p>
          <w:p w14:paraId="37C35236" w14:textId="77777777" w:rsidR="00F97CC9" w:rsidRPr="00306F4D" w:rsidRDefault="00F97CC9" w:rsidP="00F97CC9">
            <w:pPr>
              <w:rPr>
                <w:rFonts w:ascii="Arial" w:hAnsi="Arial" w:cs="Arial"/>
                <w:sz w:val="19"/>
                <w:szCs w:val="19"/>
              </w:rPr>
            </w:pPr>
          </w:p>
          <w:p w14:paraId="5B35BE3A" w14:textId="77777777" w:rsidR="00F97CC9" w:rsidRPr="00306F4D" w:rsidRDefault="00F97CC9" w:rsidP="00F97CC9">
            <w:pPr>
              <w:rPr>
                <w:rFonts w:ascii="Arial" w:hAnsi="Arial" w:cs="Arial"/>
                <w:b/>
                <w:sz w:val="19"/>
                <w:szCs w:val="19"/>
              </w:rPr>
            </w:pPr>
            <w:r w:rsidRPr="00306F4D">
              <w:rPr>
                <w:rFonts w:ascii="Arial" w:hAnsi="Arial" w:cs="Arial"/>
                <w:b/>
                <w:sz w:val="19"/>
                <w:szCs w:val="19"/>
              </w:rPr>
              <w:t>Further assessment and management required for compliance</w:t>
            </w:r>
          </w:p>
          <w:p w14:paraId="37CFA464" w14:textId="5DE22148" w:rsidR="00F97CC9" w:rsidRPr="00306F4D" w:rsidRDefault="00F97CC9" w:rsidP="00E306C7">
            <w:pPr>
              <w:rPr>
                <w:rFonts w:ascii="Arial" w:eastAsiaTheme="minorEastAsia" w:hAnsi="Arial" w:cs="Arial"/>
                <w:sz w:val="19"/>
                <w:szCs w:val="19"/>
              </w:rPr>
            </w:pPr>
            <w:r w:rsidRPr="00306F4D">
              <w:rPr>
                <w:rFonts w:ascii="Arial" w:eastAsiaTheme="minorEastAsia" w:hAnsi="Arial" w:cs="Arial"/>
                <w:sz w:val="19"/>
                <w:szCs w:val="19"/>
              </w:rPr>
              <w:t xml:space="preserve">The </w:t>
            </w:r>
            <w:r w:rsidRPr="00306F4D">
              <w:rPr>
                <w:rFonts w:ascii="Arial" w:hAnsi="Arial" w:cs="Arial"/>
                <w:sz w:val="19"/>
                <w:szCs w:val="19"/>
              </w:rPr>
              <w:t xml:space="preserve">supported actions shall be </w:t>
            </w:r>
            <w:r w:rsidR="00414845" w:rsidRPr="00306F4D">
              <w:rPr>
                <w:rFonts w:ascii="Arial" w:hAnsi="Arial" w:cs="Arial"/>
                <w:sz w:val="19"/>
                <w:szCs w:val="19"/>
              </w:rPr>
              <w:t xml:space="preserve">screened for the potential impacts on soil and </w:t>
            </w:r>
            <w:r w:rsidRPr="00306F4D">
              <w:rPr>
                <w:rFonts w:ascii="Arial" w:hAnsi="Arial" w:cs="Arial"/>
                <w:sz w:val="19"/>
                <w:szCs w:val="19"/>
              </w:rPr>
              <w:t>required to:</w:t>
            </w:r>
            <w:r w:rsidRPr="00306F4D">
              <w:rPr>
                <w:rFonts w:ascii="Arial" w:eastAsiaTheme="minorEastAsia" w:hAnsi="Arial" w:cs="Arial"/>
                <w:sz w:val="19"/>
                <w:szCs w:val="19"/>
              </w:rPr>
              <w:t xml:space="preserve"> </w:t>
            </w:r>
          </w:p>
          <w:p w14:paraId="33E26AB1" w14:textId="77777777" w:rsidR="00F97CC9" w:rsidRPr="00306F4D" w:rsidRDefault="00F97CC9" w:rsidP="00F97CC9">
            <w:pPr>
              <w:pStyle w:val="ListParagraph"/>
              <w:numPr>
                <w:ilvl w:val="0"/>
                <w:numId w:val="109"/>
              </w:numPr>
              <w:rPr>
                <w:rFonts w:ascii="Arial" w:hAnsi="Arial" w:cs="Arial"/>
                <w:sz w:val="19"/>
                <w:szCs w:val="19"/>
              </w:rPr>
            </w:pPr>
            <w:r w:rsidRPr="00306F4D">
              <w:rPr>
                <w:rFonts w:ascii="Arial" w:hAnsi="Arial" w:cs="Arial"/>
                <w:sz w:val="19"/>
                <w:szCs w:val="19"/>
              </w:rPr>
              <w:t xml:space="preserve">avoid conversion of productive lands or lands that provide valuable ecosystem services </w:t>
            </w:r>
          </w:p>
          <w:p w14:paraId="1023E464" w14:textId="77777777" w:rsidR="00F97CC9" w:rsidRPr="00306F4D" w:rsidRDefault="00F97CC9" w:rsidP="00F97CC9">
            <w:pPr>
              <w:pStyle w:val="ListParagraph"/>
              <w:numPr>
                <w:ilvl w:val="0"/>
                <w:numId w:val="109"/>
              </w:numPr>
              <w:rPr>
                <w:rFonts w:ascii="Arial" w:hAnsi="Arial" w:cs="Arial"/>
                <w:sz w:val="19"/>
                <w:szCs w:val="19"/>
              </w:rPr>
            </w:pPr>
            <w:r w:rsidRPr="00306F4D">
              <w:rPr>
                <w:rFonts w:ascii="Arial" w:hAnsi="Arial" w:cs="Arial"/>
                <w:sz w:val="19"/>
                <w:szCs w:val="19"/>
              </w:rPr>
              <w:t>avoid, and where avoidance is not possible, minimize adverse impacts on soils, their biodiversity, organic content, productivity, structure, and water-retention capacity</w:t>
            </w:r>
          </w:p>
          <w:p w14:paraId="4BFD8CDF" w14:textId="77777777" w:rsidR="00F97CC9" w:rsidRPr="00306F4D" w:rsidRDefault="00F97CC9" w:rsidP="00F97CC9">
            <w:pPr>
              <w:pStyle w:val="ListParagraph"/>
              <w:numPr>
                <w:ilvl w:val="0"/>
                <w:numId w:val="109"/>
              </w:numPr>
              <w:rPr>
                <w:rFonts w:ascii="Arial" w:hAnsi="Arial" w:cs="Arial"/>
                <w:sz w:val="19"/>
                <w:szCs w:val="19"/>
              </w:rPr>
            </w:pPr>
            <w:r w:rsidRPr="00306F4D">
              <w:rPr>
                <w:rFonts w:ascii="Arial" w:hAnsi="Arial" w:cs="Arial"/>
                <w:sz w:val="19"/>
                <w:szCs w:val="19"/>
              </w:rPr>
              <w:t xml:space="preserve">adopt appropriate measures to ensure that the supported activities promote soil conservation </w:t>
            </w:r>
          </w:p>
          <w:p w14:paraId="591217DC" w14:textId="77777777" w:rsidR="00F97CC9" w:rsidRPr="00306F4D" w:rsidRDefault="00F97CC9" w:rsidP="00F97CC9">
            <w:pPr>
              <w:pStyle w:val="ListParagraph"/>
              <w:numPr>
                <w:ilvl w:val="0"/>
                <w:numId w:val="109"/>
              </w:numPr>
              <w:rPr>
                <w:rFonts w:ascii="Arial" w:hAnsi="Arial" w:cs="Arial"/>
                <w:sz w:val="19"/>
                <w:szCs w:val="19"/>
              </w:rPr>
            </w:pPr>
            <w:r w:rsidRPr="00306F4D">
              <w:rPr>
                <w:rFonts w:ascii="Arial" w:hAnsi="Arial" w:cs="Arial"/>
                <w:sz w:val="19"/>
                <w:szCs w:val="19"/>
              </w:rPr>
              <w:t xml:space="preserve">support. They will also be used as a reference during the review process of the project application. </w:t>
            </w:r>
          </w:p>
          <w:p w14:paraId="262A2C63" w14:textId="77777777" w:rsidR="00F97CC9" w:rsidRPr="00306F4D" w:rsidRDefault="00F97CC9" w:rsidP="00F97CC9">
            <w:pPr>
              <w:pStyle w:val="ListParagraph"/>
              <w:ind w:left="360"/>
              <w:rPr>
                <w:rFonts w:ascii="Arial" w:hAnsi="Arial" w:cs="Arial"/>
                <w:sz w:val="19"/>
                <w:szCs w:val="19"/>
              </w:rPr>
            </w:pPr>
          </w:p>
        </w:tc>
      </w:tr>
    </w:tbl>
    <w:p w14:paraId="3E18A621" w14:textId="79355129" w:rsidR="00D31F8A" w:rsidRPr="00306F4D" w:rsidRDefault="00F97CC9" w:rsidP="002755F0">
      <w:pPr>
        <w:spacing w:before="240" w:after="240" w:line="276" w:lineRule="auto"/>
        <w:jc w:val="both"/>
      </w:pPr>
      <w:r w:rsidRPr="00306F4D">
        <w:rPr>
          <w:rFonts w:ascii="Arial" w:eastAsia="Arial" w:hAnsi="Arial" w:cs="Arial"/>
          <w:sz w:val="20"/>
          <w:szCs w:val="20"/>
          <w:lang w:val="en-GB"/>
        </w:rPr>
        <w:t xml:space="preserve">A detailed Social and Environmental Screening Procedure (SESP) and Environmental and Social Management Framework (ESFM) that complies with the Adaptation Fund´s Safeguards Policy and UNDP´s Social and Environmental Standards are presented in Annex 4 and 5 respectively. </w:t>
      </w:r>
      <w:r w:rsidR="00F24284" w:rsidRPr="00306F4D">
        <w:rPr>
          <w:rFonts w:ascii="Arial" w:eastAsia="Arial" w:hAnsi="Arial" w:cs="Arial"/>
          <w:sz w:val="20"/>
          <w:szCs w:val="20"/>
          <w:lang w:val="en-GB"/>
        </w:rPr>
        <w:t xml:space="preserve">The </w:t>
      </w:r>
      <w:r w:rsidRPr="00306F4D">
        <w:rPr>
          <w:rFonts w:ascii="Arial" w:eastAsia="Arial" w:hAnsi="Arial" w:cs="Arial"/>
          <w:sz w:val="20"/>
          <w:szCs w:val="20"/>
          <w:lang w:val="en-GB"/>
        </w:rPr>
        <w:t>ESMF</w:t>
      </w:r>
      <w:r w:rsidR="0048780E" w:rsidRPr="00306F4D">
        <w:rPr>
          <w:rFonts w:ascii="Arial" w:eastAsia="Arial" w:hAnsi="Arial" w:cs="Arial"/>
          <w:sz w:val="20"/>
          <w:szCs w:val="20"/>
          <w:lang w:val="en-GB"/>
        </w:rPr>
        <w:t xml:space="preserve"> </w:t>
      </w:r>
      <w:r w:rsidR="00F24284" w:rsidRPr="00306F4D">
        <w:rPr>
          <w:rFonts w:ascii="Arial" w:eastAsia="Arial" w:hAnsi="Arial" w:cs="Arial"/>
          <w:sz w:val="20"/>
          <w:szCs w:val="20"/>
          <w:lang w:val="en-GB"/>
        </w:rPr>
        <w:t xml:space="preserve">chapter 5 </w:t>
      </w:r>
      <w:r w:rsidR="00694B00" w:rsidRPr="00306F4D">
        <w:rPr>
          <w:rFonts w:ascii="Arial" w:eastAsia="Arial" w:hAnsi="Arial" w:cs="Arial"/>
          <w:sz w:val="20"/>
          <w:szCs w:val="20"/>
          <w:lang w:val="en-GB"/>
        </w:rPr>
        <w:t xml:space="preserve">outlines </w:t>
      </w:r>
      <w:r w:rsidR="00CA1F1C" w:rsidRPr="00306F4D">
        <w:rPr>
          <w:rFonts w:ascii="Arial" w:eastAsia="Arial" w:hAnsi="Arial" w:cs="Arial"/>
          <w:sz w:val="20"/>
          <w:szCs w:val="20"/>
          <w:lang w:val="en-GB"/>
        </w:rPr>
        <w:t xml:space="preserve">the screening </w:t>
      </w:r>
      <w:r w:rsidR="00792305" w:rsidRPr="00306F4D">
        <w:rPr>
          <w:rFonts w:ascii="Arial" w:eastAsia="Arial" w:hAnsi="Arial" w:cs="Arial"/>
          <w:sz w:val="20"/>
          <w:szCs w:val="20"/>
          <w:lang w:val="en-GB"/>
        </w:rPr>
        <w:t xml:space="preserve">of unspecified sub-projects </w:t>
      </w:r>
      <w:r w:rsidR="00386555" w:rsidRPr="00306F4D">
        <w:rPr>
          <w:rFonts w:ascii="Arial" w:eastAsia="Arial" w:hAnsi="Arial" w:cs="Arial"/>
          <w:sz w:val="20"/>
          <w:szCs w:val="20"/>
          <w:lang w:val="en-GB"/>
        </w:rPr>
        <w:t>an</w:t>
      </w:r>
      <w:r w:rsidR="00755761" w:rsidRPr="00306F4D">
        <w:rPr>
          <w:rFonts w:ascii="Arial" w:eastAsia="Arial" w:hAnsi="Arial" w:cs="Arial"/>
          <w:sz w:val="20"/>
          <w:szCs w:val="20"/>
          <w:lang w:val="en-GB"/>
        </w:rPr>
        <w:t xml:space="preserve">d </w:t>
      </w:r>
      <w:r w:rsidR="00807F77" w:rsidRPr="00306F4D">
        <w:rPr>
          <w:rFonts w:ascii="Arial" w:eastAsia="Arial" w:hAnsi="Arial" w:cs="Arial"/>
          <w:sz w:val="20"/>
          <w:szCs w:val="20"/>
          <w:lang w:val="en-GB"/>
        </w:rPr>
        <w:t xml:space="preserve">presents </w:t>
      </w:r>
      <w:r w:rsidR="0048780E" w:rsidRPr="00306F4D">
        <w:rPr>
          <w:rFonts w:ascii="Arial" w:eastAsia="Arial" w:hAnsi="Arial" w:cs="Arial"/>
          <w:sz w:val="20"/>
          <w:szCs w:val="20"/>
          <w:lang w:val="en-GB"/>
        </w:rPr>
        <w:t xml:space="preserve">Environmental and Social Management Guidelines </w:t>
      </w:r>
      <w:r w:rsidR="00792305" w:rsidRPr="00306F4D">
        <w:rPr>
          <w:rFonts w:ascii="Arial" w:eastAsia="Arial" w:hAnsi="Arial" w:cs="Arial"/>
          <w:sz w:val="20"/>
          <w:szCs w:val="20"/>
          <w:lang w:val="en-GB"/>
        </w:rPr>
        <w:t xml:space="preserve">that will be provided to the </w:t>
      </w:r>
      <w:r w:rsidR="00F70384" w:rsidRPr="00306F4D">
        <w:rPr>
          <w:rFonts w:ascii="Arial" w:eastAsia="Arial" w:hAnsi="Arial" w:cs="Arial"/>
          <w:sz w:val="20"/>
          <w:szCs w:val="20"/>
          <w:lang w:val="en-GB"/>
        </w:rPr>
        <w:t>USP</w:t>
      </w:r>
      <w:r w:rsidR="006F4A2A" w:rsidRPr="00306F4D">
        <w:rPr>
          <w:rFonts w:ascii="Arial" w:eastAsia="Arial" w:hAnsi="Arial" w:cs="Arial"/>
          <w:sz w:val="20"/>
          <w:szCs w:val="20"/>
          <w:lang w:val="en-GB"/>
        </w:rPr>
        <w:t>s</w:t>
      </w:r>
      <w:r w:rsidR="00792305" w:rsidRPr="00306F4D">
        <w:rPr>
          <w:rFonts w:ascii="Arial" w:eastAsia="Arial" w:hAnsi="Arial" w:cs="Arial"/>
          <w:sz w:val="20"/>
          <w:szCs w:val="20"/>
          <w:lang w:val="en-GB"/>
        </w:rPr>
        <w:t>. These guidelines</w:t>
      </w:r>
      <w:r w:rsidR="0048780E" w:rsidRPr="00306F4D">
        <w:rPr>
          <w:rFonts w:ascii="Arial" w:eastAsia="Arial" w:hAnsi="Arial" w:cs="Arial"/>
          <w:sz w:val="20"/>
          <w:szCs w:val="20"/>
          <w:lang w:val="en-GB"/>
        </w:rPr>
        <w:t xml:space="preserve"> </w:t>
      </w:r>
      <w:r w:rsidR="00755761" w:rsidRPr="00306F4D">
        <w:rPr>
          <w:rFonts w:ascii="Arial" w:eastAsia="Arial" w:hAnsi="Arial" w:cs="Arial"/>
          <w:sz w:val="20"/>
          <w:szCs w:val="20"/>
          <w:lang w:val="en-GB"/>
        </w:rPr>
        <w:t>directly integrate</w:t>
      </w:r>
      <w:r w:rsidR="00565642" w:rsidRPr="00306F4D">
        <w:rPr>
          <w:rFonts w:ascii="Arial" w:eastAsia="Arial" w:hAnsi="Arial" w:cs="Arial"/>
          <w:sz w:val="20"/>
          <w:szCs w:val="20"/>
          <w:lang w:val="en-GB"/>
        </w:rPr>
        <w:t xml:space="preserve"> the mitigation measures </w:t>
      </w:r>
      <w:r w:rsidR="00807F77" w:rsidRPr="00306F4D">
        <w:rPr>
          <w:rFonts w:ascii="Arial" w:eastAsia="Arial" w:hAnsi="Arial" w:cs="Arial"/>
          <w:sz w:val="20"/>
          <w:szCs w:val="20"/>
          <w:lang w:val="en-GB"/>
        </w:rPr>
        <w:t xml:space="preserve">presented in the above screening. </w:t>
      </w:r>
      <w:r w:rsidR="00755761" w:rsidRPr="00306F4D">
        <w:rPr>
          <w:rFonts w:ascii="Arial" w:eastAsia="Arial" w:hAnsi="Arial" w:cs="Arial"/>
          <w:sz w:val="20"/>
          <w:szCs w:val="20"/>
          <w:lang w:val="en-GB"/>
        </w:rPr>
        <w:t xml:space="preserve"> </w:t>
      </w:r>
    </w:p>
    <w:p w14:paraId="6324EE43" w14:textId="4660BC15" w:rsidR="008A1B5A" w:rsidRPr="00306F4D" w:rsidRDefault="00DB1333" w:rsidP="00B34A0B">
      <w:p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 xml:space="preserve">. </w:t>
      </w:r>
    </w:p>
    <w:p w14:paraId="21FE2B54" w14:textId="1A2DFB95" w:rsidR="338C5E83" w:rsidRPr="00306F4D" w:rsidRDefault="338C5E83" w:rsidP="008A1B5A">
      <w:pPr>
        <w:spacing w:line="276" w:lineRule="auto"/>
        <w:ind w:left="-1134"/>
        <w:jc w:val="both"/>
      </w:pPr>
      <w:r w:rsidRPr="00306F4D">
        <w:rPr>
          <w:noProof/>
        </w:rPr>
        <mc:AlternateContent>
          <mc:Choice Requires="wpg">
            <w:drawing>
              <wp:inline distT="0" distB="0" distL="0" distR="0" wp14:anchorId="63CA88A4" wp14:editId="1E09DC83">
                <wp:extent cx="7818120" cy="506373"/>
                <wp:effectExtent l="0" t="0" r="0" b="8255"/>
                <wp:docPr id="901374958" name="Group 1"/>
                <wp:cNvGraphicFramePr/>
                <a:graphic xmlns:a="http://schemas.openxmlformats.org/drawingml/2006/main">
                  <a:graphicData uri="http://schemas.microsoft.com/office/word/2010/wordprocessingGroup">
                    <wpg:wgp>
                      <wpg:cNvGrpSpPr/>
                      <wpg:grpSpPr>
                        <a:xfrm>
                          <a:off x="0" y="0"/>
                          <a:ext cx="7818120" cy="506373"/>
                          <a:chOff x="0" y="0"/>
                          <a:chExt cx="5943600" cy="506373"/>
                        </a:xfrm>
                      </wpg:grpSpPr>
                      <pic:pic xmlns:pic="http://schemas.openxmlformats.org/drawingml/2006/picture">
                        <pic:nvPicPr>
                          <pic:cNvPr id="322660717" name="Picture 322660717" descr="Rectangle: Rounded Corners 21, Shape"/>
                          <pic:cNvPicPr>
                            <a:picLocks noChangeAspect="1"/>
                          </pic:cNvPicPr>
                        </pic:nvPicPr>
                        <pic:blipFill>
                          <a:blip r:embed="rId62"/>
                          <a:stretch>
                            <a:fillRect/>
                          </a:stretch>
                        </pic:blipFill>
                        <pic:spPr>
                          <a:xfrm>
                            <a:off x="0" y="0"/>
                            <a:ext cx="5943600" cy="506373"/>
                          </a:xfrm>
                          <a:prstGeom prst="rect">
                            <a:avLst/>
                          </a:prstGeom>
                        </pic:spPr>
                      </pic:pic>
                      <wps:wsp>
                        <wps:cNvPr id="1162373904" name="Rectangle 1162373904"/>
                        <wps:cNvSpPr/>
                        <wps:spPr>
                          <a:xfrm>
                            <a:off x="457646" y="141401"/>
                            <a:ext cx="4133791" cy="345490"/>
                          </a:xfrm>
                          <a:prstGeom prst="rect">
                            <a:avLst/>
                          </a:prstGeom>
                          <a:noFill/>
                          <a:ln>
                            <a:noFill/>
                          </a:ln>
                        </wps:spPr>
                        <wps:txbx>
                          <w:txbxContent>
                            <w:p w14:paraId="0E14061D" w14:textId="11AB6C3C" w:rsidR="005B37F5" w:rsidRDefault="005B37F5" w:rsidP="005B37F5">
                              <w:pPr>
                                <w:rPr>
                                  <w:rFonts w:ascii="Arial" w:hAnsi="Arial" w:cs="Arial"/>
                                  <w:b/>
                                  <w:bCs/>
                                </w:rPr>
                              </w:pPr>
                              <w:r>
                                <w:rPr>
                                  <w:rFonts w:ascii="Arial" w:hAnsi="Arial" w:cs="Arial"/>
                                  <w:b/>
                                  <w:bCs/>
                                </w:rPr>
                                <w:t>PART III: IMPLEMENTATION ARRANGEMENT</w:t>
                              </w:r>
                              <w:r w:rsidR="00D50821">
                                <w:rPr>
                                  <w:rFonts w:ascii="Arial" w:hAnsi="Arial" w:cs="Arial"/>
                                  <w:b/>
                                  <w:bCs/>
                                </w:rPr>
                                <w:t>S</w:t>
                              </w:r>
                            </w:p>
                          </w:txbxContent>
                        </wps:txbx>
                        <wps:bodyPr anchor="t"/>
                      </wps:wsp>
                    </wpg:wgp>
                  </a:graphicData>
                </a:graphic>
              </wp:inline>
            </w:drawing>
          </mc:Choice>
          <mc:Fallback>
            <w:pict>
              <v:group w14:anchorId="63CA88A4" id="_x0000_s1031" style="width:615.6pt;height:39.85pt;mso-position-horizontal-relative:char;mso-position-vertical-relative:line" coordsize="59436,50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">
                <v:shape id="Picture 322660717" o:spid="_x0000_s1032" type="#_x0000_t75" alt="Rectangle: Rounded Corners 21, Shape" style="position:absolute;width:59436;height:5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">
                  <v:imagedata r:id="rId63" o:title=" Rounded Corners 21, Shape"/>
                </v:shape>
                <v:rect id="Rectangle 1162373904" o:spid="_x0000_s1033" style="position:absolute;left:4576;top:1414;width:41338;height:3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" filled="f" stroked="f">
                  <v:textbox>
                    <w:txbxContent>
                      <w:p w14:paraId="0E14061D" w14:textId="11AB6C3C" w:rsidR="005B37F5" w:rsidRDefault="005B37F5" w:rsidP="005B37F5">
                        <w:pPr>
                          <w:rPr>
                            <w:rFonts w:ascii="Arial" w:hAnsi="Arial" w:cs="Arial"/>
                            <w:b/>
                            <w:bCs/>
                          </w:rPr>
                        </w:pPr>
                        <w:r>
                          <w:rPr>
                            <w:rFonts w:ascii="Arial" w:hAnsi="Arial" w:cs="Arial"/>
                            <w:b/>
                            <w:bCs/>
                          </w:rPr>
                          <w:t>PART III: IMPLEMENTATION ARRANGEMENT</w:t>
                        </w:r>
                        <w:r w:rsidR="00D50821">
                          <w:rPr>
                            <w:rFonts w:ascii="Arial" w:hAnsi="Arial" w:cs="Arial"/>
                            <w:b/>
                            <w:bCs/>
                          </w:rPr>
                          <w:t>S</w:t>
                        </w:r>
                      </w:p>
                    </w:txbxContent>
                  </v:textbox>
                </v:rect>
                <w10:anchorlock/>
              </v:group>
            </w:pict>
          </mc:Fallback>
        </mc:AlternateContent>
      </w:r>
    </w:p>
    <w:p w14:paraId="160838D4" w14:textId="571860B4" w:rsidR="1C73843E" w:rsidRPr="00306F4D" w:rsidRDefault="24AD6CC1" w:rsidP="338C5E83">
      <w:pPr>
        <w:pStyle w:val="Heading1"/>
        <w:rPr>
          <w:sz w:val="20"/>
          <w:szCs w:val="20"/>
          <w:lang w:val="en-GB"/>
        </w:rPr>
      </w:pPr>
      <w:bookmarkStart w:id="174" w:name="_Toc376680287"/>
      <w:bookmarkStart w:id="175" w:name="_Toc2077700904"/>
      <w:bookmarkStart w:id="176" w:name="_Toc202165721"/>
      <w:bookmarkStart w:id="177" w:name="_Toc202893752"/>
      <w:r w:rsidRPr="00306F4D">
        <w:rPr>
          <w:lang w:val="en-GB"/>
        </w:rPr>
        <w:t>P</w:t>
      </w:r>
      <w:r w:rsidR="71769489" w:rsidRPr="00306F4D">
        <w:rPr>
          <w:lang w:val="en-GB"/>
        </w:rPr>
        <w:t xml:space="preserve">ART </w:t>
      </w:r>
      <w:r w:rsidR="15F261A3" w:rsidRPr="00306F4D">
        <w:rPr>
          <w:lang w:val="en-GB"/>
        </w:rPr>
        <w:t>II</w:t>
      </w:r>
      <w:r w:rsidR="71769489" w:rsidRPr="00306F4D">
        <w:rPr>
          <w:lang w:val="en-GB"/>
        </w:rPr>
        <w:t>I:  I</w:t>
      </w:r>
      <w:r w:rsidR="31B28821" w:rsidRPr="00306F4D">
        <w:rPr>
          <w:lang w:val="en-GB"/>
        </w:rPr>
        <w:t>MPLEMENTATION ARRANGEMENTS</w:t>
      </w:r>
      <w:bookmarkEnd w:id="174"/>
      <w:bookmarkEnd w:id="175"/>
      <w:bookmarkEnd w:id="176"/>
      <w:bookmarkEnd w:id="177"/>
    </w:p>
    <w:p w14:paraId="3C5DE5C8" w14:textId="77777777" w:rsidR="00E60D8F" w:rsidRPr="00306F4D" w:rsidRDefault="00E60D8F" w:rsidP="00BC3363">
      <w:pPr>
        <w:pStyle w:val="Footer"/>
        <w:tabs>
          <w:tab w:val="clear" w:pos="4680"/>
          <w:tab w:val="clear" w:pos="9360"/>
        </w:tabs>
        <w:spacing w:line="276" w:lineRule="auto"/>
        <w:rPr>
          <w:rFonts w:ascii="Arial" w:eastAsia="Arial" w:hAnsi="Arial" w:cs="Arial"/>
          <w:color w:val="AEAAAA" w:themeColor="background2" w:themeShade="BF"/>
          <w:sz w:val="20"/>
          <w:szCs w:val="20"/>
          <w:lang w:val="en-GB"/>
        </w:rPr>
      </w:pPr>
    </w:p>
    <w:p w14:paraId="30C63D50" w14:textId="77777777" w:rsidR="00EE5D88" w:rsidRPr="00306F4D" w:rsidRDefault="00EE5D88" w:rsidP="00EE5D88">
      <w:pPr>
        <w:pStyle w:val="Footer"/>
        <w:numPr>
          <w:ilvl w:val="0"/>
          <w:numId w:val="24"/>
        </w:numPr>
        <w:tabs>
          <w:tab w:val="clear" w:pos="720"/>
          <w:tab w:val="clear" w:pos="4680"/>
          <w:tab w:val="clear" w:pos="9360"/>
          <w:tab w:val="num" w:pos="360"/>
        </w:tabs>
        <w:spacing w:line="276" w:lineRule="auto"/>
        <w:ind w:left="360"/>
        <w:rPr>
          <w:rFonts w:ascii="Arial" w:eastAsia="Arial" w:hAnsi="Arial" w:cs="Arial"/>
          <w:color w:val="AEAAAA" w:themeColor="background2" w:themeShade="BF"/>
          <w:lang w:val="en-GB"/>
        </w:rPr>
      </w:pPr>
      <w:r w:rsidRPr="00306F4D">
        <w:rPr>
          <w:rFonts w:ascii="Arial" w:eastAsia="Arial" w:hAnsi="Arial" w:cs="Arial"/>
          <w:color w:val="AEAAAA" w:themeColor="background2" w:themeShade="BF"/>
          <w:lang w:val="en-GB"/>
        </w:rPr>
        <w:lastRenderedPageBreak/>
        <w:t>Describe the arrangements for project / programme management at the regional and national level, including coordination arrangements within countries and among them. Describe how the potential to partner with national institutions, and when possible, national implementing entities (NIEs), has been considered, and included in the management arrangements.</w:t>
      </w:r>
    </w:p>
    <w:p w14:paraId="46F49A0A" w14:textId="77777777" w:rsidR="00EE5D88" w:rsidRPr="00306F4D" w:rsidRDefault="00EE5D88" w:rsidP="00BC3363">
      <w:pPr>
        <w:pStyle w:val="Footer"/>
        <w:tabs>
          <w:tab w:val="clear" w:pos="4680"/>
          <w:tab w:val="clear" w:pos="9360"/>
        </w:tabs>
        <w:spacing w:line="276" w:lineRule="auto"/>
        <w:rPr>
          <w:rFonts w:ascii="Arial" w:eastAsia="Arial" w:hAnsi="Arial" w:cs="Arial"/>
          <w:color w:val="AEAAAA" w:themeColor="background2" w:themeShade="BF"/>
          <w:sz w:val="20"/>
          <w:szCs w:val="20"/>
          <w:lang w:val="en-GB"/>
        </w:rPr>
      </w:pPr>
    </w:p>
    <w:p w14:paraId="2A0C9C98" w14:textId="77777777" w:rsidR="007722BB" w:rsidRPr="00306F4D" w:rsidRDefault="007722BB" w:rsidP="58D8FBEF">
      <w:pPr>
        <w:pStyle w:val="Heading2"/>
        <w:spacing w:line="276" w:lineRule="auto"/>
        <w:rPr>
          <w:rFonts w:ascii="Arial" w:eastAsia="Arial" w:hAnsi="Arial" w:cs="Arial"/>
          <w:sz w:val="20"/>
          <w:szCs w:val="20"/>
          <w:lang w:val="en-GB"/>
        </w:rPr>
      </w:pPr>
      <w:bookmarkStart w:id="178" w:name="_Toc934472212"/>
      <w:bookmarkStart w:id="179" w:name="_Toc166501976"/>
      <w:bookmarkStart w:id="180" w:name="_Toc202165722"/>
      <w:bookmarkStart w:id="181" w:name="_Toc202893753"/>
    </w:p>
    <w:p w14:paraId="74C2EF1B" w14:textId="04690A86" w:rsidR="007722BB" w:rsidRPr="00306F4D" w:rsidRDefault="6198BBC0" w:rsidP="001C5D4C">
      <w:pPr>
        <w:pStyle w:val="Heading2"/>
        <w:spacing w:line="276" w:lineRule="auto"/>
        <w:rPr>
          <w:rStyle w:val="Heading3Char"/>
          <w:rFonts w:ascii="Arial" w:eastAsia="Arial" w:hAnsi="Arial" w:cs="Arial"/>
          <w:sz w:val="20"/>
          <w:szCs w:val="20"/>
          <w:lang w:val="en-GB"/>
        </w:rPr>
      </w:pPr>
      <w:r w:rsidRPr="00306F4D">
        <w:rPr>
          <w:rFonts w:ascii="Arial" w:eastAsia="Arial" w:hAnsi="Arial" w:cs="Arial"/>
          <w:sz w:val="20"/>
          <w:szCs w:val="20"/>
          <w:lang w:val="en-GB"/>
        </w:rPr>
        <w:t>Project Management and Coordination Arrangements</w:t>
      </w:r>
      <w:bookmarkStart w:id="182" w:name="_Toc91876134"/>
      <w:bookmarkStart w:id="183" w:name="_Toc1530442415"/>
      <w:bookmarkEnd w:id="178"/>
      <w:bookmarkEnd w:id="179"/>
      <w:bookmarkEnd w:id="180"/>
      <w:bookmarkEnd w:id="181"/>
    </w:p>
    <w:p w14:paraId="379EB183" w14:textId="2D0E8967" w:rsidR="00F04FEE" w:rsidRPr="00306F4D" w:rsidRDefault="6198BBC0" w:rsidP="4BBFC27E">
      <w:pPr>
        <w:spacing w:before="240" w:after="240" w:line="276" w:lineRule="auto"/>
        <w:rPr>
          <w:rFonts w:ascii="Arial" w:eastAsia="Arial" w:hAnsi="Arial" w:cs="Arial"/>
          <w:sz w:val="20"/>
          <w:szCs w:val="20"/>
          <w:lang w:val="en-GB"/>
        </w:rPr>
      </w:pPr>
      <w:r w:rsidRPr="00306F4D">
        <w:rPr>
          <w:rStyle w:val="Heading3Char"/>
          <w:rFonts w:ascii="Arial" w:eastAsia="Arial" w:hAnsi="Arial" w:cs="Arial"/>
          <w:sz w:val="20"/>
          <w:szCs w:val="20"/>
          <w:lang w:val="en-GB"/>
        </w:rPr>
        <w:t>Regional Management Structure</w:t>
      </w:r>
      <w:bookmarkEnd w:id="182"/>
      <w:bookmarkEnd w:id="183"/>
    </w:p>
    <w:p w14:paraId="376E2E86" w14:textId="77777777" w:rsidR="00405DA7" w:rsidRPr="00306F4D" w:rsidRDefault="6198BBC0" w:rsidP="4186447D">
      <w:p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 xml:space="preserve">The Regional Project will be implemented by UNDP through its Istanbul Regional Hub under the Direct Implementation Modality (DIM). This modality ensures centralized oversight, coherent governance, and accountability, while enabling efficient delivery of technical and operational support across Bosnia and Herzegovina, Montenegro, North Macedonia, and Serbia. </w:t>
      </w:r>
    </w:p>
    <w:p w14:paraId="772508CA" w14:textId="38ECE8C2" w:rsidR="00B109F3" w:rsidRPr="00306F4D" w:rsidRDefault="6198BBC0" w:rsidP="00B109F3">
      <w:pPr>
        <w:spacing w:after="0" w:line="240" w:lineRule="auto"/>
        <w:jc w:val="both"/>
        <w:rPr>
          <w:rFonts w:ascii="Arial" w:eastAsia="SimSun" w:hAnsi="Arial" w:cs="Arial"/>
          <w:sz w:val="20"/>
          <w:szCs w:val="20"/>
          <w:lang w:eastAsia="zh-CN"/>
        </w:rPr>
      </w:pPr>
      <w:r w:rsidRPr="00306F4D">
        <w:rPr>
          <w:rFonts w:ascii="Arial" w:eastAsia="Arial" w:hAnsi="Arial" w:cs="Arial"/>
          <w:sz w:val="20"/>
          <w:szCs w:val="20"/>
          <w:lang w:val="en-GB"/>
        </w:rPr>
        <w:t xml:space="preserve">The Istanbul Regional Hub will serve as the </w:t>
      </w:r>
      <w:r w:rsidR="0068596C" w:rsidRPr="00306F4D">
        <w:rPr>
          <w:rFonts w:ascii="Arial" w:eastAsia="Arial" w:hAnsi="Arial" w:cs="Arial"/>
          <w:sz w:val="20"/>
          <w:szCs w:val="20"/>
          <w:lang w:val="en-GB"/>
        </w:rPr>
        <w:t>Implementing Partner</w:t>
      </w:r>
      <w:r w:rsidR="00797E12" w:rsidRPr="00306F4D">
        <w:rPr>
          <w:rFonts w:ascii="Arial" w:eastAsia="Arial" w:hAnsi="Arial" w:cs="Arial"/>
          <w:sz w:val="20"/>
          <w:szCs w:val="20"/>
          <w:lang w:val="en-GB"/>
        </w:rPr>
        <w:t xml:space="preserve"> for this project.</w:t>
      </w:r>
      <w:r w:rsidR="0068596C" w:rsidRPr="00306F4D">
        <w:rPr>
          <w:rFonts w:ascii="Arial" w:eastAsia="Arial" w:hAnsi="Arial" w:cs="Arial"/>
          <w:sz w:val="20"/>
          <w:szCs w:val="20"/>
          <w:lang w:val="en-GB"/>
        </w:rPr>
        <w:t xml:space="preserve"> </w:t>
      </w:r>
      <w:r w:rsidR="00B109F3" w:rsidRPr="00306F4D">
        <w:rPr>
          <w:rFonts w:ascii="Arial" w:eastAsia="SimSun" w:hAnsi="Arial" w:cs="Arial"/>
          <w:sz w:val="20"/>
          <w:szCs w:val="20"/>
          <w:lang w:eastAsia="zh-CN"/>
        </w:rPr>
        <w:t>The Implementing Partner is responsible for executing this project. Specific tasks include:</w:t>
      </w:r>
    </w:p>
    <w:p w14:paraId="62CF18AE" w14:textId="77777777" w:rsidR="00B109F3" w:rsidRPr="00306F4D" w:rsidRDefault="00B109F3" w:rsidP="00B109F3">
      <w:pPr>
        <w:numPr>
          <w:ilvl w:val="0"/>
          <w:numId w:val="97"/>
        </w:numPr>
        <w:spacing w:after="0" w:line="240" w:lineRule="auto"/>
        <w:jc w:val="both"/>
        <w:rPr>
          <w:rFonts w:ascii="Arial" w:eastAsia="SimSun" w:hAnsi="Arial" w:cs="Arial"/>
          <w:sz w:val="20"/>
          <w:szCs w:val="20"/>
        </w:rPr>
      </w:pPr>
      <w:r w:rsidRPr="00306F4D">
        <w:rPr>
          <w:rFonts w:ascii="Arial" w:eastAsia="SimSun" w:hAnsi="Arial" w:cs="Arial"/>
          <w:sz w:val="20"/>
          <w:szCs w:val="20"/>
        </w:rPr>
        <w:t xml:space="preserve">Project planning, coordination, management, monitoring, evaluation and reporting. This includes providing all required information and data necessary for timely, comprehensive and evidence-based project reporting, including results and financial data, as necessary. The Implementing Partner will strive to ensure project-level M&amp;E is undertaken by national institutes and is aligned with national systems so that the data used and generated by the project supports national systems. </w:t>
      </w:r>
    </w:p>
    <w:p w14:paraId="3DF2A93F" w14:textId="77777777" w:rsidR="00B109F3" w:rsidRPr="00306F4D" w:rsidRDefault="00B109F3" w:rsidP="00B109F3">
      <w:pPr>
        <w:numPr>
          <w:ilvl w:val="0"/>
          <w:numId w:val="97"/>
        </w:numPr>
        <w:spacing w:after="0" w:line="240" w:lineRule="auto"/>
        <w:jc w:val="both"/>
        <w:rPr>
          <w:rFonts w:ascii="Arial" w:eastAsia="SimSun" w:hAnsi="Arial" w:cs="Arial"/>
          <w:sz w:val="20"/>
          <w:szCs w:val="20"/>
        </w:rPr>
      </w:pPr>
      <w:r w:rsidRPr="00306F4D">
        <w:rPr>
          <w:rFonts w:ascii="Arial" w:eastAsia="SimSun" w:hAnsi="Arial" w:cs="Arial"/>
          <w:sz w:val="20"/>
          <w:szCs w:val="20"/>
        </w:rPr>
        <w:t xml:space="preserve">Overseeing the management of project risks as included in this project document and new risks that may emerge during project implementation. </w:t>
      </w:r>
    </w:p>
    <w:p w14:paraId="2153AE28" w14:textId="77777777" w:rsidR="00B109F3" w:rsidRPr="00306F4D" w:rsidRDefault="00B109F3" w:rsidP="00B109F3">
      <w:pPr>
        <w:numPr>
          <w:ilvl w:val="0"/>
          <w:numId w:val="97"/>
        </w:numPr>
        <w:spacing w:after="0" w:line="240" w:lineRule="auto"/>
        <w:jc w:val="both"/>
        <w:rPr>
          <w:rFonts w:ascii="Arial" w:eastAsia="SimSun" w:hAnsi="Arial" w:cs="Arial"/>
          <w:sz w:val="20"/>
          <w:szCs w:val="20"/>
        </w:rPr>
      </w:pPr>
      <w:r w:rsidRPr="00306F4D">
        <w:rPr>
          <w:rFonts w:ascii="Arial" w:eastAsia="SimSun" w:hAnsi="Arial" w:cs="Arial"/>
          <w:sz w:val="20"/>
          <w:szCs w:val="20"/>
        </w:rPr>
        <w:t>Procurement of goods and services, including human resources.</w:t>
      </w:r>
    </w:p>
    <w:p w14:paraId="224CE6F6" w14:textId="77777777" w:rsidR="00B109F3" w:rsidRPr="00306F4D" w:rsidRDefault="00B109F3" w:rsidP="00B109F3">
      <w:pPr>
        <w:numPr>
          <w:ilvl w:val="0"/>
          <w:numId w:val="97"/>
        </w:numPr>
        <w:spacing w:after="0" w:line="240" w:lineRule="auto"/>
        <w:jc w:val="both"/>
        <w:rPr>
          <w:rFonts w:ascii="Arial" w:eastAsia="SimSun" w:hAnsi="Arial" w:cs="Arial"/>
          <w:sz w:val="20"/>
          <w:szCs w:val="20"/>
        </w:rPr>
      </w:pPr>
      <w:r w:rsidRPr="00306F4D">
        <w:rPr>
          <w:rFonts w:ascii="Arial" w:eastAsia="SimSun" w:hAnsi="Arial" w:cs="Arial"/>
          <w:sz w:val="20"/>
          <w:szCs w:val="20"/>
        </w:rPr>
        <w:t>Financial management, including overseeing financial expenditures against project budgets.</w:t>
      </w:r>
    </w:p>
    <w:p w14:paraId="7B452835" w14:textId="77777777" w:rsidR="00B109F3" w:rsidRPr="00306F4D" w:rsidRDefault="00B109F3" w:rsidP="00B109F3">
      <w:pPr>
        <w:numPr>
          <w:ilvl w:val="0"/>
          <w:numId w:val="97"/>
        </w:numPr>
        <w:spacing w:after="0" w:line="240" w:lineRule="auto"/>
        <w:jc w:val="both"/>
        <w:rPr>
          <w:rFonts w:ascii="Arial" w:eastAsia="SimSun" w:hAnsi="Arial" w:cs="Arial"/>
          <w:sz w:val="20"/>
          <w:szCs w:val="20"/>
        </w:rPr>
      </w:pPr>
      <w:r w:rsidRPr="00306F4D">
        <w:rPr>
          <w:rFonts w:ascii="Arial" w:eastAsia="SimSun" w:hAnsi="Arial" w:cs="Arial"/>
          <w:sz w:val="20"/>
          <w:szCs w:val="20"/>
        </w:rPr>
        <w:t>Approving and signing the multiyear workplan.</w:t>
      </w:r>
    </w:p>
    <w:p w14:paraId="272465FA" w14:textId="77777777" w:rsidR="00B109F3" w:rsidRPr="00306F4D" w:rsidRDefault="00B109F3" w:rsidP="00B109F3">
      <w:pPr>
        <w:numPr>
          <w:ilvl w:val="0"/>
          <w:numId w:val="97"/>
        </w:numPr>
        <w:spacing w:after="0" w:line="240" w:lineRule="auto"/>
        <w:jc w:val="both"/>
        <w:rPr>
          <w:rFonts w:ascii="Arial" w:eastAsia="SimSun" w:hAnsi="Arial" w:cs="Arial"/>
          <w:sz w:val="20"/>
          <w:szCs w:val="20"/>
        </w:rPr>
      </w:pPr>
      <w:r w:rsidRPr="00306F4D">
        <w:rPr>
          <w:rFonts w:ascii="Arial" w:eastAsia="SimSun" w:hAnsi="Arial" w:cs="Arial"/>
          <w:sz w:val="20"/>
          <w:szCs w:val="20"/>
        </w:rPr>
        <w:t>Approving and signing the combined delivery report at the end of the year; and,</w:t>
      </w:r>
    </w:p>
    <w:p w14:paraId="3A68F0E0" w14:textId="77777777" w:rsidR="00B109F3" w:rsidRPr="00306F4D" w:rsidRDefault="00B109F3" w:rsidP="00B109F3">
      <w:pPr>
        <w:numPr>
          <w:ilvl w:val="0"/>
          <w:numId w:val="97"/>
        </w:numPr>
        <w:spacing w:after="0" w:line="240" w:lineRule="auto"/>
        <w:jc w:val="both"/>
        <w:rPr>
          <w:rFonts w:ascii="Arial" w:eastAsia="SimSun" w:hAnsi="Arial" w:cs="Arial"/>
          <w:sz w:val="20"/>
          <w:szCs w:val="20"/>
        </w:rPr>
      </w:pPr>
      <w:r w:rsidRPr="00306F4D">
        <w:rPr>
          <w:rFonts w:ascii="Arial" w:eastAsia="SimSun" w:hAnsi="Arial" w:cs="Arial"/>
          <w:sz w:val="20"/>
          <w:szCs w:val="20"/>
        </w:rPr>
        <w:t>Signing the financial report or the funding authorization and certificate of expenditures.</w:t>
      </w:r>
    </w:p>
    <w:p w14:paraId="1E5CACD0" w14:textId="77777777" w:rsidR="00A71236" w:rsidRPr="00306F4D" w:rsidRDefault="00A71236" w:rsidP="0095051B">
      <w:pPr>
        <w:spacing w:before="240" w:after="240" w:line="276" w:lineRule="auto"/>
        <w:jc w:val="center"/>
        <w:rPr>
          <w:rFonts w:ascii="Arial" w:eastAsia="Arial" w:hAnsi="Arial" w:cs="Arial"/>
          <w:b/>
          <w:sz w:val="20"/>
          <w:szCs w:val="20"/>
        </w:rPr>
      </w:pPr>
    </w:p>
    <w:p w14:paraId="256E75C2" w14:textId="6F154749" w:rsidR="00443B55" w:rsidRPr="00306F4D" w:rsidRDefault="00443B55" w:rsidP="0095051B">
      <w:pPr>
        <w:spacing w:before="240" w:after="240" w:line="276" w:lineRule="auto"/>
        <w:jc w:val="center"/>
        <w:rPr>
          <w:rFonts w:ascii="Arial" w:eastAsia="Arial" w:hAnsi="Arial" w:cs="Arial"/>
          <w:b/>
          <w:bCs/>
          <w:sz w:val="20"/>
          <w:szCs w:val="20"/>
        </w:rPr>
      </w:pPr>
      <w:r w:rsidRPr="00306F4D">
        <w:rPr>
          <w:rFonts w:ascii="Arial" w:eastAsia="Arial" w:hAnsi="Arial" w:cs="Arial"/>
          <w:b/>
          <w:sz w:val="20"/>
          <w:szCs w:val="20"/>
        </w:rPr>
        <w:t xml:space="preserve">The Regional </w:t>
      </w:r>
      <w:r w:rsidR="002478A1" w:rsidRPr="00306F4D">
        <w:rPr>
          <w:rFonts w:ascii="Arial" w:eastAsia="Arial" w:hAnsi="Arial" w:cs="Arial"/>
          <w:b/>
          <w:sz w:val="20"/>
          <w:szCs w:val="20"/>
        </w:rPr>
        <w:t>P</w:t>
      </w:r>
      <w:r w:rsidRPr="00306F4D">
        <w:rPr>
          <w:rFonts w:ascii="Arial" w:eastAsia="Arial" w:hAnsi="Arial" w:cs="Arial"/>
          <w:b/>
          <w:sz w:val="20"/>
          <w:szCs w:val="20"/>
        </w:rPr>
        <w:t xml:space="preserve">roject </w:t>
      </w:r>
      <w:r w:rsidR="002478A1" w:rsidRPr="00306F4D">
        <w:rPr>
          <w:rFonts w:ascii="Arial" w:eastAsia="Arial" w:hAnsi="Arial" w:cs="Arial"/>
          <w:b/>
          <w:sz w:val="20"/>
          <w:szCs w:val="20"/>
        </w:rPr>
        <w:t>Governance</w:t>
      </w:r>
      <w:r w:rsidR="0095051B" w:rsidRPr="00306F4D">
        <w:rPr>
          <w:rFonts w:ascii="Arial" w:eastAsia="Arial" w:hAnsi="Arial" w:cs="Arial"/>
          <w:b/>
          <w:sz w:val="20"/>
          <w:szCs w:val="20"/>
        </w:rPr>
        <w:t xml:space="preserve"> Arrangements</w:t>
      </w:r>
      <w:r w:rsidR="002478A1" w:rsidRPr="00306F4D">
        <w:rPr>
          <w:rFonts w:ascii="Arial" w:eastAsia="Arial" w:hAnsi="Arial" w:cs="Arial"/>
          <w:b/>
          <w:sz w:val="20"/>
          <w:szCs w:val="20"/>
        </w:rPr>
        <w:t>:</w:t>
      </w:r>
    </w:p>
    <w:p w14:paraId="5DE817B5" w14:textId="464BD545" w:rsidR="00224BE6" w:rsidRPr="00306F4D" w:rsidRDefault="009A54FD" w:rsidP="4186447D">
      <w:pPr>
        <w:spacing w:before="240" w:after="240" w:line="276" w:lineRule="auto"/>
        <w:jc w:val="both"/>
        <w:rPr>
          <w:noProof/>
          <w:sz w:val="20"/>
          <w:szCs w:val="20"/>
          <w:lang w:val="en-GB"/>
        </w:rPr>
      </w:pPr>
      <w:r w:rsidRPr="00306F4D">
        <w:rPr>
          <w:noProof/>
        </w:rPr>
        <w:lastRenderedPageBreak/>
        <w:drawing>
          <wp:inline distT="0" distB="0" distL="0" distR="0" wp14:anchorId="6641A3BD" wp14:editId="68BD6C70">
            <wp:extent cx="6332220" cy="3181707"/>
            <wp:effectExtent l="0" t="0" r="0" b="0"/>
            <wp:docPr id="356983501"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983501" name="Picture 1" descr="A diagram of a company&#10;&#10;AI-generated content may be incorrect."/>
                    <pic:cNvPicPr/>
                  </pic:nvPicPr>
                  <pic:blipFill rotWithShape="1">
                    <a:blip r:embed="rId64"/>
                    <a:srcRect l="22503" t="23748" r="28640" b="32608"/>
                    <a:stretch/>
                  </pic:blipFill>
                  <pic:spPr bwMode="auto">
                    <a:xfrm>
                      <a:off x="0" y="0"/>
                      <a:ext cx="6345711" cy="3188486"/>
                    </a:xfrm>
                    <a:prstGeom prst="rect">
                      <a:avLst/>
                    </a:prstGeom>
                    <a:ln>
                      <a:noFill/>
                    </a:ln>
                    <a:extLst>
                      <a:ext uri="{53640926-AAD7-44D8-BBD7-CCE9431645EC}">
                        <a14:shadowObscured xmlns:a14="http://schemas.microsoft.com/office/drawing/2010/main"/>
                      </a:ext>
                    </a:extLst>
                  </pic:spPr>
                </pic:pic>
              </a:graphicData>
            </a:graphic>
          </wp:inline>
        </w:drawing>
      </w:r>
    </w:p>
    <w:p w14:paraId="33B8F3A8" w14:textId="59298A7F" w:rsidR="00C54514" w:rsidRPr="00306F4D" w:rsidRDefault="00C54514" w:rsidP="00C54514">
      <w:pPr>
        <w:spacing w:after="60" w:line="240" w:lineRule="auto"/>
        <w:jc w:val="both"/>
        <w:rPr>
          <w:rFonts w:ascii="Arial" w:eastAsia="SimSun" w:hAnsi="Arial" w:cs="Arial"/>
          <w:sz w:val="20"/>
          <w:szCs w:val="20"/>
        </w:rPr>
      </w:pPr>
      <w:r w:rsidRPr="00306F4D">
        <w:rPr>
          <w:rFonts w:ascii="Arial" w:eastAsia="SimSun" w:hAnsi="Arial" w:cs="Arial"/>
          <w:sz w:val="20"/>
          <w:szCs w:val="20"/>
        </w:rPr>
        <w:t xml:space="preserve">The UNDP </w:t>
      </w:r>
      <w:r w:rsidR="00926E10" w:rsidRPr="00306F4D">
        <w:rPr>
          <w:rFonts w:ascii="Arial" w:eastAsia="SimSun" w:hAnsi="Arial" w:cs="Arial"/>
          <w:sz w:val="20"/>
          <w:szCs w:val="20"/>
        </w:rPr>
        <w:t xml:space="preserve">Istanbul </w:t>
      </w:r>
      <w:r w:rsidRPr="00306F4D">
        <w:rPr>
          <w:rFonts w:ascii="Arial" w:eastAsia="SimSun" w:hAnsi="Arial" w:cs="Arial"/>
          <w:sz w:val="20"/>
          <w:szCs w:val="20"/>
        </w:rPr>
        <w:t xml:space="preserve">Regional Hub </w:t>
      </w:r>
      <w:r w:rsidR="00926E10" w:rsidRPr="00306F4D">
        <w:rPr>
          <w:rFonts w:ascii="Arial" w:eastAsia="SimSun" w:hAnsi="Arial" w:cs="Arial"/>
          <w:sz w:val="20"/>
          <w:szCs w:val="20"/>
        </w:rPr>
        <w:t xml:space="preserve">(IRH) </w:t>
      </w:r>
      <w:r w:rsidR="00322EE6" w:rsidRPr="00306F4D">
        <w:rPr>
          <w:rFonts w:ascii="Arial" w:eastAsia="SimSun" w:hAnsi="Arial" w:cs="Arial"/>
          <w:sz w:val="20"/>
          <w:szCs w:val="20"/>
        </w:rPr>
        <w:t>Manager</w:t>
      </w:r>
      <w:r w:rsidRPr="00306F4D">
        <w:rPr>
          <w:rFonts w:ascii="Arial" w:eastAsia="SimSun" w:hAnsi="Arial" w:cs="Arial"/>
          <w:sz w:val="20"/>
          <w:szCs w:val="20"/>
        </w:rPr>
        <w:t xml:space="preserve"> assumes full responsibility and accountability for oversight and quality assurance of this Project and ensures its timely implementation in compliance with the AF-specific requirements and UNDP’s Programme and Operations Policies and Procedures (POPP), its Financial Regulations and Rules and Internal Control Framework. A UNDP Regional Bureau representative in the Hub will assume the assurance role and will present assurance findings to the Project </w:t>
      </w:r>
      <w:proofErr w:type="gramStart"/>
      <w:r w:rsidRPr="00306F4D">
        <w:rPr>
          <w:rFonts w:ascii="Arial" w:eastAsia="SimSun" w:hAnsi="Arial" w:cs="Arial"/>
          <w:sz w:val="20"/>
          <w:szCs w:val="20"/>
        </w:rPr>
        <w:t>Board, and</w:t>
      </w:r>
      <w:proofErr w:type="gramEnd"/>
      <w:r w:rsidRPr="00306F4D">
        <w:rPr>
          <w:rFonts w:ascii="Arial" w:eastAsia="SimSun" w:hAnsi="Arial" w:cs="Arial"/>
          <w:sz w:val="20"/>
          <w:szCs w:val="20"/>
        </w:rPr>
        <w:t xml:space="preserve"> therefore attends Project Board meetings as a non-voting member. </w:t>
      </w:r>
    </w:p>
    <w:p w14:paraId="596851EA" w14:textId="77777777" w:rsidR="00C54514" w:rsidRPr="00306F4D" w:rsidRDefault="00C54514" w:rsidP="00C54514">
      <w:pPr>
        <w:spacing w:after="60" w:line="240" w:lineRule="auto"/>
        <w:jc w:val="both"/>
        <w:rPr>
          <w:rFonts w:ascii="Arial" w:eastAsia="SimSun" w:hAnsi="Arial" w:cs="Arial"/>
          <w:sz w:val="20"/>
          <w:szCs w:val="20"/>
        </w:rPr>
      </w:pPr>
    </w:p>
    <w:p w14:paraId="121B6EB4" w14:textId="3ED8219C" w:rsidR="00C54514" w:rsidRPr="00306F4D" w:rsidRDefault="00C54514" w:rsidP="00C54514">
      <w:pPr>
        <w:spacing w:after="0" w:line="240" w:lineRule="auto"/>
        <w:jc w:val="both"/>
        <w:rPr>
          <w:rFonts w:ascii="Arial" w:eastAsia="SimSun" w:hAnsi="Arial" w:cs="Arial"/>
          <w:color w:val="FF0000"/>
          <w:sz w:val="20"/>
          <w:szCs w:val="20"/>
          <w:lang w:eastAsia="zh-CN"/>
        </w:rPr>
      </w:pPr>
      <w:r w:rsidRPr="00306F4D">
        <w:rPr>
          <w:rFonts w:ascii="Arial" w:eastAsia="SimSun" w:hAnsi="Arial" w:cs="Arial"/>
          <w:sz w:val="20"/>
          <w:szCs w:val="20"/>
        </w:rPr>
        <w:t>UNDP’s implementation oversight role in the project – as represented in the project board and via the project assurance function – is performed by</w:t>
      </w:r>
      <w:r w:rsidR="00926E10" w:rsidRPr="00306F4D">
        <w:rPr>
          <w:rFonts w:ascii="Arial" w:eastAsia="SimSun" w:hAnsi="Arial" w:cs="Arial"/>
          <w:sz w:val="20"/>
          <w:szCs w:val="20"/>
        </w:rPr>
        <w:t xml:space="preserve"> </w:t>
      </w:r>
      <w:r w:rsidR="00926E10" w:rsidRPr="00306F4D">
        <w:rPr>
          <w:rFonts w:ascii="Arial" w:eastAsia="SimSun" w:hAnsi="Arial" w:cs="Arial"/>
          <w:color w:val="auto"/>
          <w:sz w:val="20"/>
          <w:szCs w:val="20"/>
        </w:rPr>
        <w:t xml:space="preserve">the IRH Manager and </w:t>
      </w:r>
      <w:r w:rsidR="00926E10" w:rsidRPr="00306F4D">
        <w:rPr>
          <w:rFonts w:ascii="Arial" w:hAnsi="Arial" w:cs="Arial"/>
          <w:color w:val="auto"/>
          <w:sz w:val="20"/>
          <w:szCs w:val="20"/>
        </w:rPr>
        <w:t>UNDP IRH RBM and QA Specialist.</w:t>
      </w:r>
      <w:r w:rsidRPr="00306F4D">
        <w:rPr>
          <w:rFonts w:ascii="Arial" w:eastAsia="SimSun" w:hAnsi="Arial" w:cs="Arial"/>
          <w:color w:val="auto"/>
          <w:sz w:val="20"/>
          <w:szCs w:val="20"/>
        </w:rPr>
        <w:t xml:space="preserve"> UNDP’s execution role in the project is performed by</w:t>
      </w:r>
      <w:r w:rsidR="00B30640" w:rsidRPr="00306F4D">
        <w:rPr>
          <w:rFonts w:ascii="Arial" w:eastAsia="SimSun" w:hAnsi="Arial" w:cs="Arial"/>
          <w:color w:val="auto"/>
          <w:sz w:val="20"/>
          <w:szCs w:val="20"/>
        </w:rPr>
        <w:t xml:space="preserve"> the Regional </w:t>
      </w:r>
      <w:r w:rsidR="00D67099" w:rsidRPr="00306F4D">
        <w:rPr>
          <w:rFonts w:ascii="Arial" w:eastAsia="SimSun" w:hAnsi="Arial" w:cs="Arial"/>
          <w:color w:val="auto"/>
          <w:sz w:val="20"/>
          <w:szCs w:val="20"/>
        </w:rPr>
        <w:t>P</w:t>
      </w:r>
      <w:r w:rsidR="00B30640" w:rsidRPr="00306F4D">
        <w:rPr>
          <w:rFonts w:ascii="Arial" w:eastAsia="SimSun" w:hAnsi="Arial" w:cs="Arial"/>
          <w:color w:val="auto"/>
          <w:sz w:val="20"/>
          <w:szCs w:val="20"/>
        </w:rPr>
        <w:t>roject Manager</w:t>
      </w:r>
      <w:r w:rsidRPr="00306F4D">
        <w:rPr>
          <w:rFonts w:ascii="Arial" w:eastAsia="SimSun" w:hAnsi="Arial" w:cs="Arial"/>
          <w:b/>
          <w:color w:val="auto"/>
          <w:sz w:val="20"/>
          <w:szCs w:val="20"/>
        </w:rPr>
        <w:t>,</w:t>
      </w:r>
      <w:r w:rsidRPr="00306F4D">
        <w:rPr>
          <w:rFonts w:ascii="Arial" w:eastAsia="SimSun" w:hAnsi="Arial" w:cs="Arial"/>
          <w:color w:val="auto"/>
          <w:sz w:val="20"/>
          <w:szCs w:val="20"/>
        </w:rPr>
        <w:t xml:space="preserve"> who will report to</w:t>
      </w:r>
      <w:r w:rsidR="00212E14" w:rsidRPr="00306F4D">
        <w:rPr>
          <w:rFonts w:ascii="Arial" w:eastAsia="SimSun" w:hAnsi="Arial" w:cs="Arial"/>
          <w:color w:val="auto"/>
          <w:sz w:val="20"/>
          <w:szCs w:val="20"/>
        </w:rPr>
        <w:t xml:space="preserve"> the IRH Innovations Team</w:t>
      </w:r>
      <w:r w:rsidR="00D67099" w:rsidRPr="00306F4D">
        <w:rPr>
          <w:rFonts w:ascii="Arial" w:eastAsia="SimSun" w:hAnsi="Arial" w:cs="Arial"/>
          <w:color w:val="auto"/>
          <w:sz w:val="20"/>
          <w:szCs w:val="20"/>
        </w:rPr>
        <w:t xml:space="preserve"> Leader (or Regional Programme Chief, IRH)</w:t>
      </w:r>
      <w:r w:rsidR="00D67099" w:rsidRPr="00306F4D">
        <w:rPr>
          <w:rFonts w:ascii="Arial" w:eastAsia="SimSun" w:hAnsi="Arial" w:cs="Arial"/>
          <w:b/>
          <w:color w:val="auto"/>
          <w:sz w:val="20"/>
          <w:szCs w:val="20"/>
        </w:rPr>
        <w:t>.</w:t>
      </w:r>
    </w:p>
    <w:p w14:paraId="66F2E3E7" w14:textId="77777777" w:rsidR="00C54514" w:rsidRPr="00306F4D" w:rsidRDefault="00C54514" w:rsidP="00C54514">
      <w:pPr>
        <w:spacing w:before="240" w:after="240" w:line="276" w:lineRule="auto"/>
        <w:jc w:val="both"/>
        <w:rPr>
          <w:rFonts w:ascii="Arial" w:eastAsia="Arial" w:hAnsi="Arial" w:cs="Arial"/>
          <w:sz w:val="20"/>
          <w:szCs w:val="20"/>
        </w:rPr>
      </w:pPr>
      <w:r w:rsidRPr="00306F4D">
        <w:rPr>
          <w:rFonts w:ascii="Arial" w:eastAsia="SimSun" w:hAnsi="Arial" w:cs="Arial"/>
          <w:sz w:val="20"/>
          <w:szCs w:val="20"/>
        </w:rPr>
        <w:t>The Implementing Partner could engage Responsible Parties to deliver specific</w:t>
      </w:r>
      <w:r w:rsidRPr="00306F4D">
        <w:rPr>
          <w:rFonts w:ascii="Arial" w:eastAsia="Arial" w:hAnsi="Arial" w:cs="Arial"/>
          <w:sz w:val="20"/>
          <w:szCs w:val="20"/>
        </w:rPr>
        <w:t xml:space="preserve"> activities under the project in line with UNDP policies and procedures and if deemed necessary for the effective project delivery.</w:t>
      </w:r>
    </w:p>
    <w:p w14:paraId="11D02D09" w14:textId="77777777" w:rsidR="00C54514" w:rsidRPr="00306F4D" w:rsidRDefault="00C54514" w:rsidP="003220F4">
      <w:pPr>
        <w:spacing w:after="0" w:line="276" w:lineRule="auto"/>
        <w:contextualSpacing/>
        <w:jc w:val="both"/>
        <w:rPr>
          <w:rStyle w:val="Heading3Char"/>
          <w:rFonts w:ascii="Arial" w:eastAsia="Arial" w:hAnsi="Arial" w:cs="Arial"/>
          <w:sz w:val="20"/>
          <w:szCs w:val="20"/>
          <w:lang w:val="en-GB"/>
        </w:rPr>
      </w:pPr>
    </w:p>
    <w:p w14:paraId="16BDF055" w14:textId="098A183A" w:rsidR="003220F4" w:rsidRPr="00306F4D" w:rsidRDefault="003220F4" w:rsidP="003220F4">
      <w:pPr>
        <w:spacing w:after="0" w:line="276" w:lineRule="auto"/>
        <w:contextualSpacing/>
        <w:jc w:val="both"/>
        <w:rPr>
          <w:rStyle w:val="Heading3Char"/>
          <w:rFonts w:ascii="Arial" w:eastAsia="Arial" w:hAnsi="Arial" w:cs="Arial"/>
          <w:sz w:val="20"/>
          <w:szCs w:val="20"/>
          <w:lang w:val="en-GB"/>
        </w:rPr>
      </w:pPr>
      <w:r w:rsidRPr="00306F4D">
        <w:rPr>
          <w:rStyle w:val="Heading3Char"/>
          <w:rFonts w:ascii="Arial" w:eastAsia="Arial" w:hAnsi="Arial" w:cs="Arial"/>
          <w:sz w:val="20"/>
          <w:szCs w:val="20"/>
          <w:lang w:val="en-GB"/>
        </w:rPr>
        <w:t>Regional Steering Committee</w:t>
      </w:r>
    </w:p>
    <w:p w14:paraId="27DD7E7F" w14:textId="092BD0F7" w:rsidR="00977796" w:rsidRPr="00306F4D" w:rsidRDefault="5B3B2F31" w:rsidP="00D31FBD">
      <w:pPr>
        <w:shd w:val="clear" w:color="auto" w:fill="FFFFFF"/>
        <w:spacing w:after="0" w:line="240" w:lineRule="auto"/>
        <w:jc w:val="both"/>
        <w:rPr>
          <w:rFonts w:ascii="Arial" w:eastAsia="Arial" w:hAnsi="Arial" w:cs="Arial"/>
          <w:sz w:val="20"/>
          <w:szCs w:val="20"/>
        </w:rPr>
      </w:pPr>
      <w:r w:rsidRPr="00306F4D">
        <w:rPr>
          <w:rFonts w:ascii="Arial" w:eastAsia="Arial" w:hAnsi="Arial" w:cs="Arial"/>
          <w:sz w:val="20"/>
          <w:szCs w:val="20"/>
        </w:rPr>
        <w:t>Th</w:t>
      </w:r>
      <w:r w:rsidR="1C55216A" w:rsidRPr="00306F4D">
        <w:rPr>
          <w:rFonts w:ascii="Arial" w:eastAsia="Arial" w:hAnsi="Arial" w:cs="Arial"/>
          <w:sz w:val="20"/>
          <w:szCs w:val="20"/>
        </w:rPr>
        <w:t xml:space="preserve">e regional project will be steered by the Regional Project Steering Committee as per UNDP procedures and requirements. </w:t>
      </w:r>
      <w:r w:rsidR="00D31FBD" w:rsidRPr="00306F4D">
        <w:rPr>
          <w:rFonts w:ascii="Arial" w:eastAsia="Arial" w:hAnsi="Arial" w:cs="Arial"/>
          <w:sz w:val="20"/>
          <w:szCs w:val="20"/>
        </w:rPr>
        <w:t>The Regional Steering Committee will secure h</w:t>
      </w:r>
      <w:r w:rsidR="00A3608C" w:rsidRPr="00306F4D">
        <w:rPr>
          <w:rFonts w:ascii="Arial" w:eastAsia="Arial" w:hAnsi="Arial" w:cs="Arial"/>
          <w:sz w:val="20"/>
          <w:szCs w:val="20"/>
        </w:rPr>
        <w:t xml:space="preserve">igh-level oversight of the execution of the project </w:t>
      </w:r>
      <w:r w:rsidR="00D31FBD" w:rsidRPr="00306F4D">
        <w:rPr>
          <w:rFonts w:ascii="Arial" w:eastAsia="Arial" w:hAnsi="Arial" w:cs="Arial"/>
          <w:sz w:val="20"/>
          <w:szCs w:val="20"/>
        </w:rPr>
        <w:t>and a</w:t>
      </w:r>
      <w:r w:rsidR="00A3608C" w:rsidRPr="00306F4D">
        <w:rPr>
          <w:rFonts w:ascii="Arial" w:eastAsia="Arial" w:hAnsi="Arial" w:cs="Arial"/>
          <w:sz w:val="20"/>
          <w:szCs w:val="20"/>
        </w:rPr>
        <w:t>pproval of strategic project execution decisions of the Implementing Partner</w:t>
      </w:r>
      <w:r w:rsidR="00D31FBD" w:rsidRPr="00306F4D">
        <w:rPr>
          <w:rFonts w:ascii="Arial" w:eastAsia="Arial" w:hAnsi="Arial" w:cs="Arial"/>
          <w:sz w:val="20"/>
          <w:szCs w:val="20"/>
        </w:rPr>
        <w:t xml:space="preserve">. </w:t>
      </w:r>
      <w:r w:rsidR="1C55216A" w:rsidRPr="00306F4D">
        <w:rPr>
          <w:rFonts w:ascii="Arial" w:eastAsia="Arial" w:hAnsi="Arial" w:cs="Arial"/>
          <w:sz w:val="20"/>
          <w:szCs w:val="20"/>
        </w:rPr>
        <w:t xml:space="preserve">The Steering Committee’s roles and responsibilities are unpacked in </w:t>
      </w:r>
      <w:r w:rsidR="7BB82CD7" w:rsidRPr="00306F4D">
        <w:rPr>
          <w:rFonts w:ascii="Arial" w:eastAsia="Arial" w:hAnsi="Arial" w:cs="Arial"/>
          <w:sz w:val="20"/>
          <w:szCs w:val="20"/>
        </w:rPr>
        <w:t>the standard UNDP</w:t>
      </w:r>
      <w:r w:rsidR="1C55216A" w:rsidRPr="00306F4D">
        <w:rPr>
          <w:rFonts w:ascii="Arial" w:eastAsia="Arial" w:hAnsi="Arial" w:cs="Arial"/>
          <w:sz w:val="20"/>
          <w:szCs w:val="20"/>
        </w:rPr>
        <w:t xml:space="preserve"> Terms of Reference </w:t>
      </w:r>
      <w:r w:rsidR="74EBFF50" w:rsidRPr="00306F4D">
        <w:rPr>
          <w:rFonts w:ascii="Arial" w:eastAsia="Arial" w:hAnsi="Arial" w:cs="Arial"/>
          <w:sz w:val="20"/>
          <w:szCs w:val="20"/>
        </w:rPr>
        <w:t xml:space="preserve">for Project Board/Steering Committee and will be presented and endorsed upon the Steering Committee’s first meeting. </w:t>
      </w:r>
      <w:r w:rsidR="3778C9E0" w:rsidRPr="00306F4D">
        <w:rPr>
          <w:rFonts w:ascii="Arial" w:eastAsia="Arial" w:hAnsi="Arial" w:cs="Arial"/>
          <w:sz w:val="20"/>
          <w:szCs w:val="20"/>
        </w:rPr>
        <w:t xml:space="preserve">The Steering Committee is the formal governance body of the project, which approves the activities in the project, reviews and clears annual workplans (AWPs) and annual progress achieved by the project through Annual Project Reviews based on the approved AWP. The Steering Committee will meet on an annual basis (more often if required) and its decisions are binding. Prior to the meetings </w:t>
      </w:r>
      <w:r w:rsidR="2FA8BF91" w:rsidRPr="00306F4D">
        <w:rPr>
          <w:rFonts w:ascii="Arial" w:eastAsia="Arial" w:hAnsi="Arial" w:cs="Arial"/>
          <w:sz w:val="20"/>
          <w:szCs w:val="20"/>
        </w:rPr>
        <w:t>the project team</w:t>
      </w:r>
      <w:r w:rsidR="332C5A59" w:rsidRPr="00306F4D">
        <w:rPr>
          <w:rFonts w:ascii="Arial" w:eastAsia="Arial" w:hAnsi="Arial" w:cs="Arial"/>
          <w:sz w:val="20"/>
          <w:szCs w:val="20"/>
        </w:rPr>
        <w:t>, which acts as the secretariat,</w:t>
      </w:r>
      <w:r w:rsidR="3778C9E0" w:rsidRPr="00306F4D">
        <w:rPr>
          <w:rFonts w:ascii="Arial" w:eastAsia="Arial" w:hAnsi="Arial" w:cs="Arial"/>
          <w:sz w:val="20"/>
          <w:szCs w:val="20"/>
        </w:rPr>
        <w:t xml:space="preserve"> will duly submit brief mid-year actions updates on the previous period and the plan for the next one. The Steering Committee will evaluate submitted documents and oversee approving plans and budgets. </w:t>
      </w:r>
      <w:r w:rsidR="6DEB50A8" w:rsidRPr="00306F4D">
        <w:rPr>
          <w:rFonts w:ascii="Arial" w:eastAsia="Arial" w:hAnsi="Arial" w:cs="Arial"/>
          <w:sz w:val="20"/>
          <w:szCs w:val="20"/>
        </w:rPr>
        <w:t xml:space="preserve">The Steering Committee is chaired by IRH management as per </w:t>
      </w:r>
      <w:r w:rsidR="332C5A59" w:rsidRPr="00306F4D">
        <w:rPr>
          <w:rFonts w:ascii="Arial" w:eastAsia="Arial" w:hAnsi="Arial" w:cs="Arial"/>
          <w:sz w:val="20"/>
          <w:szCs w:val="20"/>
        </w:rPr>
        <w:t>the</w:t>
      </w:r>
      <w:r w:rsidR="6DEB50A8" w:rsidRPr="00306F4D">
        <w:rPr>
          <w:rFonts w:ascii="Arial" w:eastAsia="Arial" w:hAnsi="Arial" w:cs="Arial"/>
          <w:sz w:val="20"/>
          <w:szCs w:val="20"/>
        </w:rPr>
        <w:t xml:space="preserve"> interna</w:t>
      </w:r>
      <w:r w:rsidR="332C5A59" w:rsidRPr="00306F4D">
        <w:rPr>
          <w:rFonts w:ascii="Arial" w:eastAsia="Arial" w:hAnsi="Arial" w:cs="Arial"/>
          <w:sz w:val="20"/>
          <w:szCs w:val="20"/>
        </w:rPr>
        <w:t>l</w:t>
      </w:r>
      <w:r w:rsidR="6DEB50A8" w:rsidRPr="00306F4D">
        <w:rPr>
          <w:rFonts w:ascii="Arial" w:eastAsia="Arial" w:hAnsi="Arial" w:cs="Arial"/>
          <w:sz w:val="20"/>
          <w:szCs w:val="20"/>
        </w:rPr>
        <w:t xml:space="preserve"> control framework and regional </w:t>
      </w:r>
      <w:proofErr w:type="spellStart"/>
      <w:r w:rsidR="6DEB50A8" w:rsidRPr="00306F4D">
        <w:rPr>
          <w:rFonts w:ascii="Arial" w:eastAsia="Arial" w:hAnsi="Arial" w:cs="Arial"/>
          <w:sz w:val="20"/>
          <w:szCs w:val="20"/>
        </w:rPr>
        <w:t>programme</w:t>
      </w:r>
      <w:proofErr w:type="spellEnd"/>
      <w:r w:rsidR="6DEB50A8" w:rsidRPr="00306F4D">
        <w:rPr>
          <w:rFonts w:ascii="Arial" w:eastAsia="Arial" w:hAnsi="Arial" w:cs="Arial"/>
          <w:sz w:val="20"/>
          <w:szCs w:val="20"/>
        </w:rPr>
        <w:t xml:space="preserve"> Standard Operation Procedures. </w:t>
      </w:r>
    </w:p>
    <w:p w14:paraId="74B66DA8" w14:textId="77777777" w:rsidR="0007398A" w:rsidRPr="00306F4D" w:rsidRDefault="0007398A" w:rsidP="00D31FBD">
      <w:pPr>
        <w:shd w:val="clear" w:color="auto" w:fill="FFFFFF"/>
        <w:spacing w:after="0" w:line="240" w:lineRule="auto"/>
        <w:jc w:val="both"/>
        <w:rPr>
          <w:rFonts w:ascii="Arial" w:eastAsia="Arial" w:hAnsi="Arial" w:cs="Arial"/>
          <w:sz w:val="20"/>
          <w:szCs w:val="20"/>
        </w:rPr>
      </w:pPr>
    </w:p>
    <w:p w14:paraId="3D19FDF9" w14:textId="1E185A55" w:rsidR="0007398A" w:rsidRPr="00306F4D" w:rsidRDefault="0007398A" w:rsidP="00D31FBD">
      <w:pPr>
        <w:shd w:val="clear" w:color="auto" w:fill="FFFFFF"/>
        <w:spacing w:after="0" w:line="240" w:lineRule="auto"/>
        <w:jc w:val="both"/>
        <w:rPr>
          <w:rFonts w:ascii="Arial" w:eastAsia="Arial" w:hAnsi="Arial" w:cs="Arial"/>
          <w:sz w:val="20"/>
          <w:szCs w:val="20"/>
        </w:rPr>
      </w:pPr>
      <w:r w:rsidRPr="00306F4D">
        <w:rPr>
          <w:rFonts w:ascii="Arial" w:eastAsia="Arial" w:hAnsi="Arial" w:cs="Arial"/>
          <w:sz w:val="20"/>
          <w:szCs w:val="20"/>
        </w:rPr>
        <w:t xml:space="preserve">Composition of the </w:t>
      </w:r>
      <w:r w:rsidR="00483CA9" w:rsidRPr="00306F4D">
        <w:rPr>
          <w:rFonts w:ascii="Arial" w:eastAsia="Arial" w:hAnsi="Arial" w:cs="Arial"/>
          <w:sz w:val="20"/>
          <w:szCs w:val="20"/>
        </w:rPr>
        <w:t>Regional</w:t>
      </w:r>
      <w:r w:rsidRPr="00306F4D">
        <w:rPr>
          <w:rFonts w:ascii="Arial" w:eastAsia="Arial" w:hAnsi="Arial" w:cs="Arial"/>
          <w:sz w:val="20"/>
          <w:szCs w:val="20"/>
        </w:rPr>
        <w:t xml:space="preserve"> Steering Committee:</w:t>
      </w:r>
    </w:p>
    <w:p w14:paraId="3136F011" w14:textId="42D2EC25" w:rsidR="001F46B5" w:rsidRPr="00306F4D" w:rsidRDefault="001F46B5" w:rsidP="00F12D4E">
      <w:pPr>
        <w:pStyle w:val="ListParagraph"/>
        <w:numPr>
          <w:ilvl w:val="0"/>
          <w:numId w:val="100"/>
        </w:numPr>
        <w:spacing w:after="0" w:line="240" w:lineRule="auto"/>
        <w:jc w:val="both"/>
        <w:rPr>
          <w:rFonts w:ascii="Arial" w:eastAsia="Arial" w:hAnsi="Arial" w:cs="Arial"/>
          <w:sz w:val="20"/>
          <w:szCs w:val="20"/>
        </w:rPr>
      </w:pPr>
      <w:r w:rsidRPr="00306F4D">
        <w:rPr>
          <w:rFonts w:ascii="Arial" w:eastAsia="Arial" w:hAnsi="Arial" w:cs="Arial"/>
          <w:i/>
          <w:sz w:val="20"/>
          <w:szCs w:val="20"/>
        </w:rPr>
        <w:lastRenderedPageBreak/>
        <w:t>Project Executive</w:t>
      </w:r>
      <w:r w:rsidRPr="00306F4D">
        <w:rPr>
          <w:rFonts w:ascii="Arial" w:eastAsia="Arial" w:hAnsi="Arial" w:cs="Arial"/>
          <w:sz w:val="20"/>
          <w:szCs w:val="20"/>
        </w:rPr>
        <w:t xml:space="preserve">: This is an individual who represents ownership of the project and chairs (or co-chairs) the Project Board. The Project Executive </w:t>
      </w:r>
      <w:proofErr w:type="gramStart"/>
      <w:r w:rsidRPr="00306F4D">
        <w:rPr>
          <w:rFonts w:ascii="Arial" w:eastAsia="Arial" w:hAnsi="Arial" w:cs="Arial"/>
          <w:sz w:val="20"/>
          <w:szCs w:val="20"/>
        </w:rPr>
        <w:t>is:</w:t>
      </w:r>
      <w:proofErr w:type="gramEnd"/>
      <w:r w:rsidRPr="00306F4D">
        <w:rPr>
          <w:rFonts w:ascii="Arial" w:eastAsia="Arial" w:hAnsi="Arial" w:cs="Arial"/>
          <w:sz w:val="20"/>
          <w:szCs w:val="20"/>
        </w:rPr>
        <w:t xml:space="preserve"> </w:t>
      </w:r>
      <w:r w:rsidR="00D801E7" w:rsidRPr="00306F4D">
        <w:rPr>
          <w:rFonts w:ascii="Arial" w:eastAsia="Arial" w:hAnsi="Arial" w:cs="Arial"/>
          <w:sz w:val="20"/>
          <w:szCs w:val="20"/>
        </w:rPr>
        <w:t>the IRH Manager, UNDP.</w:t>
      </w:r>
    </w:p>
    <w:p w14:paraId="23A4848F" w14:textId="408B3AC1" w:rsidR="001F46B5" w:rsidRPr="00306F4D" w:rsidRDefault="001F46B5" w:rsidP="00F12D4E">
      <w:pPr>
        <w:pStyle w:val="ListParagraph"/>
        <w:numPr>
          <w:ilvl w:val="0"/>
          <w:numId w:val="100"/>
        </w:numPr>
        <w:spacing w:after="0" w:line="240" w:lineRule="auto"/>
        <w:jc w:val="both"/>
        <w:rPr>
          <w:rFonts w:ascii="Arial" w:eastAsia="Arial" w:hAnsi="Arial" w:cs="Arial"/>
          <w:sz w:val="20"/>
          <w:szCs w:val="20"/>
        </w:rPr>
      </w:pPr>
      <w:r w:rsidRPr="00306F4D">
        <w:rPr>
          <w:rFonts w:ascii="Arial" w:eastAsia="Arial" w:hAnsi="Arial" w:cs="Arial"/>
          <w:i/>
          <w:sz w:val="20"/>
          <w:szCs w:val="20"/>
        </w:rPr>
        <w:t>Beneficiary Representative(s):</w:t>
      </w:r>
      <w:r w:rsidRPr="00306F4D">
        <w:rPr>
          <w:rFonts w:ascii="Arial" w:eastAsia="Arial" w:hAnsi="Arial" w:cs="Arial"/>
          <w:sz w:val="20"/>
          <w:szCs w:val="20"/>
        </w:rPr>
        <w:t xml:space="preserve"> Individuals or groups representing the interests of those groups of stakeholders who will ultimately benefit from the project. Their primary function within the board is to ensure the realization of project results from the perspective of project beneficiaries. The Beneficiary representative (s) is/are: </w:t>
      </w:r>
      <w:r w:rsidR="00EB02F2" w:rsidRPr="00306F4D">
        <w:rPr>
          <w:rFonts w:ascii="Arial" w:eastAsia="Arial" w:hAnsi="Arial" w:cs="Arial"/>
          <w:sz w:val="20"/>
          <w:szCs w:val="20"/>
        </w:rPr>
        <w:t xml:space="preserve">Selected national stakeholders/CSOs (on the rotational basis) and UNDP </w:t>
      </w:r>
      <w:r w:rsidR="00C92056" w:rsidRPr="00306F4D">
        <w:rPr>
          <w:rFonts w:ascii="Arial" w:eastAsia="Arial" w:hAnsi="Arial" w:cs="Arial"/>
          <w:sz w:val="20"/>
          <w:szCs w:val="20"/>
        </w:rPr>
        <w:t xml:space="preserve">Country Office management in the four partner countries. </w:t>
      </w:r>
    </w:p>
    <w:p w14:paraId="797E2741" w14:textId="571BE65B" w:rsidR="001F46B5" w:rsidRPr="00306F4D" w:rsidRDefault="001F46B5" w:rsidP="00F12D4E">
      <w:pPr>
        <w:pStyle w:val="ListParagraph"/>
        <w:numPr>
          <w:ilvl w:val="0"/>
          <w:numId w:val="100"/>
        </w:numPr>
        <w:spacing w:after="0" w:line="240" w:lineRule="auto"/>
        <w:jc w:val="both"/>
        <w:rPr>
          <w:rFonts w:ascii="Arial" w:eastAsia="Arial" w:hAnsi="Arial" w:cs="Arial"/>
          <w:sz w:val="20"/>
          <w:szCs w:val="20"/>
        </w:rPr>
      </w:pPr>
      <w:r w:rsidRPr="00306F4D">
        <w:rPr>
          <w:rFonts w:ascii="Arial" w:eastAsia="Arial" w:hAnsi="Arial" w:cs="Arial"/>
          <w:i/>
          <w:sz w:val="20"/>
          <w:szCs w:val="20"/>
        </w:rPr>
        <w:t>Development Partner</w:t>
      </w:r>
      <w:r w:rsidRPr="00306F4D">
        <w:rPr>
          <w:rFonts w:ascii="Arial" w:eastAsia="Arial" w:hAnsi="Arial" w:cs="Arial"/>
          <w:sz w:val="20"/>
          <w:szCs w:val="20"/>
        </w:rPr>
        <w:t xml:space="preserve">: Individuals or groups representing the interests of the parties concerned that provide funding, strategic guidance and/or technical expertise to the project. The Development Partner </w:t>
      </w:r>
      <w:proofErr w:type="gramStart"/>
      <w:r w:rsidRPr="00306F4D">
        <w:rPr>
          <w:rFonts w:ascii="Arial" w:eastAsia="Arial" w:hAnsi="Arial" w:cs="Arial"/>
          <w:sz w:val="20"/>
          <w:szCs w:val="20"/>
        </w:rPr>
        <w:t>is:</w:t>
      </w:r>
      <w:proofErr w:type="gramEnd"/>
      <w:r w:rsidRPr="00306F4D">
        <w:rPr>
          <w:rFonts w:ascii="Arial" w:eastAsia="Arial" w:hAnsi="Arial" w:cs="Arial"/>
          <w:sz w:val="20"/>
          <w:szCs w:val="20"/>
        </w:rPr>
        <w:t xml:space="preserve"> </w:t>
      </w:r>
      <w:r w:rsidR="00C82C9F" w:rsidRPr="00306F4D">
        <w:rPr>
          <w:rFonts w:ascii="Arial" w:eastAsia="Arial" w:hAnsi="Arial" w:cs="Arial"/>
          <w:sz w:val="20"/>
          <w:szCs w:val="20"/>
        </w:rPr>
        <w:t xml:space="preserve">Representative of the UNDP </w:t>
      </w:r>
      <w:r w:rsidR="00AF56F5" w:rsidRPr="00306F4D">
        <w:rPr>
          <w:rFonts w:ascii="Arial" w:eastAsia="Arial" w:hAnsi="Arial" w:cs="Arial"/>
          <w:sz w:val="20"/>
          <w:szCs w:val="20"/>
        </w:rPr>
        <w:t xml:space="preserve">BPPS </w:t>
      </w:r>
      <w:r w:rsidR="00C82C9F" w:rsidRPr="00306F4D">
        <w:rPr>
          <w:rFonts w:ascii="Arial" w:eastAsia="Arial" w:hAnsi="Arial" w:cs="Arial"/>
          <w:sz w:val="20"/>
          <w:szCs w:val="20"/>
        </w:rPr>
        <w:t>Climate Hub.</w:t>
      </w:r>
    </w:p>
    <w:p w14:paraId="0CACBD5F" w14:textId="77777777" w:rsidR="0007398A" w:rsidRPr="00306F4D" w:rsidRDefault="0007398A" w:rsidP="338C5E83">
      <w:pPr>
        <w:pStyle w:val="BodyText"/>
        <w:spacing w:before="3" w:after="240" w:line="276" w:lineRule="auto"/>
        <w:jc w:val="both"/>
        <w:rPr>
          <w:i/>
          <w:iCs/>
          <w:color w:val="000000" w:themeColor="text1"/>
          <w:sz w:val="20"/>
          <w:szCs w:val="20"/>
        </w:rPr>
      </w:pPr>
    </w:p>
    <w:p w14:paraId="7249A3FD" w14:textId="7CF2E0F3" w:rsidR="002C2ECF" w:rsidRPr="00306F4D" w:rsidRDefault="0007398A" w:rsidP="0007398A">
      <w:pPr>
        <w:spacing w:before="240" w:after="0" w:line="276" w:lineRule="auto"/>
        <w:jc w:val="both"/>
        <w:rPr>
          <w:rStyle w:val="Heading3Char"/>
          <w:rFonts w:ascii="Arial" w:eastAsia="Arial" w:hAnsi="Arial" w:cs="Arial"/>
          <w:sz w:val="20"/>
          <w:szCs w:val="20"/>
          <w:lang w:val="en-GB"/>
        </w:rPr>
      </w:pPr>
      <w:r w:rsidRPr="00306F4D">
        <w:rPr>
          <w:rStyle w:val="Heading3Char"/>
          <w:rFonts w:ascii="Arial" w:eastAsia="Arial" w:hAnsi="Arial" w:cs="Arial"/>
          <w:sz w:val="20"/>
          <w:szCs w:val="20"/>
          <w:lang w:val="en-GB"/>
        </w:rPr>
        <w:t>Project Assurance</w:t>
      </w:r>
    </w:p>
    <w:p w14:paraId="59F04038" w14:textId="748A2210" w:rsidR="00123725" w:rsidRPr="00306F4D" w:rsidRDefault="01E7B400" w:rsidP="338C5E83">
      <w:pPr>
        <w:pStyle w:val="BodyText"/>
        <w:spacing w:before="3" w:after="240" w:line="276" w:lineRule="auto"/>
        <w:jc w:val="both"/>
        <w:rPr>
          <w:sz w:val="20"/>
          <w:szCs w:val="20"/>
        </w:rPr>
      </w:pPr>
      <w:r w:rsidRPr="00306F4D">
        <w:rPr>
          <w:color w:val="000000" w:themeColor="text1"/>
          <w:sz w:val="20"/>
          <w:szCs w:val="20"/>
        </w:rPr>
        <w:t>Project Assurance</w:t>
      </w:r>
      <w:r w:rsidR="75A1735D" w:rsidRPr="00306F4D">
        <w:rPr>
          <w:color w:val="000000" w:themeColor="text1"/>
          <w:sz w:val="20"/>
          <w:szCs w:val="20"/>
        </w:rPr>
        <w:t xml:space="preserve"> is the responsibility of each Steering Committee </w:t>
      </w:r>
      <w:proofErr w:type="gramStart"/>
      <w:r w:rsidR="75A1735D" w:rsidRPr="00306F4D">
        <w:rPr>
          <w:color w:val="000000" w:themeColor="text1"/>
          <w:sz w:val="20"/>
          <w:szCs w:val="20"/>
        </w:rPr>
        <w:t>member,</w:t>
      </w:r>
      <w:proofErr w:type="gramEnd"/>
      <w:r w:rsidR="75A1735D" w:rsidRPr="00306F4D">
        <w:rPr>
          <w:color w:val="000000" w:themeColor="text1"/>
          <w:sz w:val="20"/>
          <w:szCs w:val="20"/>
        </w:rPr>
        <w:t xml:space="preserve"> however the role can be delegated.  The Pro</w:t>
      </w:r>
      <w:r w:rsidR="3540CB19" w:rsidRPr="00306F4D">
        <w:rPr>
          <w:color w:val="000000" w:themeColor="text1"/>
          <w:sz w:val="20"/>
          <w:szCs w:val="20"/>
        </w:rPr>
        <w:t>ject</w:t>
      </w:r>
      <w:r w:rsidR="75A1735D" w:rsidRPr="00306F4D">
        <w:rPr>
          <w:color w:val="000000" w:themeColor="text1"/>
          <w:sz w:val="20"/>
          <w:szCs w:val="20"/>
        </w:rPr>
        <w:t xml:space="preserve"> Assurance role supports the </w:t>
      </w:r>
      <w:r w:rsidR="3540CB19" w:rsidRPr="00306F4D">
        <w:rPr>
          <w:color w:val="000000" w:themeColor="text1"/>
          <w:sz w:val="20"/>
          <w:szCs w:val="20"/>
        </w:rPr>
        <w:t>Steering Co</w:t>
      </w:r>
      <w:r w:rsidR="28660986" w:rsidRPr="00306F4D">
        <w:rPr>
          <w:color w:val="000000" w:themeColor="text1"/>
          <w:sz w:val="20"/>
          <w:szCs w:val="20"/>
        </w:rPr>
        <w:t>m</w:t>
      </w:r>
      <w:r w:rsidR="3540CB19" w:rsidRPr="00306F4D">
        <w:rPr>
          <w:color w:val="000000" w:themeColor="text1"/>
          <w:sz w:val="20"/>
          <w:szCs w:val="20"/>
        </w:rPr>
        <w:t>mittee</w:t>
      </w:r>
      <w:r w:rsidR="75A1735D" w:rsidRPr="00306F4D">
        <w:rPr>
          <w:color w:val="000000" w:themeColor="text1"/>
          <w:sz w:val="20"/>
          <w:szCs w:val="20"/>
        </w:rPr>
        <w:t xml:space="preserve"> by carrying out objective and independent project oversight and monitoring functions. This role ensures appropriate project management milestones are managed and completed. Pro</w:t>
      </w:r>
      <w:r w:rsidR="28660986" w:rsidRPr="00306F4D">
        <w:rPr>
          <w:color w:val="000000" w:themeColor="text1"/>
          <w:sz w:val="20"/>
          <w:szCs w:val="20"/>
        </w:rPr>
        <w:t>ject</w:t>
      </w:r>
      <w:r w:rsidR="75A1735D" w:rsidRPr="00306F4D">
        <w:rPr>
          <w:color w:val="000000" w:themeColor="text1"/>
          <w:sz w:val="20"/>
          <w:szCs w:val="20"/>
        </w:rPr>
        <w:t xml:space="preserve"> Assurance has to be independent of the Programme Manager; </w:t>
      </w:r>
      <w:proofErr w:type="gramStart"/>
      <w:r w:rsidR="75A1735D" w:rsidRPr="00306F4D">
        <w:rPr>
          <w:color w:val="000000" w:themeColor="text1"/>
          <w:sz w:val="20"/>
          <w:szCs w:val="20"/>
        </w:rPr>
        <w:t>therefore</w:t>
      </w:r>
      <w:proofErr w:type="gramEnd"/>
      <w:r w:rsidR="75A1735D" w:rsidRPr="00306F4D">
        <w:rPr>
          <w:color w:val="000000" w:themeColor="text1"/>
          <w:sz w:val="20"/>
          <w:szCs w:val="20"/>
        </w:rPr>
        <w:t xml:space="preserve"> the </w:t>
      </w:r>
      <w:r w:rsidR="28660986" w:rsidRPr="00306F4D">
        <w:rPr>
          <w:color w:val="000000" w:themeColor="text1"/>
          <w:sz w:val="20"/>
          <w:szCs w:val="20"/>
        </w:rPr>
        <w:t>Steering Committee</w:t>
      </w:r>
      <w:r w:rsidR="75A1735D" w:rsidRPr="00306F4D">
        <w:rPr>
          <w:color w:val="000000" w:themeColor="text1"/>
          <w:sz w:val="20"/>
          <w:szCs w:val="20"/>
        </w:rPr>
        <w:t xml:space="preserve"> cannot delegate any of its assurance responsibilities to the </w:t>
      </w:r>
      <w:r w:rsidR="4088D58E" w:rsidRPr="00306F4D">
        <w:rPr>
          <w:color w:val="000000" w:themeColor="text1"/>
          <w:sz w:val="20"/>
          <w:szCs w:val="20"/>
        </w:rPr>
        <w:t xml:space="preserve">Regional </w:t>
      </w:r>
      <w:r w:rsidR="75A1735D" w:rsidRPr="00306F4D">
        <w:rPr>
          <w:color w:val="000000" w:themeColor="text1"/>
          <w:sz w:val="20"/>
          <w:szCs w:val="20"/>
        </w:rPr>
        <w:t>Programme Manager.</w:t>
      </w:r>
      <w:r w:rsidR="4088D58E" w:rsidRPr="00306F4D">
        <w:rPr>
          <w:color w:val="000000" w:themeColor="text1"/>
          <w:sz w:val="20"/>
          <w:szCs w:val="20"/>
        </w:rPr>
        <w:t xml:space="preserve"> </w:t>
      </w:r>
      <w:r w:rsidRPr="00306F4D">
        <w:rPr>
          <w:sz w:val="20"/>
          <w:szCs w:val="20"/>
        </w:rPr>
        <w:t xml:space="preserve">UNDP IRH </w:t>
      </w:r>
      <w:r w:rsidR="4088D58E" w:rsidRPr="00306F4D">
        <w:rPr>
          <w:sz w:val="20"/>
          <w:szCs w:val="20"/>
        </w:rPr>
        <w:t xml:space="preserve">RBM and QA Specialist will </w:t>
      </w:r>
      <w:r w:rsidR="1362A490" w:rsidRPr="00306F4D">
        <w:rPr>
          <w:sz w:val="20"/>
          <w:szCs w:val="20"/>
        </w:rPr>
        <w:t>perform the Quality Assurance role.</w:t>
      </w:r>
    </w:p>
    <w:p w14:paraId="37B9E554" w14:textId="10A03DDF" w:rsidR="00F04FEE" w:rsidRPr="00306F4D" w:rsidRDefault="2F8DFCB0" w:rsidP="338C5E83">
      <w:p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At the national level, the project will be delivered in close collaboration with UNDP Country Offices and relevant national stakeholders. National coordination mechanisms will be established to align implementation with country-specific climate adaptation priorities and ensure ownership. These mechanisms will facilitate structured engagement with civil society organizations (CSOs), micro-, small- and medium-sized enterprises (MSMEs), cooperatives, and government institutions—promoting inclusive participation in the development and scaling of locally-driven adaptation solutions.</w:t>
      </w:r>
      <w:r w:rsidR="005D5F80" w:rsidRPr="00306F4D">
        <w:rPr>
          <w:rFonts w:ascii="Arial" w:eastAsia="Arial" w:hAnsi="Arial" w:cs="Arial"/>
          <w:sz w:val="20"/>
          <w:szCs w:val="20"/>
          <w:lang w:val="en-GB"/>
        </w:rPr>
        <w:t xml:space="preserve"> The UNDP Adaptation Fund Climate Innovation Accelerator (AFCIA) Global Project Team will provide technical support and advice to the Regional Project Management Team, allowing the project to benefit from global knowledge and technical assistance.</w:t>
      </w:r>
    </w:p>
    <w:p w14:paraId="38BA6D8E" w14:textId="54853BAA" w:rsidR="005A4DBD" w:rsidRPr="00306F4D" w:rsidRDefault="6198BBC0" w:rsidP="4186447D">
      <w:pPr>
        <w:spacing w:before="240" w:after="0" w:line="276" w:lineRule="auto"/>
        <w:jc w:val="both"/>
        <w:rPr>
          <w:rStyle w:val="Heading3Char"/>
          <w:rFonts w:ascii="Arial" w:eastAsia="Arial" w:hAnsi="Arial" w:cs="Arial"/>
          <w:sz w:val="20"/>
          <w:szCs w:val="20"/>
          <w:lang w:val="en-GB"/>
        </w:rPr>
      </w:pPr>
      <w:bookmarkStart w:id="184" w:name="_Toc1379292374"/>
      <w:bookmarkStart w:id="185" w:name="_Toc956639286"/>
      <w:r w:rsidRPr="00306F4D">
        <w:rPr>
          <w:rStyle w:val="Heading3Char"/>
          <w:rFonts w:ascii="Arial" w:eastAsia="Arial" w:hAnsi="Arial" w:cs="Arial"/>
          <w:sz w:val="20"/>
          <w:szCs w:val="20"/>
          <w:lang w:val="en-GB"/>
        </w:rPr>
        <w:t>Regional and Inter-Country Coordination</w:t>
      </w:r>
      <w:bookmarkEnd w:id="184"/>
      <w:bookmarkEnd w:id="185"/>
    </w:p>
    <w:p w14:paraId="7E61BD2D" w14:textId="282D108B" w:rsidR="00F04FEE" w:rsidRPr="00306F4D" w:rsidRDefault="0F1963AE" w:rsidP="4186447D">
      <w:p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A</w:t>
      </w:r>
      <w:r w:rsidR="0472DED7" w:rsidRPr="00306F4D">
        <w:rPr>
          <w:rFonts w:ascii="Arial" w:eastAsia="Arial" w:hAnsi="Arial" w:cs="Arial"/>
          <w:sz w:val="20"/>
          <w:szCs w:val="20"/>
          <w:lang w:val="en-GB"/>
        </w:rPr>
        <w:t>s is the practice in similar regional projects, the</w:t>
      </w:r>
      <w:r w:rsidR="322FF81E" w:rsidRPr="00306F4D">
        <w:rPr>
          <w:rFonts w:ascii="Arial" w:eastAsia="Arial" w:hAnsi="Arial" w:cs="Arial"/>
          <w:sz w:val="20"/>
          <w:szCs w:val="20"/>
          <w:lang w:val="en-GB"/>
        </w:rPr>
        <w:t xml:space="preserve"> project team led by the Regional Project Manager acts as one consolidated team regardless of physical location</w:t>
      </w:r>
      <w:r w:rsidR="0C6D582C" w:rsidRPr="00306F4D">
        <w:rPr>
          <w:rFonts w:ascii="Arial" w:eastAsia="Arial" w:hAnsi="Arial" w:cs="Arial"/>
          <w:sz w:val="20"/>
          <w:szCs w:val="20"/>
          <w:lang w:val="en-GB"/>
        </w:rPr>
        <w:t xml:space="preserve">. Building on IRH’s solid experience on </w:t>
      </w:r>
      <w:r w:rsidR="43B35C67" w:rsidRPr="00306F4D">
        <w:rPr>
          <w:rFonts w:ascii="Arial" w:eastAsia="Arial" w:hAnsi="Arial" w:cs="Arial"/>
          <w:sz w:val="20"/>
          <w:szCs w:val="20"/>
          <w:lang w:val="en-GB"/>
        </w:rPr>
        <w:t>distributed teams and implementation and the SOP for regional programming, a</w:t>
      </w:r>
      <w:r w:rsidR="6198BBC0" w:rsidRPr="00306F4D">
        <w:rPr>
          <w:rFonts w:ascii="Arial" w:eastAsia="Arial" w:hAnsi="Arial" w:cs="Arial"/>
          <w:sz w:val="20"/>
          <w:szCs w:val="20"/>
          <w:lang w:val="en-GB"/>
        </w:rPr>
        <w:t xml:space="preserve"> regional coordination </w:t>
      </w:r>
      <w:r w:rsidR="43B35C67" w:rsidRPr="00306F4D">
        <w:rPr>
          <w:rFonts w:ascii="Arial" w:eastAsia="Arial" w:hAnsi="Arial" w:cs="Arial"/>
          <w:sz w:val="20"/>
          <w:szCs w:val="20"/>
          <w:lang w:val="en-GB"/>
        </w:rPr>
        <w:t>mechanism</w:t>
      </w:r>
      <w:r w:rsidR="6198BBC0" w:rsidRPr="00306F4D">
        <w:rPr>
          <w:rFonts w:ascii="Arial" w:eastAsia="Arial" w:hAnsi="Arial" w:cs="Arial"/>
          <w:sz w:val="20"/>
          <w:szCs w:val="20"/>
          <w:lang w:val="en-GB"/>
        </w:rPr>
        <w:t xml:space="preserve"> will be established to foster collaboration, peer learning, and knowledge exchange across the four countries</w:t>
      </w:r>
      <w:r w:rsidR="43B35C67" w:rsidRPr="00306F4D">
        <w:rPr>
          <w:rFonts w:ascii="Arial" w:eastAsia="Arial" w:hAnsi="Arial" w:cs="Arial"/>
          <w:sz w:val="20"/>
          <w:szCs w:val="20"/>
          <w:lang w:val="en-GB"/>
        </w:rPr>
        <w:t xml:space="preserve"> within UNDP offices and alongside partners</w:t>
      </w:r>
      <w:r w:rsidRPr="00306F4D">
        <w:rPr>
          <w:rFonts w:ascii="Arial" w:eastAsia="Arial" w:hAnsi="Arial" w:cs="Arial"/>
          <w:sz w:val="20"/>
          <w:szCs w:val="20"/>
          <w:lang w:val="en-GB"/>
        </w:rPr>
        <w:t>. Th</w:t>
      </w:r>
      <w:r w:rsidR="43B35C67" w:rsidRPr="00306F4D">
        <w:rPr>
          <w:rFonts w:ascii="Arial" w:eastAsia="Arial" w:hAnsi="Arial" w:cs="Arial"/>
          <w:sz w:val="20"/>
          <w:szCs w:val="20"/>
          <w:lang w:val="en-GB"/>
        </w:rPr>
        <w:t xml:space="preserve">e </w:t>
      </w:r>
      <w:r w:rsidR="68302D6E" w:rsidRPr="00306F4D">
        <w:rPr>
          <w:rFonts w:ascii="Arial" w:eastAsia="Arial" w:hAnsi="Arial" w:cs="Arial"/>
          <w:sz w:val="20"/>
          <w:szCs w:val="20"/>
          <w:lang w:val="en-GB"/>
        </w:rPr>
        <w:t xml:space="preserve">distributed </w:t>
      </w:r>
      <w:r w:rsidR="43B35C67" w:rsidRPr="00306F4D">
        <w:rPr>
          <w:rFonts w:ascii="Arial" w:eastAsia="Arial" w:hAnsi="Arial" w:cs="Arial"/>
          <w:sz w:val="20"/>
          <w:szCs w:val="20"/>
          <w:lang w:val="en-GB"/>
        </w:rPr>
        <w:t xml:space="preserve">project </w:t>
      </w:r>
      <w:r w:rsidR="388ACC07" w:rsidRPr="00306F4D">
        <w:rPr>
          <w:rFonts w:ascii="Arial" w:eastAsia="Arial" w:hAnsi="Arial" w:cs="Arial"/>
          <w:sz w:val="20"/>
          <w:szCs w:val="20"/>
          <w:lang w:val="en-GB"/>
        </w:rPr>
        <w:t xml:space="preserve">team </w:t>
      </w:r>
      <w:r w:rsidR="68302D6E" w:rsidRPr="00306F4D">
        <w:rPr>
          <w:rFonts w:ascii="Arial" w:eastAsia="Arial" w:hAnsi="Arial" w:cs="Arial"/>
          <w:sz w:val="20"/>
          <w:szCs w:val="20"/>
          <w:lang w:val="en-GB"/>
        </w:rPr>
        <w:t>carries out</w:t>
      </w:r>
      <w:r w:rsidR="6198BBC0" w:rsidRPr="00306F4D">
        <w:rPr>
          <w:rFonts w:ascii="Arial" w:eastAsia="Arial" w:hAnsi="Arial" w:cs="Arial"/>
          <w:sz w:val="20"/>
          <w:szCs w:val="20"/>
          <w:lang w:val="en-GB"/>
        </w:rPr>
        <w:t xml:space="preserve"> regular joint activities including technical working groups, learning events, peer-to-peer exchanges, and innovation showcases</w:t>
      </w:r>
      <w:r w:rsidR="58F2B1CF" w:rsidRPr="00306F4D">
        <w:rPr>
          <w:rFonts w:ascii="Arial" w:eastAsia="Arial" w:hAnsi="Arial" w:cs="Arial"/>
          <w:sz w:val="20"/>
          <w:szCs w:val="20"/>
          <w:lang w:val="en-GB"/>
        </w:rPr>
        <w:t xml:space="preserve"> and relevant as needed, in addition to the country specific</w:t>
      </w:r>
      <w:r w:rsidR="3D98180D" w:rsidRPr="00306F4D">
        <w:rPr>
          <w:rFonts w:ascii="Arial" w:eastAsia="Arial" w:hAnsi="Arial" w:cs="Arial"/>
          <w:sz w:val="20"/>
          <w:szCs w:val="20"/>
          <w:lang w:val="en-GB"/>
        </w:rPr>
        <w:t>/led</w:t>
      </w:r>
      <w:r w:rsidR="58F2B1CF" w:rsidRPr="00306F4D">
        <w:rPr>
          <w:rFonts w:ascii="Arial" w:eastAsia="Arial" w:hAnsi="Arial" w:cs="Arial"/>
          <w:sz w:val="20"/>
          <w:szCs w:val="20"/>
          <w:lang w:val="en-GB"/>
        </w:rPr>
        <w:t xml:space="preserve"> activities</w:t>
      </w:r>
      <w:r w:rsidRPr="00306F4D">
        <w:rPr>
          <w:rFonts w:ascii="Arial" w:eastAsia="Arial" w:hAnsi="Arial" w:cs="Arial"/>
          <w:sz w:val="20"/>
          <w:szCs w:val="20"/>
          <w:lang w:val="en-GB"/>
        </w:rPr>
        <w:t>.</w:t>
      </w:r>
      <w:r w:rsidR="6198BBC0" w:rsidRPr="00306F4D">
        <w:rPr>
          <w:rFonts w:ascii="Arial" w:eastAsia="Arial" w:hAnsi="Arial" w:cs="Arial"/>
          <w:sz w:val="20"/>
          <w:szCs w:val="20"/>
          <w:lang w:val="en-GB"/>
        </w:rPr>
        <w:t xml:space="preserve"> These efforts aim to facilitate the sharing of </w:t>
      </w:r>
      <w:r w:rsidR="3D98180D" w:rsidRPr="00306F4D">
        <w:rPr>
          <w:rFonts w:ascii="Arial" w:eastAsia="Arial" w:hAnsi="Arial" w:cs="Arial"/>
          <w:sz w:val="20"/>
          <w:szCs w:val="20"/>
          <w:lang w:val="en-GB"/>
        </w:rPr>
        <w:t>good</w:t>
      </w:r>
      <w:r w:rsidR="6198BBC0" w:rsidRPr="00306F4D">
        <w:rPr>
          <w:rFonts w:ascii="Arial" w:eastAsia="Arial" w:hAnsi="Arial" w:cs="Arial"/>
          <w:sz w:val="20"/>
          <w:szCs w:val="20"/>
          <w:lang w:val="en-GB"/>
        </w:rPr>
        <w:t xml:space="preserve"> practices, refine innovative solutions, and enable replication and scaling of successful approaches across the region.</w:t>
      </w:r>
    </w:p>
    <w:p w14:paraId="5207B75D" w14:textId="2D326CD9" w:rsidR="00F04FEE" w:rsidRPr="00306F4D" w:rsidRDefault="6BAAA2BD" w:rsidP="4186447D">
      <w:pPr>
        <w:spacing w:before="240"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This coordination framework will also leverage engagement with regional development partners and platforms to promote policy coherence, optimize resource use, and enhance collective impact. The model promotes cross-border collaboration while remaining responsive to national contexts and institutional frameworks.</w:t>
      </w:r>
    </w:p>
    <w:p w14:paraId="7ED4510A" w14:textId="0121A77A" w:rsidR="002206EB" w:rsidRPr="00306F4D" w:rsidRDefault="52A4C6A7" w:rsidP="4186447D">
      <w:pPr>
        <w:spacing w:after="0" w:line="276" w:lineRule="auto"/>
        <w:contextualSpacing/>
        <w:jc w:val="both"/>
        <w:rPr>
          <w:rStyle w:val="Heading3Char"/>
          <w:rFonts w:ascii="Arial" w:eastAsia="Arial" w:hAnsi="Arial" w:cs="Arial"/>
          <w:sz w:val="20"/>
          <w:szCs w:val="20"/>
          <w:lang w:val="en-GB"/>
        </w:rPr>
      </w:pPr>
      <w:r w:rsidRPr="00306F4D">
        <w:rPr>
          <w:rStyle w:val="Heading3Char"/>
          <w:rFonts w:ascii="Arial" w:eastAsia="Arial" w:hAnsi="Arial" w:cs="Arial"/>
          <w:sz w:val="20"/>
          <w:szCs w:val="20"/>
          <w:lang w:val="en-GB"/>
        </w:rPr>
        <w:t xml:space="preserve">Regional </w:t>
      </w:r>
      <w:r w:rsidR="77C62704" w:rsidRPr="00306F4D">
        <w:rPr>
          <w:rStyle w:val="Heading3Char"/>
          <w:rFonts w:ascii="Arial" w:eastAsia="Arial" w:hAnsi="Arial" w:cs="Arial"/>
          <w:sz w:val="20"/>
          <w:szCs w:val="20"/>
          <w:lang w:val="en-GB"/>
        </w:rPr>
        <w:t>Project Team</w:t>
      </w:r>
    </w:p>
    <w:p w14:paraId="197F2283" w14:textId="1673F924" w:rsidR="00A838C5" w:rsidRPr="00306F4D" w:rsidRDefault="6A18FB7F" w:rsidP="4186447D">
      <w:pPr>
        <w:spacing w:after="240" w:line="276" w:lineRule="auto"/>
        <w:jc w:val="both"/>
        <w:rPr>
          <w:rFonts w:ascii="Arial" w:eastAsia="Arial" w:hAnsi="Arial" w:cs="Arial"/>
          <w:sz w:val="20"/>
          <w:szCs w:val="20"/>
          <w:lang w:val="en-GB"/>
        </w:rPr>
      </w:pPr>
      <w:r w:rsidRPr="00306F4D">
        <w:rPr>
          <w:rFonts w:ascii="Arial" w:eastAsia="Arial" w:hAnsi="Arial" w:cs="Arial"/>
          <w:sz w:val="20"/>
          <w:szCs w:val="20"/>
          <w:lang w:val="en-GB"/>
        </w:rPr>
        <w:t>UNDP will maintain a team of professional project personnel who will be directly involved in the implementation and monitoring of the project. The personnel time allocated to the implementation of the project will be duly recorded. The team will consist of the regional project management unit under IRH however based in one of the implementing Western Balkan countries within a UNDP Country Office</w:t>
      </w:r>
      <w:r w:rsidR="3A65AE38" w:rsidRPr="00306F4D">
        <w:rPr>
          <w:rFonts w:ascii="Arial" w:eastAsia="Arial" w:hAnsi="Arial" w:cs="Arial"/>
          <w:sz w:val="20"/>
          <w:szCs w:val="20"/>
          <w:lang w:val="en-GB"/>
        </w:rPr>
        <w:t xml:space="preserve">, working </w:t>
      </w:r>
      <w:r w:rsidR="507D8474" w:rsidRPr="00306F4D">
        <w:rPr>
          <w:rFonts w:ascii="Arial" w:eastAsia="Arial" w:hAnsi="Arial" w:cs="Arial"/>
          <w:sz w:val="20"/>
          <w:szCs w:val="20"/>
          <w:lang w:val="en-GB"/>
        </w:rPr>
        <w:t xml:space="preserve">as one project team with </w:t>
      </w:r>
      <w:r w:rsidRPr="00306F4D">
        <w:rPr>
          <w:rFonts w:ascii="Arial" w:eastAsia="Arial" w:hAnsi="Arial" w:cs="Arial"/>
          <w:sz w:val="20"/>
          <w:szCs w:val="20"/>
          <w:lang w:val="en-GB"/>
        </w:rPr>
        <w:t xml:space="preserve">the personnel supporting the project from </w:t>
      </w:r>
      <w:r w:rsidR="09B2BFE5" w:rsidRPr="00306F4D">
        <w:rPr>
          <w:rFonts w:ascii="Arial" w:eastAsia="Arial" w:hAnsi="Arial" w:cs="Arial"/>
          <w:sz w:val="20"/>
          <w:szCs w:val="20"/>
          <w:lang w:val="en-GB"/>
        </w:rPr>
        <w:t xml:space="preserve">the other implementing </w:t>
      </w:r>
      <w:r w:rsidRPr="00306F4D">
        <w:rPr>
          <w:rFonts w:ascii="Arial" w:eastAsia="Arial" w:hAnsi="Arial" w:cs="Arial"/>
          <w:sz w:val="20"/>
          <w:szCs w:val="20"/>
          <w:lang w:val="en-GB"/>
        </w:rPr>
        <w:t>UNDP Country Offices</w:t>
      </w:r>
      <w:r w:rsidR="09B2BFE5" w:rsidRPr="00306F4D">
        <w:rPr>
          <w:rFonts w:ascii="Arial" w:eastAsia="Arial" w:hAnsi="Arial" w:cs="Arial"/>
          <w:sz w:val="20"/>
          <w:szCs w:val="20"/>
          <w:lang w:val="en-GB"/>
        </w:rPr>
        <w:t>, and alongside</w:t>
      </w:r>
      <w:r w:rsidRPr="00306F4D">
        <w:rPr>
          <w:rFonts w:ascii="Arial" w:eastAsia="Arial" w:hAnsi="Arial" w:cs="Arial"/>
          <w:sz w:val="20"/>
          <w:szCs w:val="20"/>
          <w:lang w:val="en-GB"/>
        </w:rPr>
        <w:t xml:space="preserve">. Together </w:t>
      </w:r>
      <w:r w:rsidRPr="00306F4D">
        <w:rPr>
          <w:rFonts w:ascii="Arial" w:eastAsia="Arial" w:hAnsi="Arial" w:cs="Arial"/>
          <w:sz w:val="20"/>
          <w:szCs w:val="20"/>
          <w:lang w:val="en-GB"/>
        </w:rPr>
        <w:lastRenderedPageBreak/>
        <w:t xml:space="preserve">they make up the Secretariats of the </w:t>
      </w:r>
      <w:r w:rsidR="3FD47470" w:rsidRPr="00306F4D">
        <w:rPr>
          <w:rFonts w:ascii="Arial" w:eastAsia="Arial" w:hAnsi="Arial" w:cs="Arial"/>
          <w:sz w:val="20"/>
          <w:szCs w:val="20"/>
          <w:lang w:val="en-GB"/>
        </w:rPr>
        <w:t>Regional Project</w:t>
      </w:r>
      <w:r w:rsidRPr="00306F4D">
        <w:rPr>
          <w:rFonts w:ascii="Arial" w:eastAsia="Arial" w:hAnsi="Arial" w:cs="Arial"/>
          <w:sz w:val="20"/>
          <w:szCs w:val="20"/>
          <w:lang w:val="en-GB"/>
        </w:rPr>
        <w:t>. UNDP personnel will ensure high quality in the development and implementation of activities, provide insight generation, maintain relationships and ensure smooth delivery of the</w:t>
      </w:r>
      <w:r w:rsidR="1B974F5E" w:rsidRPr="00306F4D">
        <w:rPr>
          <w:rFonts w:ascii="Arial" w:eastAsia="Arial" w:hAnsi="Arial" w:cs="Arial"/>
          <w:sz w:val="20"/>
          <w:szCs w:val="20"/>
          <w:lang w:val="en-GB"/>
        </w:rPr>
        <w:t xml:space="preserve"> project</w:t>
      </w:r>
      <w:r w:rsidR="13B3792F" w:rsidRPr="00306F4D">
        <w:rPr>
          <w:rFonts w:ascii="Arial" w:eastAsia="Arial" w:hAnsi="Arial" w:cs="Arial"/>
          <w:sz w:val="20"/>
          <w:szCs w:val="20"/>
          <w:lang w:val="en-GB"/>
        </w:rPr>
        <w:t xml:space="preserve"> </w:t>
      </w:r>
      <w:r w:rsidR="13B3792F" w:rsidRPr="00306F4D">
        <w:rPr>
          <w:rFonts w:ascii="Arial" w:hAnsi="Arial" w:cs="Arial"/>
          <w:sz w:val="20"/>
          <w:szCs w:val="20"/>
        </w:rPr>
        <w:t>The UNDP Country Offices (COs) will implement in-country activities as per agreed workplans. IRH will ensure financial allocations to Country Offices as per established workplans / activities for each of the country. The assigned CO staff will support the project implementation, monitoring, and contribute to the financial and operational closure and final reporting.</w:t>
      </w:r>
    </w:p>
    <w:p w14:paraId="731698A3" w14:textId="500BD402" w:rsidR="00F04FEE" w:rsidRPr="00306F4D" w:rsidRDefault="6198BBC0" w:rsidP="58D8FBEF">
      <w:pPr>
        <w:spacing w:before="240" w:after="240" w:line="276" w:lineRule="auto"/>
        <w:rPr>
          <w:rFonts w:ascii="Arial" w:eastAsia="Arial" w:hAnsi="Arial" w:cs="Arial"/>
          <w:sz w:val="20"/>
          <w:szCs w:val="20"/>
          <w:lang w:val="en-GB"/>
        </w:rPr>
      </w:pPr>
      <w:bookmarkStart w:id="186" w:name="_Toc791386235"/>
      <w:bookmarkStart w:id="187" w:name="_Toc640645951"/>
      <w:r w:rsidRPr="00306F4D">
        <w:rPr>
          <w:rStyle w:val="Heading3Char"/>
          <w:rFonts w:ascii="Arial" w:eastAsia="Arial" w:hAnsi="Arial" w:cs="Arial"/>
          <w:sz w:val="20"/>
          <w:szCs w:val="20"/>
          <w:lang w:val="en-GB"/>
        </w:rPr>
        <w:t>Partnerships with National Institutions</w:t>
      </w:r>
      <w:bookmarkEnd w:id="186"/>
      <w:bookmarkEnd w:id="187"/>
      <w:r w:rsidRPr="00306F4D">
        <w:rPr>
          <w:rStyle w:val="Heading3Char"/>
          <w:rFonts w:ascii="Arial" w:eastAsia="Arial" w:hAnsi="Arial" w:cs="Arial"/>
          <w:sz w:val="20"/>
          <w:szCs w:val="20"/>
          <w:lang w:val="en-GB"/>
        </w:rPr>
        <w:t xml:space="preserve"> </w:t>
      </w:r>
      <w:r w:rsidR="3C5ACEB6" w:rsidRPr="00306F4D">
        <w:rPr>
          <w:rFonts w:ascii="Arial" w:hAnsi="Arial" w:cs="Arial"/>
          <w:sz w:val="20"/>
          <w:szCs w:val="20"/>
        </w:rPr>
        <w:br/>
      </w:r>
      <w:r w:rsidRPr="00306F4D">
        <w:rPr>
          <w:rFonts w:ascii="Arial" w:eastAsia="Arial" w:hAnsi="Arial" w:cs="Arial"/>
          <w:sz w:val="20"/>
          <w:szCs w:val="20"/>
          <w:lang w:val="en-GB"/>
        </w:rPr>
        <w:t>Strategic engagement with national institutions is integral to the project’s approach. Through UNDP Country Offices, the project will work closely with ministries and public agencies responsible for climate change adaptation, environment, and sustainable development to ensure strong alignment with national policy frameworks, including Nationally Determined Contributions (NDCs) and National Adaptation Plans (NAPs).</w:t>
      </w:r>
    </w:p>
    <w:p w14:paraId="1F75B6CC" w14:textId="3E1E8F68" w:rsidR="00F04FEE" w:rsidRPr="00306F4D" w:rsidRDefault="1287EA2F" w:rsidP="00FC2E4E">
      <w:pPr>
        <w:spacing w:before="240" w:after="240" w:line="276" w:lineRule="auto"/>
        <w:rPr>
          <w:rFonts w:ascii="Arial" w:eastAsia="Arial" w:hAnsi="Arial" w:cs="Arial"/>
          <w:sz w:val="20"/>
          <w:szCs w:val="20"/>
          <w:lang w:val="en-GB"/>
        </w:rPr>
      </w:pPr>
      <w:r w:rsidRPr="00306F4D">
        <w:rPr>
          <w:rFonts w:ascii="Arial" w:eastAsia="Arial" w:hAnsi="Arial" w:cs="Arial"/>
          <w:sz w:val="20"/>
          <w:szCs w:val="20"/>
          <w:lang w:val="en-GB"/>
        </w:rPr>
        <w:t xml:space="preserve">The Adaptation Fund´s </w:t>
      </w:r>
      <w:hyperlink r:id="rId65">
        <w:r w:rsidRPr="00306F4D">
          <w:rPr>
            <w:rStyle w:val="Hyperlink"/>
            <w:rFonts w:ascii="Arial" w:eastAsia="Arial" w:hAnsi="Arial" w:cs="Arial"/>
            <w:sz w:val="20"/>
            <w:szCs w:val="20"/>
            <w:lang w:val="en-GB"/>
          </w:rPr>
          <w:t>website</w:t>
        </w:r>
      </w:hyperlink>
      <w:r w:rsidRPr="00306F4D">
        <w:rPr>
          <w:rFonts w:ascii="Arial" w:eastAsia="Arial" w:hAnsi="Arial" w:cs="Arial"/>
          <w:sz w:val="20"/>
          <w:szCs w:val="20"/>
          <w:lang w:val="en-GB"/>
        </w:rPr>
        <w:t xml:space="preserve"> indicates that there are no </w:t>
      </w:r>
      <w:r w:rsidR="3BAE514B" w:rsidRPr="00306F4D">
        <w:rPr>
          <w:rFonts w:ascii="Arial" w:eastAsia="Arial" w:hAnsi="Arial" w:cs="Arial"/>
          <w:sz w:val="20"/>
          <w:szCs w:val="20"/>
          <w:lang w:val="en-GB"/>
        </w:rPr>
        <w:t xml:space="preserve">National Implementing Entities (NIEs) operating in the </w:t>
      </w:r>
      <w:r w:rsidRPr="00306F4D">
        <w:rPr>
          <w:rFonts w:ascii="Arial" w:eastAsia="Arial" w:hAnsi="Arial" w:cs="Arial"/>
          <w:sz w:val="20"/>
          <w:szCs w:val="20"/>
          <w:lang w:val="en-GB"/>
        </w:rPr>
        <w:t xml:space="preserve">Western Balkans </w:t>
      </w:r>
      <w:r w:rsidR="3BAE514B" w:rsidRPr="00306F4D">
        <w:rPr>
          <w:rFonts w:ascii="Arial" w:eastAsia="Arial" w:hAnsi="Arial" w:cs="Arial"/>
          <w:sz w:val="20"/>
          <w:szCs w:val="20"/>
          <w:lang w:val="en-GB"/>
        </w:rPr>
        <w:t>region</w:t>
      </w:r>
      <w:r w:rsidR="73647E0C" w:rsidRPr="00306F4D">
        <w:rPr>
          <w:rFonts w:ascii="Arial" w:eastAsia="Arial" w:hAnsi="Arial" w:cs="Arial"/>
          <w:sz w:val="20"/>
          <w:szCs w:val="20"/>
          <w:lang w:val="en-GB"/>
        </w:rPr>
        <w:t>. However, the</w:t>
      </w:r>
      <w:r w:rsidRPr="00306F4D">
        <w:rPr>
          <w:rFonts w:ascii="Arial" w:eastAsia="Arial" w:hAnsi="Arial" w:cs="Arial"/>
          <w:sz w:val="20"/>
          <w:szCs w:val="20"/>
          <w:lang w:val="en-GB"/>
        </w:rPr>
        <w:t xml:space="preserve"> Regional </w:t>
      </w:r>
      <w:r w:rsidR="73647E0C" w:rsidRPr="00306F4D">
        <w:rPr>
          <w:rFonts w:ascii="Arial" w:eastAsia="Arial" w:hAnsi="Arial" w:cs="Arial"/>
          <w:sz w:val="20"/>
          <w:szCs w:val="20"/>
          <w:lang w:val="en-GB"/>
        </w:rPr>
        <w:t>Programme</w:t>
      </w:r>
      <w:r w:rsidRPr="00306F4D">
        <w:rPr>
          <w:rFonts w:ascii="Arial" w:eastAsia="Arial" w:hAnsi="Arial" w:cs="Arial"/>
          <w:sz w:val="20"/>
          <w:szCs w:val="20"/>
          <w:lang w:val="en-GB"/>
        </w:rPr>
        <w:t xml:space="preserve"> will</w:t>
      </w:r>
      <w:r w:rsidR="3BAE514B" w:rsidRPr="00306F4D">
        <w:rPr>
          <w:rFonts w:ascii="Arial" w:eastAsia="Arial" w:hAnsi="Arial" w:cs="Arial"/>
          <w:sz w:val="20"/>
          <w:szCs w:val="20"/>
          <w:lang w:val="en-GB"/>
        </w:rPr>
        <w:t xml:space="preserve"> </w:t>
      </w:r>
      <w:r w:rsidR="73647E0C" w:rsidRPr="00306F4D">
        <w:rPr>
          <w:rFonts w:ascii="Arial" w:eastAsia="Arial" w:hAnsi="Arial" w:cs="Arial"/>
          <w:sz w:val="20"/>
          <w:szCs w:val="20"/>
          <w:lang w:val="en-GB"/>
        </w:rPr>
        <w:t>map out relevant</w:t>
      </w:r>
      <w:r w:rsidR="420B3C0E" w:rsidRPr="00306F4D">
        <w:rPr>
          <w:rFonts w:ascii="Arial" w:eastAsia="Arial" w:hAnsi="Arial" w:cs="Arial"/>
          <w:sz w:val="20"/>
          <w:szCs w:val="20"/>
          <w:lang w:val="en-GB"/>
        </w:rPr>
        <w:t xml:space="preserve"> NIEs </w:t>
      </w:r>
      <w:r w:rsidR="73647E0C" w:rsidRPr="00306F4D">
        <w:rPr>
          <w:rFonts w:ascii="Arial" w:eastAsia="Arial" w:hAnsi="Arial" w:cs="Arial"/>
          <w:sz w:val="20"/>
          <w:szCs w:val="20"/>
          <w:lang w:val="en-GB"/>
        </w:rPr>
        <w:t>and national</w:t>
      </w:r>
      <w:r w:rsidR="3BAE514B" w:rsidRPr="00306F4D">
        <w:rPr>
          <w:rFonts w:ascii="Arial" w:eastAsia="Arial" w:hAnsi="Arial" w:cs="Arial"/>
          <w:sz w:val="20"/>
          <w:szCs w:val="20"/>
          <w:lang w:val="en-GB"/>
        </w:rPr>
        <w:t xml:space="preserve"> </w:t>
      </w:r>
      <w:r w:rsidR="62F2C848" w:rsidRPr="00306F4D">
        <w:rPr>
          <w:rFonts w:ascii="Arial" w:eastAsia="Arial" w:hAnsi="Arial" w:cs="Arial"/>
          <w:sz w:val="20"/>
          <w:szCs w:val="20"/>
          <w:lang w:val="en-GB"/>
        </w:rPr>
        <w:t>agencies that would benefit from</w:t>
      </w:r>
      <w:r w:rsidR="3BAE514B" w:rsidRPr="00306F4D">
        <w:rPr>
          <w:rFonts w:ascii="Arial" w:eastAsia="Arial" w:hAnsi="Arial" w:cs="Arial"/>
          <w:sz w:val="20"/>
          <w:szCs w:val="20"/>
          <w:lang w:val="en-GB"/>
        </w:rPr>
        <w:t xml:space="preserve"> knowledge sharing, build on existing innovation grant experiences, and contribut</w:t>
      </w:r>
      <w:r w:rsidR="1943F6BE" w:rsidRPr="00306F4D">
        <w:rPr>
          <w:rFonts w:ascii="Arial" w:eastAsia="Arial" w:hAnsi="Arial" w:cs="Arial"/>
          <w:sz w:val="20"/>
          <w:szCs w:val="20"/>
          <w:lang w:val="en-GB"/>
        </w:rPr>
        <w:t>ing</w:t>
      </w:r>
      <w:r w:rsidR="3BAE514B" w:rsidRPr="00306F4D">
        <w:rPr>
          <w:rFonts w:ascii="Arial" w:eastAsia="Arial" w:hAnsi="Arial" w:cs="Arial"/>
          <w:sz w:val="20"/>
          <w:szCs w:val="20"/>
          <w:lang w:val="en-GB"/>
        </w:rPr>
        <w:t xml:space="preserve"> to the replication of scalable solutions</w:t>
      </w:r>
      <w:r w:rsidR="5563816F" w:rsidRPr="00306F4D">
        <w:rPr>
          <w:rFonts w:ascii="Arial" w:eastAsia="Arial" w:hAnsi="Arial" w:cs="Arial"/>
          <w:sz w:val="20"/>
          <w:szCs w:val="20"/>
          <w:lang w:val="en-GB"/>
        </w:rPr>
        <w:t xml:space="preserve">, </w:t>
      </w:r>
      <w:r w:rsidR="3BAE514B" w:rsidRPr="00306F4D">
        <w:rPr>
          <w:rFonts w:ascii="Arial" w:eastAsia="Arial" w:hAnsi="Arial" w:cs="Arial"/>
          <w:sz w:val="20"/>
          <w:szCs w:val="20"/>
          <w:lang w:val="en-GB"/>
        </w:rPr>
        <w:t>enhancing coherence between global adaptation financing and local implementation efforts.</w:t>
      </w:r>
    </w:p>
    <w:p w14:paraId="617813DC" w14:textId="5B355BC7" w:rsidR="00F04FEE" w:rsidRPr="00306F4D" w:rsidRDefault="53462996" w:rsidP="00413459">
      <w:pPr>
        <w:spacing w:before="240" w:after="240" w:line="276" w:lineRule="auto"/>
        <w:jc w:val="both"/>
        <w:rPr>
          <w:rFonts w:ascii="Arial" w:eastAsia="Arial" w:hAnsi="Arial" w:cs="Arial"/>
          <w:sz w:val="20"/>
          <w:szCs w:val="20"/>
          <w:lang w:val="en-GB"/>
        </w:rPr>
      </w:pPr>
      <w:bookmarkStart w:id="188" w:name="_Toc868171695"/>
      <w:bookmarkStart w:id="189" w:name="_Toc941543563"/>
      <w:r w:rsidRPr="00306F4D">
        <w:rPr>
          <w:rStyle w:val="Heading3Char"/>
          <w:rFonts w:ascii="Arial" w:eastAsia="Arial" w:hAnsi="Arial" w:cs="Arial"/>
          <w:sz w:val="20"/>
          <w:szCs w:val="20"/>
          <w:lang w:val="en-GB"/>
        </w:rPr>
        <w:t>Stakeholder Engagement</w:t>
      </w:r>
      <w:bookmarkEnd w:id="188"/>
      <w:bookmarkEnd w:id="189"/>
      <w:r w:rsidR="6BAAA2BD" w:rsidRPr="00306F4D">
        <w:br/>
      </w:r>
      <w:r w:rsidR="3BAE514B" w:rsidRPr="00306F4D">
        <w:rPr>
          <w:rFonts w:ascii="Arial" w:eastAsia="Arial" w:hAnsi="Arial" w:cs="Arial"/>
          <w:sz w:val="20"/>
          <w:szCs w:val="20"/>
          <w:lang w:val="en-GB"/>
        </w:rPr>
        <w:t>A strong emphasis will be placed on inclusive, multi-stakeholder engagement at all levels. The project will actively involve CSOs, the private sector, academia, and regional and international partners to co-create, implement, and scale solutions. This collaborative framework fosters a dynamic innovation ecosystem, reinforces social ownership, and supports systemic resilience in the Western Balkans.</w:t>
      </w:r>
    </w:p>
    <w:p w14:paraId="2944796E" w14:textId="5B3057DD" w:rsidR="643609CA" w:rsidRPr="00306F4D" w:rsidRDefault="53462996" w:rsidP="00413459">
      <w:pPr>
        <w:spacing w:before="240" w:after="240" w:line="276" w:lineRule="auto"/>
        <w:jc w:val="both"/>
        <w:rPr>
          <w:rFonts w:ascii="Arial" w:eastAsia="Arial" w:hAnsi="Arial" w:cs="Arial"/>
          <w:sz w:val="20"/>
          <w:szCs w:val="20"/>
          <w:lang w:val="en-GB"/>
        </w:rPr>
      </w:pPr>
      <w:bookmarkStart w:id="190" w:name="_Toc151502016"/>
      <w:bookmarkStart w:id="191" w:name="_Toc2086189908"/>
      <w:r w:rsidRPr="00306F4D">
        <w:rPr>
          <w:rStyle w:val="Heading3Char"/>
          <w:rFonts w:ascii="Arial" w:eastAsia="Arial" w:hAnsi="Arial" w:cs="Arial"/>
          <w:sz w:val="20"/>
          <w:szCs w:val="20"/>
          <w:lang w:val="en-GB"/>
        </w:rPr>
        <w:t>Knowledge Management and Monitoring</w:t>
      </w:r>
      <w:bookmarkEnd w:id="190"/>
      <w:bookmarkEnd w:id="191"/>
      <w:r w:rsidR="6198BBC0" w:rsidRPr="00306F4D">
        <w:br/>
      </w:r>
      <w:r w:rsidRPr="00306F4D">
        <w:rPr>
          <w:rFonts w:ascii="Arial" w:eastAsia="Arial" w:hAnsi="Arial" w:cs="Arial"/>
          <w:sz w:val="20"/>
          <w:szCs w:val="20"/>
          <w:lang w:val="en-GB"/>
        </w:rPr>
        <w:t>A robust results-based monitoring and evaluation (</w:t>
      </w:r>
      <w:r w:rsidR="4A2EC33A" w:rsidRPr="00306F4D">
        <w:rPr>
          <w:rFonts w:ascii="Arial" w:eastAsia="Arial" w:hAnsi="Arial" w:cs="Arial"/>
          <w:sz w:val="20"/>
          <w:szCs w:val="20"/>
          <w:lang w:val="en-GB"/>
        </w:rPr>
        <w:t>MEL</w:t>
      </w:r>
      <w:r w:rsidRPr="00306F4D">
        <w:rPr>
          <w:rFonts w:ascii="Arial" w:eastAsia="Arial" w:hAnsi="Arial" w:cs="Arial"/>
          <w:sz w:val="20"/>
          <w:szCs w:val="20"/>
          <w:lang w:val="en-GB"/>
        </w:rPr>
        <w:t>) framework will guide project implementation, allowing for the measurement of progress, identification of emerging challenges, and adaptive management. A dedicated knowledge management system will capture lessons learned, good practices, and innovations to be disseminated across regional and global adaptation platforms. This will support continuous learning and contribute to broader climate adaptation agendas, including South-South and triangular cooperation.</w:t>
      </w:r>
    </w:p>
    <w:p w14:paraId="47482B1A" w14:textId="30BDBA8D" w:rsidR="0012680D" w:rsidRPr="00306F4D" w:rsidRDefault="0012680D" w:rsidP="0012680D">
      <w:pPr>
        <w:spacing w:after="0" w:line="240" w:lineRule="auto"/>
        <w:jc w:val="both"/>
        <w:rPr>
          <w:rFonts w:ascii="Arial" w:hAnsi="Arial" w:cs="Arial"/>
          <w:sz w:val="20"/>
          <w:szCs w:val="20"/>
        </w:rPr>
      </w:pPr>
      <w:r w:rsidRPr="00306F4D">
        <w:rPr>
          <w:rFonts w:ascii="Arial" w:hAnsi="Arial" w:cs="Arial"/>
          <w:b/>
          <w:sz w:val="20"/>
          <w:szCs w:val="20"/>
        </w:rPr>
        <w:t>UNDP Execution Role</w:t>
      </w:r>
      <w:r w:rsidR="00566E64" w:rsidRPr="00306F4D">
        <w:rPr>
          <w:rFonts w:ascii="Arial" w:hAnsi="Arial" w:cs="Arial"/>
          <w:b/>
          <w:sz w:val="20"/>
          <w:szCs w:val="20"/>
        </w:rPr>
        <w:t>:</w:t>
      </w:r>
      <w:r w:rsidRPr="00306F4D">
        <w:rPr>
          <w:rFonts w:ascii="Arial" w:hAnsi="Arial" w:cs="Arial"/>
          <w:b/>
          <w:sz w:val="20"/>
          <w:szCs w:val="20"/>
        </w:rPr>
        <w:t xml:space="preserve"> </w:t>
      </w:r>
      <w:r w:rsidRPr="00306F4D">
        <w:rPr>
          <w:rFonts w:ascii="Arial" w:hAnsi="Arial" w:cs="Arial"/>
          <w:sz w:val="20"/>
          <w:szCs w:val="20"/>
        </w:rPr>
        <w:t>The National Designated Authorit</w:t>
      </w:r>
      <w:r w:rsidR="00566E64" w:rsidRPr="00306F4D">
        <w:rPr>
          <w:rFonts w:ascii="Arial" w:hAnsi="Arial" w:cs="Arial"/>
          <w:sz w:val="20"/>
          <w:szCs w:val="20"/>
        </w:rPr>
        <w:t>ies</w:t>
      </w:r>
      <w:r w:rsidRPr="00306F4D">
        <w:rPr>
          <w:rFonts w:ascii="Arial" w:hAnsi="Arial" w:cs="Arial"/>
          <w:sz w:val="20"/>
          <w:szCs w:val="20"/>
        </w:rPr>
        <w:t xml:space="preserve"> for AF, UNDP and the AF have agreed for UNDP to fully execute the project under the DIM modality and for the cost of these services to be charged to the project budget up to the approved amount of USD</w:t>
      </w:r>
      <w:r w:rsidR="002C4C93" w:rsidRPr="00306F4D">
        <w:rPr>
          <w:rFonts w:ascii="Arial" w:hAnsi="Arial" w:cs="Arial"/>
          <w:sz w:val="20"/>
          <w:szCs w:val="20"/>
        </w:rPr>
        <w:t xml:space="preserve"> </w:t>
      </w:r>
      <w:r w:rsidR="007A745B" w:rsidRPr="00306F4D">
        <w:rPr>
          <w:rFonts w:ascii="Arial" w:hAnsi="Arial" w:cs="Arial"/>
          <w:sz w:val="20"/>
          <w:szCs w:val="20"/>
        </w:rPr>
        <w:t>106</w:t>
      </w:r>
      <w:r w:rsidR="002C4C93" w:rsidRPr="00306F4D">
        <w:rPr>
          <w:rFonts w:ascii="Arial" w:hAnsi="Arial" w:cs="Arial"/>
          <w:sz w:val="20"/>
          <w:szCs w:val="20"/>
        </w:rPr>
        <w:t>,000</w:t>
      </w:r>
      <w:r w:rsidRPr="00306F4D">
        <w:rPr>
          <w:rFonts w:ascii="Arial" w:hAnsi="Arial" w:cs="Arial"/>
          <w:sz w:val="20"/>
          <w:szCs w:val="20"/>
        </w:rPr>
        <w:t>.  To ensure the strict independence required by the AF and in accordance with the UNDP Internal Control Framework, these execution services will be delivered independently from the AF-specific oversight and quality assurance services.</w:t>
      </w:r>
    </w:p>
    <w:p w14:paraId="36AA4FC0" w14:textId="77777777" w:rsidR="0012680D" w:rsidRPr="00306F4D" w:rsidRDefault="0012680D" w:rsidP="0012680D">
      <w:pPr>
        <w:spacing w:after="0" w:line="240" w:lineRule="auto"/>
        <w:jc w:val="both"/>
        <w:rPr>
          <w:rFonts w:ascii="Arial" w:hAnsi="Arial" w:cs="Arial"/>
          <w:sz w:val="20"/>
          <w:szCs w:val="20"/>
        </w:rPr>
      </w:pPr>
    </w:p>
    <w:p w14:paraId="23EDAF43" w14:textId="77777777" w:rsidR="0012680D" w:rsidRPr="00306F4D" w:rsidRDefault="0012680D" w:rsidP="338C5E83">
      <w:pPr>
        <w:spacing w:after="0" w:line="240" w:lineRule="auto"/>
        <w:jc w:val="both"/>
        <w:rPr>
          <w:rFonts w:ascii="Arial" w:hAnsi="Arial" w:cs="Arial"/>
          <w:sz w:val="20"/>
          <w:szCs w:val="20"/>
        </w:rPr>
      </w:pPr>
    </w:p>
    <w:p w14:paraId="138AC2DA" w14:textId="7B3F6387" w:rsidR="00BC3363" w:rsidRPr="00306F4D" w:rsidRDefault="00BC3363" w:rsidP="006A785B">
      <w:pPr>
        <w:pStyle w:val="Heading2"/>
        <w:tabs>
          <w:tab w:val="num" w:pos="360"/>
        </w:tabs>
        <w:spacing w:line="276" w:lineRule="auto"/>
        <w:rPr>
          <w:rFonts w:ascii="Arial" w:eastAsia="Arial" w:hAnsi="Arial" w:cs="Arial"/>
          <w:sz w:val="20"/>
          <w:szCs w:val="20"/>
          <w:lang w:val="en-GB"/>
        </w:rPr>
      </w:pPr>
      <w:bookmarkStart w:id="192" w:name="_Toc40295682"/>
      <w:bookmarkStart w:id="193" w:name="_Toc1396423537"/>
      <w:bookmarkStart w:id="194" w:name="_Toc202165723"/>
    </w:p>
    <w:p w14:paraId="71FB228C" w14:textId="4A694733" w:rsidR="0030331F" w:rsidRPr="00306F4D" w:rsidRDefault="0030331F" w:rsidP="00DC6297">
      <w:pPr>
        <w:pStyle w:val="ListParagraph"/>
        <w:numPr>
          <w:ilvl w:val="0"/>
          <w:numId w:val="24"/>
        </w:numPr>
        <w:rPr>
          <w:lang w:val="en-GB"/>
        </w:rPr>
      </w:pPr>
      <w:r w:rsidRPr="00306F4D">
        <w:rPr>
          <w:rFonts w:ascii="Arial" w:eastAsia="Arial" w:hAnsi="Arial" w:cs="Arial"/>
          <w:color w:val="AEAAAA" w:themeColor="background2" w:themeShade="BF"/>
          <w:lang w:val="en-GB"/>
        </w:rPr>
        <w:t>Describe the measures for financial and project / programme risk management.</w:t>
      </w:r>
    </w:p>
    <w:p w14:paraId="7D2C42CE" w14:textId="5F45D789" w:rsidR="6C26C6DA" w:rsidRPr="00306F4D" w:rsidRDefault="3EACFDB0" w:rsidP="006A785B">
      <w:pPr>
        <w:pStyle w:val="Heading2"/>
        <w:tabs>
          <w:tab w:val="num" w:pos="360"/>
        </w:tabs>
        <w:spacing w:line="276" w:lineRule="auto"/>
        <w:rPr>
          <w:rFonts w:ascii="Arial" w:eastAsia="Arial" w:hAnsi="Arial" w:cs="Arial"/>
          <w:sz w:val="20"/>
          <w:szCs w:val="20"/>
          <w:lang w:val="en-GB"/>
        </w:rPr>
      </w:pPr>
      <w:bookmarkStart w:id="195" w:name="_Toc202893754"/>
      <w:r w:rsidRPr="00306F4D">
        <w:rPr>
          <w:rFonts w:ascii="Arial" w:eastAsia="Arial" w:hAnsi="Arial" w:cs="Arial"/>
          <w:sz w:val="20"/>
          <w:szCs w:val="20"/>
          <w:lang w:val="en-GB"/>
        </w:rPr>
        <w:t>Measures for Financial and Project Risk Management</w:t>
      </w:r>
      <w:bookmarkEnd w:id="192"/>
      <w:bookmarkEnd w:id="193"/>
      <w:bookmarkEnd w:id="194"/>
      <w:bookmarkEnd w:id="195"/>
    </w:p>
    <w:tbl>
      <w:tblPr>
        <w:tblW w:w="9498"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684"/>
        <w:gridCol w:w="1275"/>
        <w:gridCol w:w="5539"/>
      </w:tblGrid>
      <w:tr w:rsidR="0097496C" w:rsidRPr="00306F4D" w14:paraId="476E946E" w14:textId="77777777" w:rsidTr="00BC3363">
        <w:trPr>
          <w:trHeight w:val="300"/>
        </w:trPr>
        <w:tc>
          <w:tcPr>
            <w:tcW w:w="2684" w:type="dxa"/>
            <w:tcBorders>
              <w:top w:val="single" w:sz="8" w:space="0" w:color="auto"/>
              <w:left w:val="single" w:sz="8" w:space="0" w:color="auto"/>
              <w:bottom w:val="single" w:sz="8" w:space="0" w:color="auto"/>
              <w:right w:val="single" w:sz="8" w:space="0" w:color="auto"/>
            </w:tcBorders>
            <w:shd w:val="clear" w:color="auto" w:fill="A8D08D" w:themeFill="accent6" w:themeFillTint="99"/>
          </w:tcPr>
          <w:p w14:paraId="58E0569C" w14:textId="207FA543" w:rsidR="68FB7C35" w:rsidRPr="00306F4D" w:rsidRDefault="68FB7C35" w:rsidP="00FC2E4E">
            <w:pPr>
              <w:spacing w:after="0" w:line="276" w:lineRule="auto"/>
              <w:jc w:val="both"/>
              <w:rPr>
                <w:rFonts w:ascii="Arial" w:eastAsia="Arial" w:hAnsi="Arial" w:cs="Arial"/>
                <w:color w:val="000000" w:themeColor="text1"/>
                <w:sz w:val="20"/>
                <w:szCs w:val="20"/>
              </w:rPr>
            </w:pPr>
            <w:r w:rsidRPr="00306F4D">
              <w:rPr>
                <w:rFonts w:ascii="Arial" w:eastAsia="Arial" w:hAnsi="Arial" w:cs="Arial"/>
                <w:b/>
                <w:color w:val="000000" w:themeColor="text1"/>
                <w:sz w:val="20"/>
                <w:szCs w:val="20"/>
                <w:lang w:val="en-GB"/>
              </w:rPr>
              <w:t>Potential Risk</w:t>
            </w:r>
            <w:r w:rsidRPr="00306F4D">
              <w:rPr>
                <w:rFonts w:ascii="Arial" w:eastAsia="Arial" w:hAnsi="Arial" w:cs="Arial"/>
                <w:color w:val="000000" w:themeColor="text1"/>
                <w:sz w:val="20"/>
                <w:szCs w:val="20"/>
              </w:rPr>
              <w:t xml:space="preserve"> </w:t>
            </w:r>
          </w:p>
        </w:tc>
        <w:tc>
          <w:tcPr>
            <w:tcW w:w="1275" w:type="dxa"/>
            <w:tcBorders>
              <w:top w:val="single" w:sz="8" w:space="0" w:color="auto"/>
              <w:left w:val="single" w:sz="8" w:space="0" w:color="auto"/>
              <w:bottom w:val="single" w:sz="8" w:space="0" w:color="auto"/>
              <w:right w:val="single" w:sz="8" w:space="0" w:color="auto"/>
            </w:tcBorders>
            <w:shd w:val="clear" w:color="auto" w:fill="A8D08D" w:themeFill="accent6" w:themeFillTint="99"/>
          </w:tcPr>
          <w:p w14:paraId="2C0DF743" w14:textId="733C0165" w:rsidR="68FB7C35" w:rsidRPr="00306F4D" w:rsidRDefault="68FB7C35" w:rsidP="00FC2E4E">
            <w:pPr>
              <w:spacing w:after="0" w:line="276" w:lineRule="auto"/>
              <w:jc w:val="both"/>
              <w:rPr>
                <w:rFonts w:ascii="Arial" w:eastAsia="Arial" w:hAnsi="Arial" w:cs="Arial"/>
                <w:color w:val="000000" w:themeColor="text1"/>
                <w:sz w:val="20"/>
                <w:szCs w:val="20"/>
              </w:rPr>
            </w:pPr>
            <w:r w:rsidRPr="00306F4D">
              <w:rPr>
                <w:rFonts w:ascii="Arial" w:eastAsia="Arial" w:hAnsi="Arial" w:cs="Arial"/>
                <w:b/>
                <w:color w:val="000000" w:themeColor="text1"/>
                <w:sz w:val="20"/>
                <w:szCs w:val="20"/>
                <w:lang w:val="en-GB"/>
              </w:rPr>
              <w:t>Risk Level</w:t>
            </w:r>
            <w:r w:rsidRPr="00306F4D">
              <w:rPr>
                <w:rFonts w:ascii="Arial" w:eastAsia="Arial" w:hAnsi="Arial" w:cs="Arial"/>
                <w:color w:val="000000" w:themeColor="text1"/>
                <w:sz w:val="20"/>
                <w:szCs w:val="20"/>
              </w:rPr>
              <w:t xml:space="preserve"> </w:t>
            </w:r>
          </w:p>
        </w:tc>
        <w:tc>
          <w:tcPr>
            <w:tcW w:w="5539" w:type="dxa"/>
            <w:tcBorders>
              <w:top w:val="single" w:sz="8" w:space="0" w:color="auto"/>
              <w:left w:val="single" w:sz="8" w:space="0" w:color="auto"/>
              <w:bottom w:val="single" w:sz="8" w:space="0" w:color="auto"/>
              <w:right w:val="single" w:sz="8" w:space="0" w:color="auto"/>
            </w:tcBorders>
            <w:shd w:val="clear" w:color="auto" w:fill="A8D08D" w:themeFill="accent6" w:themeFillTint="99"/>
          </w:tcPr>
          <w:p w14:paraId="41A2186F" w14:textId="12D054D1" w:rsidR="68FB7C35" w:rsidRPr="00306F4D" w:rsidRDefault="68FB7C35" w:rsidP="00FC2E4E">
            <w:pPr>
              <w:spacing w:after="0" w:line="276" w:lineRule="auto"/>
              <w:jc w:val="both"/>
              <w:rPr>
                <w:rFonts w:ascii="Arial" w:eastAsia="Arial" w:hAnsi="Arial" w:cs="Arial"/>
                <w:color w:val="000000" w:themeColor="text1"/>
                <w:sz w:val="20"/>
                <w:szCs w:val="20"/>
              </w:rPr>
            </w:pPr>
            <w:r w:rsidRPr="00306F4D">
              <w:rPr>
                <w:rFonts w:ascii="Arial" w:eastAsia="Arial" w:hAnsi="Arial" w:cs="Arial"/>
                <w:b/>
                <w:color w:val="000000" w:themeColor="text1"/>
                <w:sz w:val="20"/>
                <w:szCs w:val="20"/>
                <w:lang w:val="en-GB"/>
              </w:rPr>
              <w:t>Risk Management Strategy</w:t>
            </w:r>
            <w:r w:rsidRPr="00306F4D">
              <w:rPr>
                <w:rFonts w:ascii="Arial" w:eastAsia="Arial" w:hAnsi="Arial" w:cs="Arial"/>
                <w:color w:val="000000" w:themeColor="text1"/>
                <w:sz w:val="20"/>
                <w:szCs w:val="20"/>
              </w:rPr>
              <w:t xml:space="preserve"> </w:t>
            </w:r>
          </w:p>
        </w:tc>
      </w:tr>
      <w:tr w:rsidR="68FB7C35" w:rsidRPr="00306F4D" w14:paraId="29CE32DA" w14:textId="77777777" w:rsidTr="00BC3363">
        <w:trPr>
          <w:trHeight w:val="300"/>
        </w:trPr>
        <w:tc>
          <w:tcPr>
            <w:tcW w:w="2684" w:type="dxa"/>
            <w:tcBorders>
              <w:top w:val="single" w:sz="8" w:space="0" w:color="auto"/>
              <w:left w:val="single" w:sz="8" w:space="0" w:color="auto"/>
              <w:bottom w:val="single" w:sz="8" w:space="0" w:color="auto"/>
              <w:right w:val="single" w:sz="8" w:space="0" w:color="auto"/>
            </w:tcBorders>
          </w:tcPr>
          <w:p w14:paraId="5A2B0D04" w14:textId="0A2D1D33" w:rsidR="68FB7C35" w:rsidRPr="00306F4D" w:rsidRDefault="68FB7C35" w:rsidP="00FC2E4E">
            <w:pPr>
              <w:spacing w:after="0" w:line="276" w:lineRule="auto"/>
              <w:jc w:val="both"/>
              <w:rPr>
                <w:rFonts w:ascii="Arial" w:eastAsia="Arial" w:hAnsi="Arial" w:cs="Arial"/>
                <w:sz w:val="20"/>
                <w:szCs w:val="20"/>
              </w:rPr>
            </w:pPr>
            <w:r w:rsidRPr="00306F4D">
              <w:rPr>
                <w:rFonts w:ascii="Arial" w:eastAsia="Arial" w:hAnsi="Arial" w:cs="Arial"/>
                <w:sz w:val="20"/>
                <w:szCs w:val="20"/>
                <w:lang w:val="en-GB"/>
              </w:rPr>
              <w:t>Misappropriation of the grant funding</w:t>
            </w:r>
            <w:r w:rsidRPr="00306F4D">
              <w:rPr>
                <w:rFonts w:ascii="Arial" w:eastAsia="Arial" w:hAnsi="Arial" w:cs="Arial"/>
                <w:sz w:val="20"/>
                <w:szCs w:val="20"/>
              </w:rPr>
              <w:t xml:space="preserve"> </w:t>
            </w:r>
          </w:p>
        </w:tc>
        <w:tc>
          <w:tcPr>
            <w:tcW w:w="1275" w:type="dxa"/>
            <w:tcBorders>
              <w:top w:val="single" w:sz="8" w:space="0" w:color="auto"/>
              <w:left w:val="single" w:sz="8" w:space="0" w:color="auto"/>
              <w:bottom w:val="single" w:sz="8" w:space="0" w:color="auto"/>
              <w:right w:val="single" w:sz="8" w:space="0" w:color="auto"/>
            </w:tcBorders>
          </w:tcPr>
          <w:p w14:paraId="07DDD020" w14:textId="069F8E68" w:rsidR="68FB7C35" w:rsidRPr="00306F4D" w:rsidRDefault="68FB7C35" w:rsidP="00FC2E4E">
            <w:pPr>
              <w:spacing w:after="0" w:line="276" w:lineRule="auto"/>
              <w:jc w:val="both"/>
              <w:rPr>
                <w:rFonts w:ascii="Arial" w:eastAsia="Arial" w:hAnsi="Arial" w:cs="Arial"/>
                <w:sz w:val="20"/>
                <w:szCs w:val="20"/>
              </w:rPr>
            </w:pPr>
            <w:r w:rsidRPr="00306F4D">
              <w:rPr>
                <w:rFonts w:ascii="Arial" w:eastAsia="Arial" w:hAnsi="Arial" w:cs="Arial"/>
                <w:sz w:val="20"/>
                <w:szCs w:val="20"/>
                <w:lang w:val="en-GB"/>
              </w:rPr>
              <w:t>Low</w:t>
            </w:r>
            <w:r w:rsidRPr="00306F4D">
              <w:rPr>
                <w:rFonts w:ascii="Arial" w:eastAsia="Arial" w:hAnsi="Arial" w:cs="Arial"/>
                <w:sz w:val="20"/>
                <w:szCs w:val="20"/>
              </w:rPr>
              <w:t xml:space="preserve"> </w:t>
            </w:r>
          </w:p>
        </w:tc>
        <w:tc>
          <w:tcPr>
            <w:tcW w:w="5539" w:type="dxa"/>
            <w:tcBorders>
              <w:top w:val="single" w:sz="8" w:space="0" w:color="auto"/>
              <w:left w:val="single" w:sz="8" w:space="0" w:color="auto"/>
              <w:bottom w:val="single" w:sz="8" w:space="0" w:color="auto"/>
              <w:right w:val="single" w:sz="8" w:space="0" w:color="auto"/>
            </w:tcBorders>
          </w:tcPr>
          <w:p w14:paraId="3AC6450E" w14:textId="7E74F9B8" w:rsidR="68FB7C35" w:rsidRPr="00306F4D" w:rsidRDefault="68FB7C35" w:rsidP="00FC2E4E">
            <w:pPr>
              <w:spacing w:after="0" w:line="276" w:lineRule="auto"/>
              <w:jc w:val="both"/>
              <w:rPr>
                <w:rFonts w:ascii="Arial" w:eastAsia="Arial" w:hAnsi="Arial" w:cs="Arial"/>
                <w:sz w:val="20"/>
                <w:szCs w:val="20"/>
              </w:rPr>
            </w:pPr>
            <w:r w:rsidRPr="00306F4D">
              <w:rPr>
                <w:rFonts w:ascii="Arial" w:eastAsia="Arial" w:hAnsi="Arial" w:cs="Arial"/>
                <w:sz w:val="20"/>
                <w:szCs w:val="20"/>
                <w:lang w:val="en-GB"/>
              </w:rPr>
              <w:t xml:space="preserve">Performance based disbursement will be used instead of providing the total grant amount at the grant signing stage. Grantees may be asked to get an agreement from UNDP (with </w:t>
            </w:r>
            <w:proofErr w:type="gramStart"/>
            <w:r w:rsidRPr="00306F4D">
              <w:rPr>
                <w:rFonts w:ascii="Arial" w:eastAsia="Arial" w:hAnsi="Arial" w:cs="Arial"/>
                <w:sz w:val="20"/>
                <w:szCs w:val="20"/>
                <w:lang w:val="en-GB"/>
              </w:rPr>
              <w:t>advise</w:t>
            </w:r>
            <w:proofErr w:type="gramEnd"/>
            <w:r w:rsidRPr="00306F4D">
              <w:rPr>
                <w:rFonts w:ascii="Arial" w:eastAsia="Arial" w:hAnsi="Arial" w:cs="Arial"/>
                <w:sz w:val="20"/>
                <w:szCs w:val="20"/>
                <w:lang w:val="en-GB"/>
              </w:rPr>
              <w:t xml:space="preserve"> from UNDP country office) if procurement of goods/services exceeds a certain threshold. Financial audit is required as a part of the annual progress report.</w:t>
            </w:r>
            <w:r w:rsidRPr="00306F4D">
              <w:rPr>
                <w:rFonts w:ascii="Arial" w:eastAsia="Arial" w:hAnsi="Arial" w:cs="Arial"/>
                <w:sz w:val="20"/>
                <w:szCs w:val="20"/>
              </w:rPr>
              <w:t xml:space="preserve"> </w:t>
            </w:r>
          </w:p>
        </w:tc>
      </w:tr>
      <w:tr w:rsidR="68FB7C35" w:rsidRPr="00306F4D" w14:paraId="0138D4E0" w14:textId="77777777" w:rsidTr="00BC3363">
        <w:trPr>
          <w:trHeight w:val="300"/>
        </w:trPr>
        <w:tc>
          <w:tcPr>
            <w:tcW w:w="2684" w:type="dxa"/>
            <w:tcBorders>
              <w:top w:val="single" w:sz="8" w:space="0" w:color="auto"/>
              <w:left w:val="single" w:sz="8" w:space="0" w:color="auto"/>
              <w:bottom w:val="single" w:sz="8" w:space="0" w:color="auto"/>
              <w:right w:val="single" w:sz="8" w:space="0" w:color="auto"/>
            </w:tcBorders>
          </w:tcPr>
          <w:p w14:paraId="389ABA02" w14:textId="21CA5259" w:rsidR="68FB7C35" w:rsidRPr="00306F4D" w:rsidRDefault="68FB7C35" w:rsidP="00FC2E4E">
            <w:pPr>
              <w:spacing w:after="0" w:line="276" w:lineRule="auto"/>
              <w:jc w:val="both"/>
              <w:rPr>
                <w:rFonts w:ascii="Arial" w:eastAsia="Arial" w:hAnsi="Arial" w:cs="Arial"/>
                <w:sz w:val="20"/>
                <w:szCs w:val="20"/>
                <w:lang w:val="en-GB"/>
              </w:rPr>
            </w:pPr>
            <w:r w:rsidRPr="00306F4D">
              <w:rPr>
                <w:rFonts w:ascii="Arial" w:eastAsia="Arial" w:hAnsi="Arial" w:cs="Arial"/>
                <w:sz w:val="20"/>
                <w:szCs w:val="20"/>
                <w:lang w:val="en-GB"/>
              </w:rPr>
              <w:lastRenderedPageBreak/>
              <w:t>Lack of participation at the regional call for proposals across the four targeted Western Balkan countries</w:t>
            </w:r>
          </w:p>
        </w:tc>
        <w:tc>
          <w:tcPr>
            <w:tcW w:w="1275" w:type="dxa"/>
            <w:tcBorders>
              <w:top w:val="single" w:sz="8" w:space="0" w:color="auto"/>
              <w:left w:val="single" w:sz="8" w:space="0" w:color="auto"/>
              <w:bottom w:val="single" w:sz="8" w:space="0" w:color="auto"/>
              <w:right w:val="single" w:sz="8" w:space="0" w:color="auto"/>
            </w:tcBorders>
          </w:tcPr>
          <w:p w14:paraId="0C603454" w14:textId="03DF3628" w:rsidR="68FB7C35" w:rsidRPr="00306F4D" w:rsidRDefault="68FB7C35" w:rsidP="00FC2E4E">
            <w:pPr>
              <w:spacing w:after="0" w:line="276" w:lineRule="auto"/>
              <w:jc w:val="both"/>
              <w:rPr>
                <w:rFonts w:ascii="Arial" w:eastAsia="Arial" w:hAnsi="Arial" w:cs="Arial"/>
                <w:sz w:val="20"/>
                <w:szCs w:val="20"/>
              </w:rPr>
            </w:pPr>
            <w:r w:rsidRPr="00306F4D">
              <w:rPr>
                <w:rFonts w:ascii="Arial" w:eastAsia="Arial" w:hAnsi="Arial" w:cs="Arial"/>
                <w:sz w:val="20"/>
                <w:szCs w:val="20"/>
                <w:lang w:val="en-GB"/>
              </w:rPr>
              <w:t>Low</w:t>
            </w:r>
            <w:r w:rsidRPr="00306F4D">
              <w:rPr>
                <w:rFonts w:ascii="Arial" w:eastAsia="Arial" w:hAnsi="Arial" w:cs="Arial"/>
                <w:sz w:val="20"/>
                <w:szCs w:val="20"/>
              </w:rPr>
              <w:t xml:space="preserve"> </w:t>
            </w:r>
          </w:p>
        </w:tc>
        <w:tc>
          <w:tcPr>
            <w:tcW w:w="5539" w:type="dxa"/>
            <w:tcBorders>
              <w:top w:val="single" w:sz="8" w:space="0" w:color="auto"/>
              <w:left w:val="single" w:sz="8" w:space="0" w:color="auto"/>
              <w:bottom w:val="single" w:sz="8" w:space="0" w:color="auto"/>
              <w:right w:val="single" w:sz="8" w:space="0" w:color="auto"/>
            </w:tcBorders>
          </w:tcPr>
          <w:p w14:paraId="2165BF63" w14:textId="0D4C0593" w:rsidR="68FB7C35" w:rsidRPr="00306F4D" w:rsidRDefault="68FB7C35" w:rsidP="00FC2E4E">
            <w:pPr>
              <w:spacing w:after="0" w:line="276" w:lineRule="auto"/>
              <w:jc w:val="both"/>
              <w:rPr>
                <w:rFonts w:ascii="Arial" w:eastAsia="Arial" w:hAnsi="Arial" w:cs="Arial"/>
                <w:sz w:val="20"/>
                <w:szCs w:val="20"/>
              </w:rPr>
            </w:pPr>
            <w:r w:rsidRPr="00306F4D">
              <w:rPr>
                <w:rFonts w:ascii="Arial" w:eastAsia="Arial" w:hAnsi="Arial" w:cs="Arial"/>
                <w:sz w:val="20"/>
                <w:szCs w:val="20"/>
                <w:lang w:val="en-GB"/>
              </w:rPr>
              <w:t xml:space="preserve">During the regional call for proposals, UNDP will also actively source innovation ideas from the network of development partners who are working on innovation, incubation, and acceleration as well as climate adaptation and resilience topics. With the extensive network of UNDP Innovation team and BOOST network, Accelerator Labs in the Country Offices, Country Office ecosystem and detailed stakeholder mapping that will be developed the risk of lacking participation is relatively low. </w:t>
            </w:r>
            <w:r w:rsidRPr="00306F4D">
              <w:rPr>
                <w:rFonts w:ascii="Arial" w:eastAsia="Arial" w:hAnsi="Arial" w:cs="Arial"/>
                <w:sz w:val="20"/>
                <w:szCs w:val="20"/>
              </w:rPr>
              <w:t xml:space="preserve"> </w:t>
            </w:r>
          </w:p>
        </w:tc>
      </w:tr>
      <w:tr w:rsidR="68FB7C35" w:rsidRPr="00306F4D" w14:paraId="573C46FF" w14:textId="77777777" w:rsidTr="00413459">
        <w:trPr>
          <w:trHeight w:val="4701"/>
        </w:trPr>
        <w:tc>
          <w:tcPr>
            <w:tcW w:w="2684" w:type="dxa"/>
            <w:tcBorders>
              <w:top w:val="single" w:sz="8" w:space="0" w:color="auto"/>
              <w:left w:val="single" w:sz="8" w:space="0" w:color="auto"/>
              <w:bottom w:val="single" w:sz="8" w:space="0" w:color="auto"/>
              <w:right w:val="single" w:sz="8" w:space="0" w:color="auto"/>
            </w:tcBorders>
          </w:tcPr>
          <w:p w14:paraId="61EFE36F" w14:textId="25628DC5" w:rsidR="68FB7C35" w:rsidRPr="00306F4D" w:rsidRDefault="68FB7C35" w:rsidP="00FC2E4E">
            <w:pPr>
              <w:spacing w:after="0" w:line="276" w:lineRule="auto"/>
              <w:jc w:val="both"/>
              <w:rPr>
                <w:rFonts w:ascii="Arial" w:eastAsia="Arial" w:hAnsi="Arial" w:cs="Arial"/>
                <w:sz w:val="20"/>
                <w:szCs w:val="20"/>
              </w:rPr>
            </w:pPr>
            <w:r w:rsidRPr="00306F4D">
              <w:rPr>
                <w:rFonts w:ascii="Arial" w:eastAsia="Arial" w:hAnsi="Arial" w:cs="Arial"/>
                <w:sz w:val="20"/>
                <w:szCs w:val="20"/>
                <w:lang w:val="en-GB"/>
              </w:rPr>
              <w:t>Project implementation delay</w:t>
            </w:r>
            <w:r w:rsidRPr="00306F4D">
              <w:rPr>
                <w:rFonts w:ascii="Arial" w:eastAsia="Arial" w:hAnsi="Arial" w:cs="Arial"/>
                <w:sz w:val="20"/>
                <w:szCs w:val="20"/>
              </w:rPr>
              <w:t xml:space="preserve"> </w:t>
            </w:r>
          </w:p>
        </w:tc>
        <w:tc>
          <w:tcPr>
            <w:tcW w:w="1275" w:type="dxa"/>
            <w:tcBorders>
              <w:top w:val="single" w:sz="8" w:space="0" w:color="auto"/>
              <w:left w:val="single" w:sz="8" w:space="0" w:color="auto"/>
              <w:bottom w:val="single" w:sz="8" w:space="0" w:color="auto"/>
              <w:right w:val="single" w:sz="8" w:space="0" w:color="auto"/>
            </w:tcBorders>
          </w:tcPr>
          <w:p w14:paraId="34FC4B09" w14:textId="25C1EFC5" w:rsidR="68FB7C35" w:rsidRPr="00306F4D" w:rsidRDefault="68FB7C35" w:rsidP="00FC2E4E">
            <w:pPr>
              <w:spacing w:after="0" w:line="276" w:lineRule="auto"/>
              <w:jc w:val="both"/>
              <w:rPr>
                <w:rFonts w:ascii="Arial" w:eastAsia="Arial" w:hAnsi="Arial" w:cs="Arial"/>
                <w:sz w:val="20"/>
                <w:szCs w:val="20"/>
              </w:rPr>
            </w:pPr>
            <w:r w:rsidRPr="00306F4D">
              <w:rPr>
                <w:rFonts w:ascii="Arial" w:eastAsia="Arial" w:hAnsi="Arial" w:cs="Arial"/>
                <w:sz w:val="20"/>
                <w:szCs w:val="20"/>
                <w:lang w:val="en-GB"/>
              </w:rPr>
              <w:t>Medium</w:t>
            </w:r>
            <w:r w:rsidRPr="00306F4D">
              <w:rPr>
                <w:rFonts w:ascii="Arial" w:eastAsia="Arial" w:hAnsi="Arial" w:cs="Arial"/>
                <w:sz w:val="20"/>
                <w:szCs w:val="20"/>
              </w:rPr>
              <w:t xml:space="preserve"> </w:t>
            </w:r>
          </w:p>
        </w:tc>
        <w:tc>
          <w:tcPr>
            <w:tcW w:w="5539" w:type="dxa"/>
            <w:tcBorders>
              <w:top w:val="single" w:sz="8" w:space="0" w:color="auto"/>
              <w:left w:val="single" w:sz="8" w:space="0" w:color="auto"/>
              <w:bottom w:val="single" w:sz="8" w:space="0" w:color="auto"/>
              <w:right w:val="single" w:sz="8" w:space="0" w:color="auto"/>
            </w:tcBorders>
          </w:tcPr>
          <w:p w14:paraId="4D051C29" w14:textId="5BFB596A" w:rsidR="68FB7C35" w:rsidRPr="00306F4D" w:rsidRDefault="68FB7C35" w:rsidP="00FC2E4E">
            <w:pPr>
              <w:spacing w:before="240" w:after="240" w:line="276" w:lineRule="auto"/>
              <w:rPr>
                <w:rFonts w:ascii="Arial" w:eastAsia="Arial" w:hAnsi="Arial" w:cs="Arial"/>
                <w:sz w:val="20"/>
                <w:szCs w:val="20"/>
              </w:rPr>
            </w:pPr>
            <w:r w:rsidRPr="00306F4D">
              <w:rPr>
                <w:rFonts w:ascii="Arial" w:eastAsia="Arial" w:hAnsi="Arial" w:cs="Arial"/>
                <w:sz w:val="20"/>
                <w:szCs w:val="20"/>
              </w:rPr>
              <w:t>To mitigate this risk, UNDP will provide ongoing technical and business development support and apply its standard Monitoring and Evaluation (</w:t>
            </w:r>
            <w:r w:rsidR="58AB2C8F" w:rsidRPr="00306F4D">
              <w:rPr>
                <w:rFonts w:ascii="Arial" w:eastAsia="Arial" w:hAnsi="Arial" w:cs="Arial"/>
                <w:sz w:val="20"/>
                <w:szCs w:val="20"/>
              </w:rPr>
              <w:t>MEL</w:t>
            </w:r>
            <w:r w:rsidRPr="00306F4D">
              <w:rPr>
                <w:rFonts w:ascii="Arial" w:eastAsia="Arial" w:hAnsi="Arial" w:cs="Arial"/>
                <w:sz w:val="20"/>
                <w:szCs w:val="20"/>
              </w:rPr>
              <w:t>) processes, including:</w:t>
            </w:r>
          </w:p>
          <w:p w14:paraId="7E3B89D7" w14:textId="4CD1E016" w:rsidR="68FB7C35" w:rsidRPr="00306F4D" w:rsidRDefault="68FB7C35" w:rsidP="00093F5F">
            <w:pPr>
              <w:pStyle w:val="ListParagraph"/>
              <w:numPr>
                <w:ilvl w:val="0"/>
                <w:numId w:val="19"/>
              </w:numPr>
              <w:spacing w:after="0" w:line="276" w:lineRule="auto"/>
              <w:rPr>
                <w:rFonts w:ascii="Arial" w:eastAsia="Arial" w:hAnsi="Arial" w:cs="Arial"/>
                <w:sz w:val="20"/>
                <w:szCs w:val="20"/>
              </w:rPr>
            </w:pPr>
            <w:r w:rsidRPr="00306F4D">
              <w:rPr>
                <w:rFonts w:ascii="Arial" w:eastAsia="Arial" w:hAnsi="Arial" w:cs="Arial"/>
                <w:b/>
                <w:sz w:val="20"/>
                <w:szCs w:val="20"/>
              </w:rPr>
              <w:t>Quarterly Reporting:</w:t>
            </w:r>
            <w:r w:rsidRPr="00306F4D">
              <w:rPr>
                <w:rFonts w:ascii="Arial" w:eastAsia="Arial" w:hAnsi="Arial" w:cs="Arial"/>
                <w:sz w:val="20"/>
                <w:szCs w:val="20"/>
              </w:rPr>
              <w:t xml:space="preserve"> Grantees will submit progress and financial reports every three months throughout the implementation period.</w:t>
            </w:r>
          </w:p>
          <w:p w14:paraId="5303D95F" w14:textId="58D0D36E" w:rsidR="68FB7C35" w:rsidRPr="00306F4D" w:rsidRDefault="68FB7C35" w:rsidP="00093F5F">
            <w:pPr>
              <w:pStyle w:val="ListParagraph"/>
              <w:numPr>
                <w:ilvl w:val="0"/>
                <w:numId w:val="19"/>
              </w:numPr>
              <w:spacing w:after="0" w:line="276" w:lineRule="auto"/>
              <w:rPr>
                <w:rFonts w:ascii="Arial" w:eastAsia="Arial" w:hAnsi="Arial" w:cs="Arial"/>
                <w:sz w:val="20"/>
                <w:szCs w:val="20"/>
              </w:rPr>
            </w:pPr>
            <w:r w:rsidRPr="00306F4D">
              <w:rPr>
                <w:rFonts w:ascii="Arial" w:eastAsia="Arial" w:hAnsi="Arial" w:cs="Arial"/>
                <w:b/>
                <w:sz w:val="20"/>
                <w:szCs w:val="20"/>
              </w:rPr>
              <w:t>Ongoing Support:</w:t>
            </w:r>
            <w:r w:rsidRPr="00306F4D">
              <w:rPr>
                <w:rFonts w:ascii="Arial" w:eastAsia="Arial" w:hAnsi="Arial" w:cs="Arial"/>
                <w:sz w:val="20"/>
                <w:szCs w:val="20"/>
              </w:rPr>
              <w:t xml:space="preserve"> Continuous technical and business acceleration support will help identify and address potential implementation challenges early on.</w:t>
            </w:r>
          </w:p>
          <w:p w14:paraId="7A5826A3" w14:textId="1E9F2E4A" w:rsidR="68FB7C35" w:rsidRPr="00306F4D" w:rsidRDefault="68FB7C35" w:rsidP="00093F5F">
            <w:pPr>
              <w:pStyle w:val="ListParagraph"/>
              <w:numPr>
                <w:ilvl w:val="0"/>
                <w:numId w:val="19"/>
              </w:numPr>
              <w:spacing w:after="0" w:line="276" w:lineRule="auto"/>
              <w:rPr>
                <w:rFonts w:ascii="Arial" w:eastAsia="Arial" w:hAnsi="Arial" w:cs="Arial"/>
                <w:sz w:val="20"/>
                <w:szCs w:val="20"/>
              </w:rPr>
            </w:pPr>
            <w:r w:rsidRPr="00306F4D">
              <w:rPr>
                <w:rFonts w:ascii="Arial" w:eastAsia="Arial" w:hAnsi="Arial" w:cs="Arial"/>
                <w:b/>
                <w:sz w:val="20"/>
                <w:szCs w:val="20"/>
              </w:rPr>
              <w:t>Timely Issue Resolution:</w:t>
            </w:r>
            <w:r w:rsidRPr="00306F4D">
              <w:rPr>
                <w:rFonts w:ascii="Arial" w:eastAsia="Arial" w:hAnsi="Arial" w:cs="Arial"/>
                <w:sz w:val="20"/>
                <w:szCs w:val="20"/>
              </w:rPr>
              <w:t xml:space="preserve"> Any barriers to timely completion will be monitored and addressed through tailored mitigation strategies.</w:t>
            </w:r>
          </w:p>
          <w:p w14:paraId="405B9FDF" w14:textId="22A2062F" w:rsidR="68FB7C35" w:rsidRPr="00306F4D" w:rsidRDefault="68FB7C35" w:rsidP="00FC2E4E">
            <w:pPr>
              <w:spacing w:before="240" w:after="240" w:line="276" w:lineRule="auto"/>
              <w:rPr>
                <w:rFonts w:ascii="Arial" w:eastAsia="Arial" w:hAnsi="Arial" w:cs="Arial"/>
                <w:sz w:val="20"/>
                <w:szCs w:val="20"/>
              </w:rPr>
            </w:pPr>
            <w:r w:rsidRPr="00306F4D">
              <w:rPr>
                <w:rFonts w:ascii="Arial" w:eastAsia="Arial" w:hAnsi="Arial" w:cs="Arial"/>
                <w:sz w:val="20"/>
                <w:szCs w:val="20"/>
              </w:rPr>
              <w:t>This approach will ensure proactive oversight and supports effective and timely project delivery</w:t>
            </w:r>
          </w:p>
        </w:tc>
      </w:tr>
      <w:tr w:rsidR="68FB7C35" w:rsidRPr="00306F4D" w14:paraId="1D01ED96" w14:textId="77777777" w:rsidTr="00BC3363">
        <w:trPr>
          <w:trHeight w:val="600"/>
        </w:trPr>
        <w:tc>
          <w:tcPr>
            <w:tcW w:w="2684" w:type="dxa"/>
            <w:tcBorders>
              <w:top w:val="single" w:sz="8" w:space="0" w:color="auto"/>
              <w:left w:val="single" w:sz="8" w:space="0" w:color="auto"/>
              <w:bottom w:val="single" w:sz="8" w:space="0" w:color="auto"/>
              <w:right w:val="single" w:sz="8" w:space="0" w:color="auto"/>
            </w:tcBorders>
          </w:tcPr>
          <w:p w14:paraId="6C58F7CD" w14:textId="073FA4A5" w:rsidR="68FB7C35" w:rsidRPr="00306F4D" w:rsidRDefault="68FB7C35" w:rsidP="00FC2E4E">
            <w:pPr>
              <w:spacing w:after="0" w:line="276" w:lineRule="auto"/>
              <w:jc w:val="both"/>
              <w:rPr>
                <w:rFonts w:ascii="Arial" w:eastAsia="Arial" w:hAnsi="Arial" w:cs="Arial"/>
                <w:sz w:val="20"/>
                <w:szCs w:val="20"/>
                <w:lang w:val="en-GB"/>
              </w:rPr>
            </w:pPr>
            <w:r w:rsidRPr="00306F4D">
              <w:rPr>
                <w:rFonts w:ascii="Arial" w:eastAsia="Arial" w:hAnsi="Arial" w:cs="Arial"/>
                <w:sz w:val="20"/>
                <w:szCs w:val="20"/>
                <w:lang w:val="en-GB"/>
              </w:rPr>
              <w:t>Imbalanced Reporting of Success vs. Challenges and Lessons Learned</w:t>
            </w:r>
          </w:p>
        </w:tc>
        <w:tc>
          <w:tcPr>
            <w:tcW w:w="1275" w:type="dxa"/>
            <w:tcBorders>
              <w:top w:val="single" w:sz="8" w:space="0" w:color="auto"/>
              <w:left w:val="single" w:sz="8" w:space="0" w:color="auto"/>
              <w:bottom w:val="single" w:sz="8" w:space="0" w:color="auto"/>
              <w:right w:val="single" w:sz="8" w:space="0" w:color="auto"/>
            </w:tcBorders>
          </w:tcPr>
          <w:p w14:paraId="3B111998" w14:textId="7F85B36A" w:rsidR="68FB7C35" w:rsidRPr="00306F4D" w:rsidRDefault="68FB7C35" w:rsidP="00FC2E4E">
            <w:pPr>
              <w:spacing w:after="0" w:line="276" w:lineRule="auto"/>
              <w:jc w:val="both"/>
              <w:rPr>
                <w:rFonts w:ascii="Arial" w:eastAsia="Arial" w:hAnsi="Arial" w:cs="Arial"/>
                <w:sz w:val="20"/>
                <w:szCs w:val="20"/>
              </w:rPr>
            </w:pPr>
            <w:r w:rsidRPr="00306F4D">
              <w:rPr>
                <w:rFonts w:ascii="Arial" w:eastAsia="Arial" w:hAnsi="Arial" w:cs="Arial"/>
                <w:sz w:val="20"/>
                <w:szCs w:val="20"/>
                <w:lang w:val="en-GB"/>
              </w:rPr>
              <w:t>Medium</w:t>
            </w:r>
            <w:r w:rsidRPr="00306F4D">
              <w:rPr>
                <w:rFonts w:ascii="Arial" w:eastAsia="Arial" w:hAnsi="Arial" w:cs="Arial"/>
                <w:sz w:val="20"/>
                <w:szCs w:val="20"/>
              </w:rPr>
              <w:t xml:space="preserve"> </w:t>
            </w:r>
          </w:p>
        </w:tc>
        <w:tc>
          <w:tcPr>
            <w:tcW w:w="5539" w:type="dxa"/>
            <w:tcBorders>
              <w:top w:val="single" w:sz="8" w:space="0" w:color="auto"/>
              <w:left w:val="single" w:sz="8" w:space="0" w:color="auto"/>
              <w:bottom w:val="single" w:sz="8" w:space="0" w:color="auto"/>
              <w:right w:val="single" w:sz="8" w:space="0" w:color="auto"/>
            </w:tcBorders>
          </w:tcPr>
          <w:p w14:paraId="6F283FEA" w14:textId="37DFAAC9" w:rsidR="68FB7C35" w:rsidRPr="00306F4D" w:rsidRDefault="68FB7C35" w:rsidP="00FC2E4E">
            <w:pPr>
              <w:spacing w:after="0" w:line="276" w:lineRule="auto"/>
              <w:jc w:val="both"/>
              <w:rPr>
                <w:rFonts w:ascii="Arial" w:eastAsia="Arial" w:hAnsi="Arial" w:cs="Arial"/>
                <w:sz w:val="20"/>
                <w:szCs w:val="20"/>
                <w:lang w:val="en-GB"/>
              </w:rPr>
            </w:pPr>
            <w:r w:rsidRPr="00306F4D">
              <w:rPr>
                <w:rFonts w:ascii="Arial" w:eastAsia="Arial" w:hAnsi="Arial" w:cs="Arial"/>
                <w:sz w:val="20"/>
                <w:szCs w:val="20"/>
                <w:lang w:val="en-GB"/>
              </w:rPr>
              <w:t>To ensure accurate and balanced reporting, grantees will be encouraged to document both successes and challenges as part of their regular progress updates. Lessons learned—particularly from challenges—are essential for continuous improvement, knowledge sharing, and the replication or scaling of effective practices.</w:t>
            </w:r>
          </w:p>
          <w:p w14:paraId="7097CFA6" w14:textId="08C59BD7" w:rsidR="68FB7C35" w:rsidRPr="00306F4D" w:rsidRDefault="68FB7C35" w:rsidP="00FC2E4E">
            <w:pPr>
              <w:spacing w:after="0" w:line="276" w:lineRule="auto"/>
              <w:jc w:val="both"/>
              <w:rPr>
                <w:rFonts w:ascii="Arial" w:eastAsia="Arial" w:hAnsi="Arial" w:cs="Arial"/>
                <w:sz w:val="20"/>
                <w:szCs w:val="20"/>
                <w:lang w:val="en-GB"/>
              </w:rPr>
            </w:pPr>
            <w:r w:rsidRPr="00306F4D">
              <w:rPr>
                <w:rFonts w:ascii="Arial" w:eastAsia="Arial" w:hAnsi="Arial" w:cs="Arial"/>
                <w:sz w:val="20"/>
                <w:szCs w:val="20"/>
                <w:lang w:val="en-GB"/>
              </w:rPr>
              <w:t>This expectation will be clearly communicated throughout the programme implementation cycle and reinforced during regular monitoring.</w:t>
            </w:r>
          </w:p>
          <w:p w14:paraId="404BD05F" w14:textId="29987281" w:rsidR="68FB7C35" w:rsidRPr="00306F4D" w:rsidRDefault="68FB7C35" w:rsidP="00FC2E4E">
            <w:pPr>
              <w:spacing w:after="0" w:line="276" w:lineRule="auto"/>
              <w:jc w:val="both"/>
              <w:rPr>
                <w:rFonts w:ascii="Arial" w:eastAsia="Arial" w:hAnsi="Arial" w:cs="Arial"/>
                <w:sz w:val="20"/>
                <w:szCs w:val="20"/>
                <w:lang w:val="en-GB"/>
              </w:rPr>
            </w:pPr>
            <w:r w:rsidRPr="00306F4D">
              <w:rPr>
                <w:rFonts w:ascii="Arial" w:eastAsia="Arial" w:hAnsi="Arial" w:cs="Arial"/>
                <w:sz w:val="20"/>
                <w:szCs w:val="20"/>
                <w:lang w:val="en-GB"/>
              </w:rPr>
              <w:t>Project implementation will also be guided by the Impact Report and documented lessons learned from UNDP-AFCIA Phase I implementation. These insights will inform best practices and support adaptive learning.</w:t>
            </w:r>
            <w:r w:rsidR="09553194" w:rsidRPr="00306F4D">
              <w:rPr>
                <w:rFonts w:ascii="Arial" w:eastAsia="Arial" w:hAnsi="Arial" w:cs="Arial"/>
                <w:sz w:val="20"/>
                <w:szCs w:val="20"/>
                <w:lang w:val="en-GB"/>
              </w:rPr>
              <w:t xml:space="preserve"> </w:t>
            </w:r>
            <w:r w:rsidRPr="00306F4D">
              <w:rPr>
                <w:rFonts w:ascii="Arial" w:eastAsia="Arial" w:hAnsi="Arial" w:cs="Arial"/>
                <w:sz w:val="20"/>
                <w:szCs w:val="20"/>
                <w:lang w:val="en-GB"/>
              </w:rPr>
              <w:t xml:space="preserve">All relevant lessons from </w:t>
            </w:r>
            <w:r w:rsidR="5C795565" w:rsidRPr="00306F4D">
              <w:rPr>
                <w:rFonts w:ascii="Arial" w:eastAsia="Arial" w:hAnsi="Arial" w:cs="Arial"/>
                <w:sz w:val="20"/>
                <w:szCs w:val="20"/>
                <w:lang w:val="en-GB"/>
              </w:rPr>
              <w:t>the Regional</w:t>
            </w:r>
            <w:r w:rsidRPr="00306F4D">
              <w:rPr>
                <w:rFonts w:ascii="Arial" w:eastAsia="Arial" w:hAnsi="Arial" w:cs="Arial"/>
                <w:sz w:val="20"/>
                <w:szCs w:val="20"/>
                <w:lang w:val="en-GB"/>
              </w:rPr>
              <w:t xml:space="preserve"> Project will be similarly captured to contribute to broader institutional learning and future programme design.</w:t>
            </w:r>
          </w:p>
        </w:tc>
      </w:tr>
      <w:tr w:rsidR="68FB7C35" w:rsidRPr="00306F4D" w14:paraId="39ABAFE7" w14:textId="77777777" w:rsidTr="00BC3363">
        <w:trPr>
          <w:trHeight w:val="300"/>
        </w:trPr>
        <w:tc>
          <w:tcPr>
            <w:tcW w:w="2684" w:type="dxa"/>
            <w:tcBorders>
              <w:top w:val="single" w:sz="8" w:space="0" w:color="auto"/>
              <w:left w:val="single" w:sz="8" w:space="0" w:color="auto"/>
              <w:bottom w:val="single" w:sz="8" w:space="0" w:color="auto"/>
              <w:right w:val="single" w:sz="8" w:space="0" w:color="auto"/>
            </w:tcBorders>
          </w:tcPr>
          <w:p w14:paraId="13156C2A" w14:textId="683C1E36" w:rsidR="68FB7C35" w:rsidRPr="00306F4D" w:rsidRDefault="68FB7C35" w:rsidP="00FC2E4E">
            <w:pPr>
              <w:spacing w:after="0" w:line="276" w:lineRule="auto"/>
              <w:jc w:val="both"/>
              <w:rPr>
                <w:rFonts w:ascii="Arial" w:eastAsia="Arial" w:hAnsi="Arial" w:cs="Arial"/>
                <w:sz w:val="20"/>
                <w:szCs w:val="20"/>
              </w:rPr>
            </w:pPr>
            <w:r w:rsidRPr="00306F4D">
              <w:rPr>
                <w:rFonts w:ascii="Arial" w:eastAsia="Arial" w:hAnsi="Arial" w:cs="Arial"/>
                <w:sz w:val="20"/>
                <w:szCs w:val="20"/>
                <w:lang w:val="en-GB"/>
              </w:rPr>
              <w:t xml:space="preserve">Grantees fail in securing scale up and replication support and funding from </w:t>
            </w:r>
            <w:r w:rsidRPr="00306F4D">
              <w:rPr>
                <w:rFonts w:ascii="Arial" w:eastAsia="Arial" w:hAnsi="Arial" w:cs="Arial"/>
                <w:sz w:val="20"/>
                <w:szCs w:val="20"/>
                <w:lang w:val="en-GB"/>
              </w:rPr>
              <w:lastRenderedPageBreak/>
              <w:t>other sources after the completion of the project</w:t>
            </w:r>
            <w:r w:rsidRPr="00306F4D">
              <w:rPr>
                <w:rFonts w:ascii="Arial" w:eastAsia="Arial" w:hAnsi="Arial" w:cs="Arial"/>
                <w:sz w:val="20"/>
                <w:szCs w:val="20"/>
              </w:rPr>
              <w:t xml:space="preserve"> </w:t>
            </w:r>
          </w:p>
        </w:tc>
        <w:tc>
          <w:tcPr>
            <w:tcW w:w="1275" w:type="dxa"/>
            <w:tcBorders>
              <w:top w:val="single" w:sz="8" w:space="0" w:color="auto"/>
              <w:left w:val="single" w:sz="8" w:space="0" w:color="auto"/>
              <w:bottom w:val="single" w:sz="8" w:space="0" w:color="auto"/>
              <w:right w:val="single" w:sz="8" w:space="0" w:color="auto"/>
            </w:tcBorders>
          </w:tcPr>
          <w:p w14:paraId="04339471" w14:textId="40A63705" w:rsidR="68FB7C35" w:rsidRPr="00306F4D" w:rsidRDefault="68FB7C35" w:rsidP="00FC2E4E">
            <w:pPr>
              <w:spacing w:after="0" w:line="276" w:lineRule="auto"/>
              <w:jc w:val="both"/>
              <w:rPr>
                <w:rFonts w:ascii="Arial" w:eastAsia="Arial" w:hAnsi="Arial" w:cs="Arial"/>
                <w:sz w:val="20"/>
                <w:szCs w:val="20"/>
              </w:rPr>
            </w:pPr>
            <w:r w:rsidRPr="00306F4D">
              <w:rPr>
                <w:rFonts w:ascii="Arial" w:eastAsia="Arial" w:hAnsi="Arial" w:cs="Arial"/>
                <w:sz w:val="20"/>
                <w:szCs w:val="20"/>
                <w:lang w:val="en-GB"/>
              </w:rPr>
              <w:lastRenderedPageBreak/>
              <w:t>Medium/High</w:t>
            </w:r>
            <w:r w:rsidRPr="00306F4D">
              <w:rPr>
                <w:rFonts w:ascii="Arial" w:eastAsia="Arial" w:hAnsi="Arial" w:cs="Arial"/>
                <w:sz w:val="20"/>
                <w:szCs w:val="20"/>
              </w:rPr>
              <w:t xml:space="preserve"> </w:t>
            </w:r>
          </w:p>
        </w:tc>
        <w:tc>
          <w:tcPr>
            <w:tcW w:w="5539" w:type="dxa"/>
            <w:tcBorders>
              <w:top w:val="single" w:sz="8" w:space="0" w:color="auto"/>
              <w:left w:val="single" w:sz="8" w:space="0" w:color="auto"/>
              <w:bottom w:val="single" w:sz="8" w:space="0" w:color="auto"/>
              <w:right w:val="single" w:sz="8" w:space="0" w:color="auto"/>
            </w:tcBorders>
          </w:tcPr>
          <w:p w14:paraId="6172C080" w14:textId="7970A454" w:rsidR="68FB7C35" w:rsidRPr="00306F4D" w:rsidRDefault="68FB7C35" w:rsidP="00FC2E4E">
            <w:pPr>
              <w:spacing w:after="0" w:line="276" w:lineRule="auto"/>
              <w:jc w:val="both"/>
              <w:rPr>
                <w:rFonts w:ascii="Arial" w:eastAsia="Arial" w:hAnsi="Arial" w:cs="Arial"/>
                <w:sz w:val="20"/>
                <w:szCs w:val="20"/>
                <w:lang w:val="en-GB"/>
              </w:rPr>
            </w:pPr>
            <w:r w:rsidRPr="00306F4D">
              <w:rPr>
                <w:rFonts w:ascii="Arial" w:eastAsia="Arial" w:hAnsi="Arial" w:cs="Arial"/>
                <w:sz w:val="20"/>
                <w:szCs w:val="20"/>
                <w:lang w:val="en-GB"/>
              </w:rPr>
              <w:t>While it is common for only a portion of innovative or early-stage initiatives to secure follow-on funding the programme is designed to improve these odds by strengthening grantees’ capacity for long-term sustainability.</w:t>
            </w:r>
          </w:p>
          <w:p w14:paraId="78396187" w14:textId="093F75DA" w:rsidR="68FB7C35" w:rsidRPr="00306F4D" w:rsidRDefault="68FB7C35" w:rsidP="00FC2E4E">
            <w:pPr>
              <w:spacing w:after="0" w:line="276" w:lineRule="auto"/>
              <w:jc w:val="both"/>
              <w:rPr>
                <w:rFonts w:ascii="Arial" w:eastAsia="Arial" w:hAnsi="Arial" w:cs="Arial"/>
                <w:sz w:val="20"/>
                <w:szCs w:val="20"/>
                <w:lang w:val="en-GB"/>
              </w:rPr>
            </w:pPr>
            <w:r w:rsidRPr="00306F4D">
              <w:rPr>
                <w:rFonts w:ascii="Arial" w:eastAsia="Arial" w:hAnsi="Arial" w:cs="Arial"/>
                <w:sz w:val="20"/>
                <w:szCs w:val="20"/>
                <w:lang w:val="en-GB"/>
              </w:rPr>
              <w:lastRenderedPageBreak/>
              <w:t>Through targeted technical assistance, the project will help grantees enhance their financial planning, develop robust business models, and strengthen partnerships. This support aims to make initiatives more ‘investment-ready’, enabling them to attract additional funding and diversify income streams.</w:t>
            </w:r>
          </w:p>
          <w:p w14:paraId="1D9E0E50" w14:textId="0585E512" w:rsidR="61480D35" w:rsidRPr="00306F4D" w:rsidRDefault="61480D35" w:rsidP="00FC2E4E">
            <w:pPr>
              <w:spacing w:after="0" w:line="276" w:lineRule="auto"/>
              <w:jc w:val="both"/>
              <w:rPr>
                <w:rFonts w:ascii="Arial" w:eastAsia="Arial" w:hAnsi="Arial" w:cs="Arial"/>
                <w:sz w:val="20"/>
                <w:szCs w:val="20"/>
                <w:lang w:val="en-GB"/>
              </w:rPr>
            </w:pPr>
            <w:r w:rsidRPr="00306F4D">
              <w:rPr>
                <w:rFonts w:ascii="Arial" w:eastAsia="Arial" w:hAnsi="Arial" w:cs="Arial"/>
                <w:sz w:val="20"/>
                <w:szCs w:val="20"/>
                <w:lang w:val="en-GB"/>
              </w:rPr>
              <w:t>By addressing core barriers such as limited access to finance, technical know-how, and strategic networks, the project aims to bridge the gap between promising community-led adaptation initiatives and the resources needed for sustained impact. Based on comparable experience, it is anticipated that approximately 20–30% of supported initiatives may successfully secure follow-on investment or replication support.</w:t>
            </w:r>
          </w:p>
        </w:tc>
      </w:tr>
      <w:tr w:rsidR="68FB7C35" w:rsidRPr="00306F4D" w14:paraId="186C1A7A" w14:textId="77777777" w:rsidTr="00BC3363">
        <w:trPr>
          <w:trHeight w:val="300"/>
        </w:trPr>
        <w:tc>
          <w:tcPr>
            <w:tcW w:w="2684" w:type="dxa"/>
            <w:tcBorders>
              <w:top w:val="single" w:sz="8" w:space="0" w:color="auto"/>
              <w:left w:val="single" w:sz="8" w:space="0" w:color="auto"/>
              <w:bottom w:val="single" w:sz="8" w:space="0" w:color="auto"/>
              <w:right w:val="single" w:sz="8" w:space="0" w:color="auto"/>
            </w:tcBorders>
          </w:tcPr>
          <w:p w14:paraId="17F17C1C" w14:textId="34AA9E0D" w:rsidR="68FB7C35" w:rsidRPr="00306F4D" w:rsidRDefault="68FB7C35" w:rsidP="00FC2E4E">
            <w:pPr>
              <w:spacing w:after="0" w:line="276" w:lineRule="auto"/>
              <w:jc w:val="both"/>
              <w:rPr>
                <w:rFonts w:ascii="Arial" w:eastAsia="Arial" w:hAnsi="Arial" w:cs="Arial"/>
                <w:sz w:val="20"/>
                <w:szCs w:val="20"/>
              </w:rPr>
            </w:pPr>
            <w:r w:rsidRPr="00306F4D">
              <w:rPr>
                <w:rFonts w:ascii="Arial" w:eastAsia="Arial" w:hAnsi="Arial" w:cs="Arial"/>
                <w:sz w:val="20"/>
                <w:szCs w:val="20"/>
                <w:lang w:val="en-GB"/>
              </w:rPr>
              <w:lastRenderedPageBreak/>
              <w:t xml:space="preserve">Environmental, social and governance risk not managed, triggering risk events </w:t>
            </w:r>
            <w:r w:rsidRPr="00306F4D">
              <w:rPr>
                <w:rFonts w:ascii="Arial" w:eastAsia="Arial" w:hAnsi="Arial" w:cs="Arial"/>
                <w:sz w:val="20"/>
                <w:szCs w:val="20"/>
              </w:rPr>
              <w:t xml:space="preserve"> </w:t>
            </w:r>
          </w:p>
        </w:tc>
        <w:tc>
          <w:tcPr>
            <w:tcW w:w="1275" w:type="dxa"/>
            <w:tcBorders>
              <w:top w:val="single" w:sz="8" w:space="0" w:color="auto"/>
              <w:left w:val="single" w:sz="8" w:space="0" w:color="auto"/>
              <w:bottom w:val="single" w:sz="8" w:space="0" w:color="auto"/>
              <w:right w:val="single" w:sz="8" w:space="0" w:color="auto"/>
            </w:tcBorders>
          </w:tcPr>
          <w:p w14:paraId="724DEDAE" w14:textId="089F0ED5" w:rsidR="68FB7C35" w:rsidRPr="00306F4D" w:rsidRDefault="68FB7C35" w:rsidP="00FC2E4E">
            <w:pPr>
              <w:spacing w:after="0" w:line="276" w:lineRule="auto"/>
              <w:jc w:val="both"/>
              <w:rPr>
                <w:rFonts w:ascii="Arial" w:eastAsia="Arial" w:hAnsi="Arial" w:cs="Arial"/>
                <w:sz w:val="20"/>
                <w:szCs w:val="20"/>
              </w:rPr>
            </w:pPr>
            <w:r w:rsidRPr="00306F4D">
              <w:rPr>
                <w:rFonts w:ascii="Arial" w:eastAsia="Arial" w:hAnsi="Arial" w:cs="Arial"/>
                <w:sz w:val="20"/>
                <w:szCs w:val="20"/>
                <w:lang w:val="en-GB"/>
              </w:rPr>
              <w:t>Medium</w:t>
            </w:r>
            <w:r w:rsidRPr="00306F4D">
              <w:rPr>
                <w:rFonts w:ascii="Arial" w:eastAsia="Arial" w:hAnsi="Arial" w:cs="Arial"/>
                <w:sz w:val="20"/>
                <w:szCs w:val="20"/>
              </w:rPr>
              <w:t xml:space="preserve"> </w:t>
            </w:r>
          </w:p>
        </w:tc>
        <w:tc>
          <w:tcPr>
            <w:tcW w:w="5539" w:type="dxa"/>
            <w:tcBorders>
              <w:top w:val="single" w:sz="8" w:space="0" w:color="auto"/>
              <w:left w:val="single" w:sz="8" w:space="0" w:color="auto"/>
              <w:bottom w:val="single" w:sz="8" w:space="0" w:color="auto"/>
              <w:right w:val="single" w:sz="8" w:space="0" w:color="auto"/>
            </w:tcBorders>
          </w:tcPr>
          <w:p w14:paraId="558746AC" w14:textId="58915715" w:rsidR="68FB7C35" w:rsidRPr="00306F4D" w:rsidRDefault="68FB7C35" w:rsidP="00FC2E4E">
            <w:pPr>
              <w:spacing w:after="0" w:line="276" w:lineRule="auto"/>
              <w:jc w:val="both"/>
              <w:rPr>
                <w:rFonts w:ascii="Arial" w:eastAsia="Arial" w:hAnsi="Arial" w:cs="Arial"/>
                <w:sz w:val="20"/>
                <w:szCs w:val="20"/>
              </w:rPr>
            </w:pPr>
            <w:r w:rsidRPr="00306F4D">
              <w:rPr>
                <w:rFonts w:ascii="Arial" w:eastAsia="Arial" w:hAnsi="Arial" w:cs="Arial"/>
                <w:sz w:val="20"/>
                <w:szCs w:val="20"/>
                <w:lang w:val="en-GB"/>
              </w:rPr>
              <w:t xml:space="preserve">Environmental, social and governance criteria will be established in every step of the project under the guidance of UNDP teams. UNDP Social and Environmental Safeguards Procedure (SESP) will be used to ensure the controls of this risk are in place. ESG management plan will be prepared before the programme implementation. Call of proposal will highlight potential ESG risk, selection template will contain ESG risk identification questions, ESG expert will be presented in the technical panel, </w:t>
            </w:r>
            <w:r w:rsidR="58AB2C8F" w:rsidRPr="00306F4D">
              <w:rPr>
                <w:rFonts w:ascii="Arial" w:eastAsia="Arial" w:hAnsi="Arial" w:cs="Arial"/>
                <w:sz w:val="20"/>
                <w:szCs w:val="20"/>
                <w:lang w:val="en-GB"/>
              </w:rPr>
              <w:t>MEL</w:t>
            </w:r>
            <w:r w:rsidRPr="00306F4D">
              <w:rPr>
                <w:rFonts w:ascii="Arial" w:eastAsia="Arial" w:hAnsi="Arial" w:cs="Arial"/>
                <w:sz w:val="20"/>
                <w:szCs w:val="20"/>
                <w:lang w:val="en-GB"/>
              </w:rPr>
              <w:t xml:space="preserve"> </w:t>
            </w:r>
            <w:r w:rsidR="35CFA257" w:rsidRPr="00306F4D">
              <w:rPr>
                <w:rFonts w:ascii="Arial" w:eastAsia="Arial" w:hAnsi="Arial" w:cs="Arial"/>
                <w:sz w:val="20"/>
                <w:szCs w:val="20"/>
                <w:lang w:val="en-GB"/>
              </w:rPr>
              <w:t>reporting's</w:t>
            </w:r>
            <w:r w:rsidR="733C43A9" w:rsidRPr="00306F4D">
              <w:rPr>
                <w:rFonts w:ascii="Arial" w:eastAsia="Arial" w:hAnsi="Arial" w:cs="Arial"/>
                <w:sz w:val="20"/>
                <w:szCs w:val="20"/>
                <w:lang w:val="en-GB"/>
              </w:rPr>
              <w:t xml:space="preserve"> </w:t>
            </w:r>
            <w:r w:rsidRPr="00306F4D">
              <w:rPr>
                <w:rFonts w:ascii="Arial" w:eastAsia="Arial" w:hAnsi="Arial" w:cs="Arial"/>
                <w:sz w:val="20"/>
                <w:szCs w:val="20"/>
                <w:lang w:val="en-GB"/>
              </w:rPr>
              <w:t xml:space="preserve">will also contain a ESG reporting section. </w:t>
            </w:r>
            <w:r w:rsidRPr="00306F4D">
              <w:rPr>
                <w:rFonts w:ascii="Arial" w:eastAsia="Arial" w:hAnsi="Arial" w:cs="Arial"/>
                <w:sz w:val="20"/>
                <w:szCs w:val="20"/>
              </w:rPr>
              <w:t xml:space="preserve"> </w:t>
            </w:r>
          </w:p>
        </w:tc>
      </w:tr>
    </w:tbl>
    <w:p w14:paraId="5FC82D0C" w14:textId="09BD7F25" w:rsidR="4186447D" w:rsidRPr="00306F4D" w:rsidRDefault="4186447D" w:rsidP="00E60D8F">
      <w:pPr>
        <w:pStyle w:val="Footer"/>
        <w:spacing w:line="276" w:lineRule="auto"/>
        <w:rPr>
          <w:rFonts w:ascii="Arial" w:eastAsia="Arial" w:hAnsi="Arial" w:cs="Arial"/>
          <w:sz w:val="20"/>
          <w:szCs w:val="20"/>
          <w:lang w:val="en-GB"/>
        </w:rPr>
      </w:pPr>
    </w:p>
    <w:p w14:paraId="5FA2721D" w14:textId="77777777" w:rsidR="00456734" w:rsidRPr="00306F4D" w:rsidRDefault="00456734" w:rsidP="00456734">
      <w:pPr>
        <w:pStyle w:val="Footer"/>
        <w:numPr>
          <w:ilvl w:val="0"/>
          <w:numId w:val="24"/>
        </w:numPr>
        <w:tabs>
          <w:tab w:val="clear" w:pos="720"/>
          <w:tab w:val="clear" w:pos="4680"/>
          <w:tab w:val="clear" w:pos="9360"/>
          <w:tab w:val="num" w:pos="360"/>
        </w:tabs>
        <w:spacing w:line="276" w:lineRule="auto"/>
        <w:ind w:left="360"/>
        <w:rPr>
          <w:rStyle w:val="Heading2Char"/>
          <w:rFonts w:ascii="Arial" w:eastAsia="Arial" w:hAnsi="Arial" w:cs="Arial"/>
          <w:color w:val="E7E6E6" w:themeColor="background2"/>
          <w:sz w:val="22"/>
          <w:szCs w:val="22"/>
          <w:lang w:val="en-GB"/>
        </w:rPr>
      </w:pPr>
      <w:r w:rsidRPr="00306F4D">
        <w:rPr>
          <w:rFonts w:ascii="Arial" w:eastAsia="Arial" w:hAnsi="Arial" w:cs="Arial"/>
          <w:color w:val="AEAAAA" w:themeColor="background2" w:themeShade="BF"/>
          <w:lang w:val="en-GB"/>
        </w:rPr>
        <w:t>Describe the measures for environmental and social risk management, in line with the Environmental and Social Policy of the Adaptation Fund.</w:t>
      </w:r>
    </w:p>
    <w:p w14:paraId="58A11306" w14:textId="4BE586D6" w:rsidR="4186447D" w:rsidRPr="00306F4D" w:rsidRDefault="4186447D" w:rsidP="4186447D">
      <w:pPr>
        <w:pStyle w:val="Footer"/>
        <w:tabs>
          <w:tab w:val="clear" w:pos="4680"/>
          <w:tab w:val="clear" w:pos="9360"/>
          <w:tab w:val="num" w:pos="360"/>
        </w:tabs>
        <w:spacing w:line="276" w:lineRule="auto"/>
        <w:ind w:left="360"/>
        <w:rPr>
          <w:rStyle w:val="Heading2Char"/>
          <w:rFonts w:ascii="Arial" w:eastAsia="Arial" w:hAnsi="Arial" w:cs="Arial"/>
          <w:color w:val="E7E6E6" w:themeColor="background2"/>
          <w:sz w:val="20"/>
          <w:szCs w:val="20"/>
          <w:lang w:val="en-GB"/>
        </w:rPr>
      </w:pPr>
    </w:p>
    <w:p w14:paraId="151D2000" w14:textId="3DF57772" w:rsidR="6C26C6DA" w:rsidRPr="00306F4D" w:rsidRDefault="3B51E5E6" w:rsidP="05C4309A">
      <w:pPr>
        <w:pStyle w:val="Heading1"/>
        <w:spacing w:line="276" w:lineRule="auto"/>
        <w:rPr>
          <w:sz w:val="20"/>
          <w:szCs w:val="20"/>
          <w:lang w:val="en-GB"/>
        </w:rPr>
      </w:pPr>
      <w:bookmarkStart w:id="196" w:name="_Toc984891983"/>
      <w:bookmarkStart w:id="197" w:name="_Toc1479134508"/>
      <w:bookmarkStart w:id="198" w:name="_Toc202165724"/>
      <w:bookmarkStart w:id="199" w:name="_Toc202893755"/>
      <w:r w:rsidRPr="00306F4D">
        <w:rPr>
          <w:rStyle w:val="Heading2Char"/>
          <w:rFonts w:ascii="Arial" w:eastAsia="Arial" w:hAnsi="Arial" w:cs="Arial"/>
          <w:sz w:val="20"/>
          <w:szCs w:val="20"/>
          <w:lang w:val="en-GB"/>
        </w:rPr>
        <w:t>Environmental and Social Risk Management Measures</w:t>
      </w:r>
      <w:bookmarkEnd w:id="196"/>
      <w:bookmarkEnd w:id="197"/>
      <w:bookmarkEnd w:id="198"/>
      <w:r w:rsidRPr="00306F4D">
        <w:rPr>
          <w:sz w:val="20"/>
          <w:szCs w:val="20"/>
          <w:lang w:val="en-GB"/>
        </w:rPr>
        <w:t xml:space="preserve"> </w:t>
      </w:r>
      <w:bookmarkEnd w:id="199"/>
    </w:p>
    <w:p w14:paraId="0DE283D9" w14:textId="4A20253E" w:rsidR="00B4016F" w:rsidRPr="00306F4D" w:rsidRDefault="1F802E5E" w:rsidP="00FC2E4E">
      <w:pPr>
        <w:spacing w:line="276" w:lineRule="auto"/>
        <w:rPr>
          <w:rFonts w:ascii="Arial" w:eastAsia="Arial" w:hAnsi="Arial" w:cs="Arial"/>
          <w:sz w:val="20"/>
          <w:szCs w:val="20"/>
          <w:lang w:val="en-GB"/>
        </w:rPr>
      </w:pPr>
      <w:r w:rsidRPr="00306F4D">
        <w:rPr>
          <w:rFonts w:ascii="Arial" w:eastAsia="Arial" w:hAnsi="Arial" w:cs="Arial"/>
          <w:sz w:val="20"/>
          <w:szCs w:val="20"/>
          <w:lang w:val="en-GB"/>
        </w:rPr>
        <w:t xml:space="preserve">A detailed </w:t>
      </w:r>
      <w:r w:rsidR="07D74968" w:rsidRPr="00306F4D">
        <w:rPr>
          <w:rFonts w:ascii="Arial" w:eastAsia="Arial" w:hAnsi="Arial" w:cs="Arial"/>
          <w:sz w:val="20"/>
          <w:szCs w:val="20"/>
          <w:lang w:val="en-GB"/>
        </w:rPr>
        <w:t>Social and Environmental Screening Procedure (</w:t>
      </w:r>
      <w:r w:rsidRPr="00306F4D">
        <w:rPr>
          <w:rFonts w:ascii="Arial" w:eastAsia="Arial" w:hAnsi="Arial" w:cs="Arial"/>
          <w:sz w:val="20"/>
          <w:szCs w:val="20"/>
          <w:lang w:val="en-GB"/>
        </w:rPr>
        <w:t>SESP</w:t>
      </w:r>
      <w:r w:rsidR="07D74968" w:rsidRPr="00306F4D">
        <w:rPr>
          <w:rFonts w:ascii="Arial" w:eastAsia="Arial" w:hAnsi="Arial" w:cs="Arial"/>
          <w:sz w:val="20"/>
          <w:szCs w:val="20"/>
          <w:lang w:val="en-GB"/>
        </w:rPr>
        <w:t>)</w:t>
      </w:r>
      <w:r w:rsidRPr="00306F4D">
        <w:rPr>
          <w:rFonts w:ascii="Arial" w:eastAsia="Arial" w:hAnsi="Arial" w:cs="Arial"/>
          <w:sz w:val="20"/>
          <w:szCs w:val="20"/>
          <w:lang w:val="en-GB"/>
        </w:rPr>
        <w:t xml:space="preserve"> </w:t>
      </w:r>
      <w:proofErr w:type="gramStart"/>
      <w:r w:rsidRPr="00306F4D">
        <w:rPr>
          <w:rFonts w:ascii="Arial" w:eastAsia="Arial" w:hAnsi="Arial" w:cs="Arial"/>
          <w:sz w:val="20"/>
          <w:szCs w:val="20"/>
          <w:lang w:val="en-GB"/>
        </w:rPr>
        <w:t>and</w:t>
      </w:r>
      <w:r w:rsidR="07D74968" w:rsidRPr="00306F4D">
        <w:rPr>
          <w:rFonts w:ascii="Arial" w:eastAsia="Arial" w:hAnsi="Arial" w:cs="Arial"/>
          <w:sz w:val="20"/>
          <w:szCs w:val="20"/>
          <w:lang w:val="en-GB"/>
        </w:rPr>
        <w:t xml:space="preserve">  Environmental</w:t>
      </w:r>
      <w:proofErr w:type="gramEnd"/>
      <w:r w:rsidR="07D74968" w:rsidRPr="00306F4D">
        <w:rPr>
          <w:rFonts w:ascii="Arial" w:eastAsia="Arial" w:hAnsi="Arial" w:cs="Arial"/>
          <w:sz w:val="20"/>
          <w:szCs w:val="20"/>
          <w:lang w:val="en-GB"/>
        </w:rPr>
        <w:t xml:space="preserve"> and Social </w:t>
      </w:r>
      <w:r w:rsidR="2FE02E0B" w:rsidRPr="00306F4D">
        <w:rPr>
          <w:rFonts w:ascii="Arial" w:eastAsia="Arial" w:hAnsi="Arial" w:cs="Arial"/>
          <w:sz w:val="20"/>
          <w:szCs w:val="20"/>
          <w:lang w:val="en-GB"/>
        </w:rPr>
        <w:t>Management Framework (</w:t>
      </w:r>
      <w:r w:rsidRPr="00306F4D">
        <w:rPr>
          <w:rFonts w:ascii="Arial" w:eastAsia="Arial" w:hAnsi="Arial" w:cs="Arial"/>
          <w:sz w:val="20"/>
          <w:szCs w:val="20"/>
          <w:lang w:val="en-GB"/>
        </w:rPr>
        <w:t>ESFM</w:t>
      </w:r>
      <w:r w:rsidR="2FE02E0B" w:rsidRPr="00306F4D">
        <w:rPr>
          <w:rFonts w:ascii="Arial" w:eastAsia="Arial" w:hAnsi="Arial" w:cs="Arial"/>
          <w:sz w:val="20"/>
          <w:szCs w:val="20"/>
          <w:lang w:val="en-GB"/>
        </w:rPr>
        <w:t xml:space="preserve">), that complies with the Adaptation Fund´s Safeguards Policy and UNDP´s Safeguard policy is presented </w:t>
      </w:r>
      <w:r w:rsidR="53F7E241" w:rsidRPr="00306F4D">
        <w:rPr>
          <w:rFonts w:ascii="Arial" w:eastAsia="Arial" w:hAnsi="Arial" w:cs="Arial"/>
          <w:sz w:val="20"/>
          <w:szCs w:val="20"/>
          <w:lang w:val="en-GB"/>
        </w:rPr>
        <w:t>in</w:t>
      </w:r>
      <w:r w:rsidR="53F7E241" w:rsidRPr="00306F4D">
        <w:rPr>
          <w:rFonts w:ascii="Arial" w:eastAsia="Arial" w:hAnsi="Arial" w:cs="Arial"/>
          <w:color w:val="FF0000"/>
          <w:sz w:val="20"/>
          <w:szCs w:val="20"/>
          <w:lang w:val="en-GB"/>
        </w:rPr>
        <w:t xml:space="preserve"> </w:t>
      </w:r>
      <w:r w:rsidR="53F7E241" w:rsidRPr="00306F4D">
        <w:rPr>
          <w:rFonts w:ascii="Arial" w:eastAsia="Arial" w:hAnsi="Arial" w:cs="Arial"/>
          <w:b/>
          <w:bCs/>
          <w:color w:val="FF0000"/>
          <w:sz w:val="20"/>
          <w:szCs w:val="20"/>
          <w:lang w:val="en-GB"/>
        </w:rPr>
        <w:t xml:space="preserve">Annex </w:t>
      </w:r>
      <w:r w:rsidR="0C34A788" w:rsidRPr="00306F4D">
        <w:rPr>
          <w:rFonts w:ascii="Arial" w:eastAsia="Arial" w:hAnsi="Arial" w:cs="Arial"/>
          <w:b/>
          <w:bCs/>
          <w:color w:val="FF0000"/>
          <w:sz w:val="20"/>
          <w:szCs w:val="20"/>
          <w:lang w:val="en-GB"/>
        </w:rPr>
        <w:t>3</w:t>
      </w:r>
      <w:r w:rsidR="53F7E241" w:rsidRPr="00306F4D">
        <w:rPr>
          <w:rFonts w:ascii="Arial" w:eastAsia="Arial" w:hAnsi="Arial" w:cs="Arial"/>
          <w:b/>
          <w:bCs/>
          <w:color w:val="FF0000"/>
          <w:sz w:val="20"/>
          <w:szCs w:val="20"/>
          <w:lang w:val="en-GB"/>
        </w:rPr>
        <w:t xml:space="preserve"> and </w:t>
      </w:r>
      <w:r w:rsidR="0B09E133" w:rsidRPr="00306F4D">
        <w:rPr>
          <w:rFonts w:ascii="Arial" w:eastAsia="Arial" w:hAnsi="Arial" w:cs="Arial"/>
          <w:b/>
          <w:bCs/>
          <w:color w:val="FF0000"/>
          <w:sz w:val="20"/>
          <w:szCs w:val="20"/>
          <w:lang w:val="en-GB"/>
        </w:rPr>
        <w:t>4</w:t>
      </w:r>
      <w:r w:rsidR="53F7E241" w:rsidRPr="00306F4D">
        <w:rPr>
          <w:rFonts w:ascii="Arial" w:eastAsia="Arial" w:hAnsi="Arial" w:cs="Arial"/>
          <w:b/>
          <w:bCs/>
          <w:color w:val="FF0000"/>
          <w:sz w:val="20"/>
          <w:szCs w:val="20"/>
          <w:lang w:val="en-GB"/>
        </w:rPr>
        <w:t xml:space="preserve"> respectively.</w:t>
      </w:r>
      <w:r w:rsidRPr="00306F4D">
        <w:rPr>
          <w:rFonts w:ascii="Arial" w:eastAsia="Arial" w:hAnsi="Arial" w:cs="Arial"/>
          <w:color w:val="FF0000"/>
          <w:sz w:val="20"/>
          <w:szCs w:val="20"/>
          <w:lang w:val="en-GB"/>
        </w:rPr>
        <w:t xml:space="preserve"> </w:t>
      </w:r>
    </w:p>
    <w:p w14:paraId="76F7B52E" w14:textId="77777777" w:rsidR="00B4016F" w:rsidRPr="00306F4D" w:rsidRDefault="00B4016F" w:rsidP="00FC2E4E">
      <w:pPr>
        <w:spacing w:line="276" w:lineRule="auto"/>
        <w:jc w:val="both"/>
        <w:rPr>
          <w:rFonts w:ascii="Arial" w:eastAsia="Arial" w:hAnsi="Arial" w:cs="Arial"/>
          <w:sz w:val="20"/>
          <w:szCs w:val="20"/>
        </w:rPr>
      </w:pPr>
      <w:r w:rsidRPr="00306F4D">
        <w:rPr>
          <w:rFonts w:ascii="Arial" w:eastAsia="Arial" w:hAnsi="Arial" w:cs="Arial"/>
          <w:sz w:val="20"/>
          <w:szCs w:val="20"/>
        </w:rPr>
        <w:t>The Regional Project is fully aligned with the Environmental and Social Policy (ESP) of the Adaptation Fund and UNDP’s Social and Environmental Standards (SES). It incorporates a comprehensive, phased approach to environmental and social risk management, ensuring that all activities are implemented responsibly and inclusively.</w:t>
      </w:r>
    </w:p>
    <w:p w14:paraId="17EEA70A" w14:textId="77777777" w:rsidR="00B4016F" w:rsidRPr="00306F4D" w:rsidRDefault="00B4016F" w:rsidP="00FC2E4E">
      <w:pPr>
        <w:spacing w:line="276" w:lineRule="auto"/>
        <w:jc w:val="both"/>
        <w:rPr>
          <w:rFonts w:ascii="Arial" w:eastAsia="Arial" w:hAnsi="Arial" w:cs="Arial"/>
          <w:b/>
          <w:sz w:val="20"/>
          <w:szCs w:val="20"/>
        </w:rPr>
      </w:pPr>
      <w:r w:rsidRPr="00306F4D">
        <w:rPr>
          <w:rFonts w:ascii="Arial" w:eastAsia="Arial" w:hAnsi="Arial" w:cs="Arial"/>
          <w:b/>
          <w:sz w:val="20"/>
          <w:szCs w:val="20"/>
        </w:rPr>
        <w:t>1. Preliminary Risk Screening</w:t>
      </w:r>
    </w:p>
    <w:p w14:paraId="398AF1E4" w14:textId="1DEB1C0C" w:rsidR="00B4016F" w:rsidRPr="00306F4D" w:rsidRDefault="00C42A9F" w:rsidP="00093F5F">
      <w:pPr>
        <w:numPr>
          <w:ilvl w:val="0"/>
          <w:numId w:val="58"/>
        </w:numPr>
        <w:spacing w:line="276" w:lineRule="auto"/>
        <w:jc w:val="both"/>
        <w:rPr>
          <w:rFonts w:ascii="Arial" w:eastAsia="Arial" w:hAnsi="Arial" w:cs="Arial"/>
          <w:sz w:val="20"/>
          <w:szCs w:val="20"/>
        </w:rPr>
      </w:pPr>
      <w:r w:rsidRPr="00306F4D">
        <w:rPr>
          <w:rFonts w:ascii="Arial" w:eastAsia="Arial" w:hAnsi="Arial" w:cs="Arial"/>
          <w:sz w:val="20"/>
          <w:szCs w:val="20"/>
        </w:rPr>
        <w:t xml:space="preserve">Grantees will be requested to </w:t>
      </w:r>
      <w:r w:rsidR="64B5EE43" w:rsidRPr="00306F4D">
        <w:rPr>
          <w:rFonts w:ascii="Arial" w:eastAsia="Arial" w:hAnsi="Arial" w:cs="Arial"/>
          <w:sz w:val="20"/>
          <w:szCs w:val="20"/>
        </w:rPr>
        <w:t xml:space="preserve">consider - </w:t>
      </w:r>
      <w:r w:rsidR="36884230" w:rsidRPr="00306F4D">
        <w:rPr>
          <w:rFonts w:ascii="Arial" w:eastAsia="Arial" w:hAnsi="Arial" w:cs="Arial"/>
          <w:sz w:val="20"/>
          <w:szCs w:val="20"/>
        </w:rPr>
        <w:t xml:space="preserve">with the help of </w:t>
      </w:r>
      <w:r w:rsidRPr="00306F4D">
        <w:rPr>
          <w:rFonts w:ascii="Arial" w:eastAsia="Arial" w:hAnsi="Arial" w:cs="Arial"/>
          <w:sz w:val="20"/>
          <w:szCs w:val="20"/>
        </w:rPr>
        <w:t xml:space="preserve">using </w:t>
      </w:r>
      <w:r w:rsidR="7A13CAF8" w:rsidRPr="00306F4D">
        <w:rPr>
          <w:rFonts w:ascii="Arial" w:eastAsia="Arial" w:hAnsi="Arial" w:cs="Arial"/>
          <w:sz w:val="20"/>
          <w:szCs w:val="20"/>
        </w:rPr>
        <w:t xml:space="preserve">the guidance </w:t>
      </w:r>
      <w:r w:rsidR="1D936DE9" w:rsidRPr="00306F4D">
        <w:rPr>
          <w:rFonts w:ascii="Arial" w:eastAsia="Arial" w:hAnsi="Arial" w:cs="Arial"/>
          <w:sz w:val="20"/>
          <w:szCs w:val="20"/>
          <w:lang w:val="en-GB"/>
        </w:rPr>
        <w:t>proposed in the ESMF</w:t>
      </w:r>
      <w:r w:rsidR="00984508" w:rsidRPr="00306F4D">
        <w:rPr>
          <w:rFonts w:ascii="Arial" w:eastAsia="Arial" w:hAnsi="Arial" w:cs="Arial"/>
          <w:sz w:val="20"/>
          <w:szCs w:val="20"/>
          <w:lang w:val="en-GB"/>
        </w:rPr>
        <w:t xml:space="preserve"> </w:t>
      </w:r>
      <w:r w:rsidR="1EF85837" w:rsidRPr="00306F4D">
        <w:rPr>
          <w:rFonts w:ascii="Arial" w:eastAsia="Arial" w:hAnsi="Arial" w:cs="Arial"/>
          <w:sz w:val="20"/>
          <w:szCs w:val="20"/>
          <w:lang w:val="en-GB"/>
        </w:rPr>
        <w:t xml:space="preserve">- </w:t>
      </w:r>
      <w:r w:rsidR="00984508" w:rsidRPr="00306F4D">
        <w:rPr>
          <w:rFonts w:ascii="Arial" w:eastAsia="Arial" w:hAnsi="Arial" w:cs="Arial"/>
          <w:sz w:val="20"/>
          <w:szCs w:val="20"/>
        </w:rPr>
        <w:t xml:space="preserve">the main risks that their solution/project could </w:t>
      </w:r>
      <w:r w:rsidR="00427059" w:rsidRPr="00306F4D">
        <w:rPr>
          <w:rFonts w:ascii="Arial" w:eastAsia="Arial" w:hAnsi="Arial" w:cs="Arial"/>
          <w:sz w:val="20"/>
          <w:szCs w:val="20"/>
        </w:rPr>
        <w:t xml:space="preserve">potentially </w:t>
      </w:r>
      <w:r w:rsidR="00984508" w:rsidRPr="00306F4D">
        <w:rPr>
          <w:rFonts w:ascii="Arial" w:eastAsia="Arial" w:hAnsi="Arial" w:cs="Arial"/>
          <w:sz w:val="20"/>
          <w:szCs w:val="20"/>
        </w:rPr>
        <w:t>generate in the environment</w:t>
      </w:r>
      <w:r w:rsidR="008F1784" w:rsidRPr="00306F4D">
        <w:rPr>
          <w:rFonts w:ascii="Arial" w:eastAsia="Arial" w:hAnsi="Arial" w:cs="Arial"/>
          <w:sz w:val="20"/>
          <w:szCs w:val="20"/>
        </w:rPr>
        <w:t xml:space="preserve"> and the communities where they plan to operate.</w:t>
      </w:r>
    </w:p>
    <w:p w14:paraId="41478E66" w14:textId="11CC73ED" w:rsidR="00C42A9F" w:rsidRPr="00306F4D" w:rsidRDefault="03DAB78E" w:rsidP="00093F5F">
      <w:pPr>
        <w:numPr>
          <w:ilvl w:val="0"/>
          <w:numId w:val="58"/>
        </w:numPr>
        <w:spacing w:line="276" w:lineRule="auto"/>
        <w:jc w:val="both"/>
        <w:rPr>
          <w:rFonts w:ascii="Arial" w:eastAsia="Arial" w:hAnsi="Arial" w:cs="Arial"/>
          <w:sz w:val="20"/>
          <w:szCs w:val="20"/>
        </w:rPr>
      </w:pPr>
      <w:r w:rsidRPr="00306F4D">
        <w:rPr>
          <w:rFonts w:ascii="Arial" w:eastAsia="Arial" w:hAnsi="Arial" w:cs="Arial"/>
          <w:sz w:val="20"/>
          <w:szCs w:val="20"/>
        </w:rPr>
        <w:t>Based on this, a</w:t>
      </w:r>
      <w:r w:rsidR="248B2681" w:rsidRPr="00306F4D">
        <w:rPr>
          <w:rFonts w:ascii="Arial" w:eastAsia="Arial" w:hAnsi="Arial" w:cs="Arial"/>
          <w:sz w:val="20"/>
          <w:szCs w:val="20"/>
        </w:rPr>
        <w:t xml:space="preserve">ll grantee proposals </w:t>
      </w:r>
      <w:r w:rsidR="0D604B68" w:rsidRPr="00306F4D">
        <w:rPr>
          <w:rFonts w:ascii="Arial" w:eastAsia="Arial" w:hAnsi="Arial" w:cs="Arial"/>
          <w:sz w:val="20"/>
          <w:szCs w:val="20"/>
        </w:rPr>
        <w:t>will submit</w:t>
      </w:r>
      <w:r w:rsidR="248B2681" w:rsidRPr="00306F4D">
        <w:rPr>
          <w:rFonts w:ascii="Arial" w:eastAsia="Arial" w:hAnsi="Arial" w:cs="Arial"/>
          <w:sz w:val="20"/>
          <w:szCs w:val="20"/>
        </w:rPr>
        <w:t xml:space="preserve"> </w:t>
      </w:r>
      <w:r w:rsidR="3814B4D3" w:rsidRPr="00306F4D">
        <w:rPr>
          <w:rFonts w:ascii="Arial" w:eastAsia="Arial" w:hAnsi="Arial" w:cs="Arial"/>
          <w:sz w:val="20"/>
          <w:szCs w:val="20"/>
        </w:rPr>
        <w:t xml:space="preserve">their </w:t>
      </w:r>
      <w:r w:rsidR="7DA747AC" w:rsidRPr="00306F4D">
        <w:rPr>
          <w:rFonts w:ascii="Arial" w:eastAsia="Arial" w:hAnsi="Arial" w:cs="Arial"/>
          <w:sz w:val="20"/>
          <w:szCs w:val="20"/>
        </w:rPr>
        <w:t>own initial</w:t>
      </w:r>
      <w:r w:rsidR="248B2681" w:rsidRPr="00306F4D">
        <w:rPr>
          <w:rFonts w:ascii="Arial" w:eastAsia="Arial" w:hAnsi="Arial" w:cs="Arial"/>
          <w:sz w:val="20"/>
          <w:szCs w:val="20"/>
        </w:rPr>
        <w:t xml:space="preserve"> environmental and social risk screening </w:t>
      </w:r>
      <w:r w:rsidR="02018607" w:rsidRPr="00306F4D">
        <w:rPr>
          <w:rFonts w:ascii="Arial" w:eastAsia="Arial" w:hAnsi="Arial" w:cs="Arial"/>
          <w:sz w:val="20"/>
          <w:szCs w:val="20"/>
        </w:rPr>
        <w:t xml:space="preserve">that will be reviewed </w:t>
      </w:r>
      <w:r w:rsidR="248B2681" w:rsidRPr="00306F4D">
        <w:rPr>
          <w:rFonts w:ascii="Arial" w:eastAsia="Arial" w:hAnsi="Arial" w:cs="Arial"/>
          <w:sz w:val="20"/>
          <w:szCs w:val="20"/>
        </w:rPr>
        <w:t>during the selection process</w:t>
      </w:r>
      <w:r w:rsidR="704FF47A" w:rsidRPr="00306F4D">
        <w:rPr>
          <w:rFonts w:ascii="Arial" w:eastAsia="Arial" w:hAnsi="Arial" w:cs="Arial"/>
          <w:sz w:val="20"/>
          <w:szCs w:val="20"/>
        </w:rPr>
        <w:t xml:space="preserve">, by </w:t>
      </w:r>
      <w:r w:rsidR="396B2A90" w:rsidRPr="00306F4D">
        <w:rPr>
          <w:rFonts w:ascii="Arial" w:eastAsia="Arial" w:hAnsi="Arial" w:cs="Arial"/>
          <w:sz w:val="20"/>
          <w:szCs w:val="20"/>
        </w:rPr>
        <w:t xml:space="preserve">the </w:t>
      </w:r>
      <w:r w:rsidR="25264CB0" w:rsidRPr="00306F4D">
        <w:rPr>
          <w:rFonts w:ascii="Arial" w:eastAsia="Arial" w:hAnsi="Arial" w:cs="Arial"/>
          <w:sz w:val="20"/>
          <w:szCs w:val="20"/>
        </w:rPr>
        <w:t>Performance and Data Analyst</w:t>
      </w:r>
      <w:r w:rsidR="396B2A90" w:rsidRPr="00306F4D">
        <w:rPr>
          <w:rFonts w:ascii="Arial" w:eastAsia="Arial" w:hAnsi="Arial" w:cs="Arial"/>
          <w:sz w:val="20"/>
          <w:szCs w:val="20"/>
        </w:rPr>
        <w:t xml:space="preserve"> with the help of the </w:t>
      </w:r>
      <w:r w:rsidR="704FF47A" w:rsidRPr="00306F4D">
        <w:rPr>
          <w:rFonts w:ascii="Arial" w:eastAsia="Arial" w:hAnsi="Arial" w:cs="Arial"/>
          <w:sz w:val="20"/>
          <w:szCs w:val="20"/>
        </w:rPr>
        <w:t>UNDP´s safeguard experts</w:t>
      </w:r>
      <w:r w:rsidR="248B2681" w:rsidRPr="00306F4D">
        <w:rPr>
          <w:rFonts w:ascii="Arial" w:eastAsia="Arial" w:hAnsi="Arial" w:cs="Arial"/>
          <w:sz w:val="20"/>
          <w:szCs w:val="20"/>
        </w:rPr>
        <w:t>.</w:t>
      </w:r>
    </w:p>
    <w:p w14:paraId="05510EAA" w14:textId="20590273" w:rsidR="00B4016F" w:rsidRPr="00306F4D" w:rsidRDefault="00B4016F" w:rsidP="00FC2E4E">
      <w:pPr>
        <w:spacing w:line="276" w:lineRule="auto"/>
        <w:jc w:val="both"/>
        <w:rPr>
          <w:rFonts w:ascii="Arial" w:eastAsia="Arial" w:hAnsi="Arial" w:cs="Arial"/>
          <w:b/>
          <w:sz w:val="20"/>
          <w:szCs w:val="20"/>
        </w:rPr>
      </w:pPr>
      <w:r w:rsidRPr="00306F4D">
        <w:rPr>
          <w:rFonts w:ascii="Arial" w:eastAsia="Arial" w:hAnsi="Arial" w:cs="Arial"/>
          <w:b/>
          <w:sz w:val="20"/>
          <w:szCs w:val="20"/>
        </w:rPr>
        <w:t xml:space="preserve">3. Integration of </w:t>
      </w:r>
      <w:r w:rsidR="36C973FF" w:rsidRPr="00306F4D">
        <w:rPr>
          <w:rFonts w:ascii="Arial" w:eastAsia="Arial" w:hAnsi="Arial" w:cs="Arial"/>
          <w:b/>
          <w:bCs/>
          <w:sz w:val="20"/>
          <w:szCs w:val="20"/>
        </w:rPr>
        <w:t>mitigation measures into final design of the supported actions</w:t>
      </w:r>
    </w:p>
    <w:p w14:paraId="1E5BAAA2" w14:textId="4EC4ED49" w:rsidR="00E32FEF" w:rsidRPr="00306F4D" w:rsidRDefault="5548B97C" w:rsidP="00413459">
      <w:pPr>
        <w:pStyle w:val="ListParagraph"/>
        <w:numPr>
          <w:ilvl w:val="0"/>
          <w:numId w:val="60"/>
        </w:numPr>
        <w:spacing w:line="276" w:lineRule="auto"/>
        <w:jc w:val="both"/>
        <w:rPr>
          <w:rFonts w:ascii="Arial" w:eastAsia="Arial" w:hAnsi="Arial" w:cs="Arial"/>
          <w:sz w:val="20"/>
          <w:szCs w:val="20"/>
        </w:rPr>
      </w:pPr>
      <w:r w:rsidRPr="00306F4D">
        <w:rPr>
          <w:rFonts w:ascii="Arial" w:eastAsia="Arial" w:hAnsi="Arial" w:cs="Arial"/>
          <w:sz w:val="20"/>
          <w:szCs w:val="20"/>
        </w:rPr>
        <w:lastRenderedPageBreak/>
        <w:t xml:space="preserve">If this screening identifies potential risks, </w:t>
      </w:r>
      <w:r w:rsidR="4C833DE3" w:rsidRPr="00306F4D">
        <w:rPr>
          <w:rFonts w:ascii="Arial" w:eastAsia="Arial" w:hAnsi="Arial" w:cs="Arial"/>
          <w:sz w:val="20"/>
          <w:szCs w:val="20"/>
        </w:rPr>
        <w:t xml:space="preserve">the applicants will be asked to explore </w:t>
      </w:r>
      <w:r w:rsidRPr="00306F4D">
        <w:rPr>
          <w:rFonts w:ascii="Arial" w:eastAsia="Arial" w:hAnsi="Arial" w:cs="Arial"/>
          <w:sz w:val="20"/>
          <w:szCs w:val="20"/>
        </w:rPr>
        <w:t xml:space="preserve">measures to </w:t>
      </w:r>
      <w:r w:rsidR="71275C27" w:rsidRPr="00306F4D">
        <w:rPr>
          <w:rFonts w:ascii="Arial" w:eastAsia="Arial" w:hAnsi="Arial" w:cs="Arial"/>
          <w:sz w:val="20"/>
          <w:szCs w:val="20"/>
        </w:rPr>
        <w:t>avoid, minimize, or offset any potentially significant risks</w:t>
      </w:r>
      <w:r w:rsidR="4A4C07EC" w:rsidRPr="00306F4D">
        <w:rPr>
          <w:rFonts w:ascii="Arial" w:eastAsia="Arial" w:hAnsi="Arial" w:cs="Arial"/>
          <w:sz w:val="20"/>
          <w:szCs w:val="20"/>
        </w:rPr>
        <w:t xml:space="preserve"> </w:t>
      </w:r>
      <w:proofErr w:type="gramStart"/>
      <w:r w:rsidR="4A4C07EC" w:rsidRPr="00306F4D">
        <w:rPr>
          <w:rFonts w:ascii="Arial" w:eastAsia="Arial" w:hAnsi="Arial" w:cs="Arial"/>
          <w:sz w:val="20"/>
          <w:szCs w:val="20"/>
        </w:rPr>
        <w:t>in order to</w:t>
      </w:r>
      <w:proofErr w:type="gramEnd"/>
      <w:r w:rsidR="1652FE2F" w:rsidRPr="00306F4D">
        <w:rPr>
          <w:rFonts w:ascii="Arial" w:eastAsia="Arial" w:hAnsi="Arial" w:cs="Arial"/>
          <w:sz w:val="20"/>
          <w:szCs w:val="20"/>
        </w:rPr>
        <w:t xml:space="preserve"> comply with the minimum</w:t>
      </w:r>
      <w:r w:rsidR="123B782B" w:rsidRPr="00306F4D">
        <w:rPr>
          <w:rFonts w:ascii="Arial" w:eastAsia="Arial" w:hAnsi="Arial" w:cs="Arial"/>
          <w:sz w:val="20"/>
          <w:szCs w:val="20"/>
        </w:rPr>
        <w:t xml:space="preserve"> legal requirements in each Western Balkan country and</w:t>
      </w:r>
      <w:r w:rsidR="1E22A5D8" w:rsidRPr="00306F4D">
        <w:rPr>
          <w:rFonts w:ascii="Arial" w:eastAsia="Arial" w:hAnsi="Arial" w:cs="Arial"/>
          <w:sz w:val="20"/>
          <w:szCs w:val="20"/>
        </w:rPr>
        <w:t xml:space="preserve"> the requirements </w:t>
      </w:r>
      <w:r w:rsidR="3A03E41F" w:rsidRPr="00306F4D">
        <w:rPr>
          <w:rFonts w:ascii="Arial" w:eastAsia="Arial" w:hAnsi="Arial" w:cs="Arial"/>
          <w:sz w:val="20"/>
          <w:szCs w:val="20"/>
        </w:rPr>
        <w:t>stipulated in</w:t>
      </w:r>
      <w:r w:rsidR="123B782B" w:rsidRPr="00306F4D">
        <w:rPr>
          <w:rFonts w:ascii="Arial" w:eastAsia="Arial" w:hAnsi="Arial" w:cs="Arial"/>
          <w:sz w:val="20"/>
          <w:szCs w:val="20"/>
        </w:rPr>
        <w:t xml:space="preserve"> UNDP´s </w:t>
      </w:r>
      <w:r w:rsidR="5F6C36A9" w:rsidRPr="00306F4D">
        <w:rPr>
          <w:rFonts w:ascii="Arial" w:eastAsia="Arial" w:hAnsi="Arial" w:cs="Arial"/>
          <w:sz w:val="20"/>
          <w:szCs w:val="20"/>
        </w:rPr>
        <w:t xml:space="preserve">Social and </w:t>
      </w:r>
      <w:r w:rsidR="6311D766" w:rsidRPr="00306F4D">
        <w:rPr>
          <w:rFonts w:ascii="Arial" w:eastAsia="Arial" w:hAnsi="Arial" w:cs="Arial"/>
          <w:sz w:val="20"/>
          <w:szCs w:val="20"/>
        </w:rPr>
        <w:t>Environmental</w:t>
      </w:r>
      <w:r w:rsidR="5F6C36A9" w:rsidRPr="00306F4D">
        <w:rPr>
          <w:rFonts w:ascii="Arial" w:eastAsia="Arial" w:hAnsi="Arial" w:cs="Arial"/>
          <w:sz w:val="20"/>
          <w:szCs w:val="20"/>
        </w:rPr>
        <w:t xml:space="preserve"> Standards </w:t>
      </w:r>
      <w:r w:rsidR="123B782B" w:rsidRPr="00306F4D">
        <w:rPr>
          <w:rFonts w:ascii="Arial" w:eastAsia="Arial" w:hAnsi="Arial" w:cs="Arial"/>
          <w:sz w:val="20"/>
          <w:szCs w:val="20"/>
        </w:rPr>
        <w:t xml:space="preserve">and the Adaptation Fund´s Environmental </w:t>
      </w:r>
      <w:r w:rsidR="6927B938" w:rsidRPr="00306F4D">
        <w:rPr>
          <w:rFonts w:ascii="Arial" w:eastAsia="Arial" w:hAnsi="Arial" w:cs="Arial"/>
          <w:sz w:val="20"/>
          <w:szCs w:val="20"/>
        </w:rPr>
        <w:t xml:space="preserve">and Social </w:t>
      </w:r>
      <w:r w:rsidR="05BE2A9A" w:rsidRPr="00306F4D">
        <w:rPr>
          <w:rFonts w:ascii="Arial" w:eastAsia="Arial" w:hAnsi="Arial" w:cs="Arial"/>
          <w:sz w:val="20"/>
          <w:szCs w:val="20"/>
        </w:rPr>
        <w:t>Policy</w:t>
      </w:r>
      <w:r w:rsidR="123B782B" w:rsidRPr="00306F4D">
        <w:rPr>
          <w:rFonts w:ascii="Arial" w:eastAsia="Arial" w:hAnsi="Arial" w:cs="Arial"/>
          <w:sz w:val="20"/>
          <w:szCs w:val="20"/>
        </w:rPr>
        <w:t>.</w:t>
      </w:r>
    </w:p>
    <w:p w14:paraId="4D1D1D28" w14:textId="77777777" w:rsidR="00B4016F" w:rsidRPr="00306F4D" w:rsidRDefault="00B4016F" w:rsidP="00FC2E4E">
      <w:pPr>
        <w:spacing w:line="276" w:lineRule="auto"/>
        <w:jc w:val="both"/>
        <w:rPr>
          <w:rFonts w:ascii="Arial" w:eastAsia="Arial" w:hAnsi="Arial" w:cs="Arial"/>
          <w:b/>
          <w:sz w:val="20"/>
          <w:szCs w:val="20"/>
        </w:rPr>
      </w:pPr>
      <w:r w:rsidRPr="00306F4D">
        <w:rPr>
          <w:rFonts w:ascii="Arial" w:eastAsia="Arial" w:hAnsi="Arial" w:cs="Arial"/>
          <w:b/>
          <w:sz w:val="20"/>
          <w:szCs w:val="20"/>
        </w:rPr>
        <w:t>4. Ongoing Monitoring and Support</w:t>
      </w:r>
    </w:p>
    <w:p w14:paraId="6A81C898" w14:textId="68B3760A" w:rsidR="00B4016F" w:rsidRPr="00306F4D" w:rsidRDefault="3E92B842" w:rsidP="00093F5F">
      <w:pPr>
        <w:numPr>
          <w:ilvl w:val="0"/>
          <w:numId w:val="61"/>
        </w:numPr>
        <w:spacing w:line="276" w:lineRule="auto"/>
        <w:jc w:val="both"/>
        <w:rPr>
          <w:rFonts w:ascii="Arial" w:eastAsia="Arial" w:hAnsi="Arial" w:cs="Arial"/>
          <w:sz w:val="20"/>
          <w:szCs w:val="20"/>
        </w:rPr>
      </w:pPr>
      <w:r w:rsidRPr="00306F4D">
        <w:rPr>
          <w:rFonts w:ascii="Arial" w:eastAsia="Arial" w:hAnsi="Arial" w:cs="Arial"/>
          <w:sz w:val="20"/>
          <w:szCs w:val="20"/>
        </w:rPr>
        <w:t xml:space="preserve">Grantees </w:t>
      </w:r>
      <w:r w:rsidR="36AD60EA" w:rsidRPr="00306F4D">
        <w:rPr>
          <w:rFonts w:ascii="Arial" w:eastAsia="Arial" w:hAnsi="Arial" w:cs="Arial"/>
          <w:sz w:val="20"/>
          <w:szCs w:val="20"/>
        </w:rPr>
        <w:t xml:space="preserve">will </w:t>
      </w:r>
      <w:r w:rsidRPr="00306F4D">
        <w:rPr>
          <w:rFonts w:ascii="Arial" w:eastAsia="Arial" w:hAnsi="Arial" w:cs="Arial"/>
          <w:sz w:val="20"/>
          <w:szCs w:val="20"/>
        </w:rPr>
        <w:t xml:space="preserve">report regularly on safeguard </w:t>
      </w:r>
      <w:r w:rsidR="5FEBF57C" w:rsidRPr="00306F4D">
        <w:rPr>
          <w:rFonts w:ascii="Arial" w:eastAsia="Arial" w:hAnsi="Arial" w:cs="Arial"/>
          <w:sz w:val="20"/>
          <w:szCs w:val="20"/>
        </w:rPr>
        <w:t>implementation and</w:t>
      </w:r>
      <w:r w:rsidRPr="00306F4D">
        <w:rPr>
          <w:rFonts w:ascii="Arial" w:eastAsia="Arial" w:hAnsi="Arial" w:cs="Arial"/>
          <w:sz w:val="20"/>
          <w:szCs w:val="20"/>
        </w:rPr>
        <w:t xml:space="preserve"> </w:t>
      </w:r>
      <w:r w:rsidR="44CD51CE" w:rsidRPr="00306F4D">
        <w:rPr>
          <w:rFonts w:ascii="Arial" w:eastAsia="Arial" w:hAnsi="Arial" w:cs="Arial"/>
          <w:sz w:val="20"/>
          <w:szCs w:val="20"/>
        </w:rPr>
        <w:t xml:space="preserve">will be required to undertake appropriate </w:t>
      </w:r>
      <w:r w:rsidRPr="00306F4D">
        <w:rPr>
          <w:rFonts w:ascii="Arial" w:eastAsia="Arial" w:hAnsi="Arial" w:cs="Arial"/>
          <w:sz w:val="20"/>
          <w:szCs w:val="20"/>
        </w:rPr>
        <w:t xml:space="preserve">corrective </w:t>
      </w:r>
      <w:r w:rsidR="17FE22D0" w:rsidRPr="00306F4D">
        <w:rPr>
          <w:rFonts w:ascii="Arial" w:eastAsia="Arial" w:hAnsi="Arial" w:cs="Arial"/>
          <w:sz w:val="20"/>
          <w:szCs w:val="20"/>
        </w:rPr>
        <w:t>actions as</w:t>
      </w:r>
      <w:r w:rsidRPr="00306F4D">
        <w:rPr>
          <w:rFonts w:ascii="Arial" w:eastAsia="Arial" w:hAnsi="Arial" w:cs="Arial"/>
          <w:sz w:val="20"/>
          <w:szCs w:val="20"/>
        </w:rPr>
        <w:t xml:space="preserve"> needed.</w:t>
      </w:r>
    </w:p>
    <w:p w14:paraId="7704AABF" w14:textId="6B8806AA" w:rsidR="624F6CBB" w:rsidRPr="00306F4D" w:rsidRDefault="56458919" w:rsidP="00BC3363">
      <w:pPr>
        <w:numPr>
          <w:ilvl w:val="0"/>
          <w:numId w:val="61"/>
        </w:numPr>
        <w:spacing w:line="276" w:lineRule="auto"/>
        <w:jc w:val="both"/>
        <w:rPr>
          <w:rFonts w:ascii="Arial" w:eastAsia="Arial" w:hAnsi="Arial" w:cs="Arial"/>
          <w:sz w:val="20"/>
          <w:szCs w:val="20"/>
        </w:rPr>
      </w:pPr>
      <w:r w:rsidRPr="00306F4D">
        <w:rPr>
          <w:rFonts w:ascii="Arial" w:eastAsia="Arial" w:hAnsi="Arial" w:cs="Arial"/>
          <w:sz w:val="20"/>
          <w:szCs w:val="20"/>
        </w:rPr>
        <w:t xml:space="preserve">The </w:t>
      </w:r>
      <w:r w:rsidR="23BDD5DF" w:rsidRPr="00306F4D">
        <w:rPr>
          <w:rFonts w:ascii="Arial" w:eastAsia="Arial" w:hAnsi="Arial" w:cs="Arial"/>
          <w:sz w:val="20"/>
          <w:szCs w:val="20"/>
        </w:rPr>
        <w:t>Performance and Data Analyst</w:t>
      </w:r>
      <w:r w:rsidRPr="00306F4D">
        <w:rPr>
          <w:rFonts w:ascii="Arial" w:eastAsia="Arial" w:hAnsi="Arial" w:cs="Arial"/>
          <w:sz w:val="20"/>
          <w:szCs w:val="20"/>
        </w:rPr>
        <w:t xml:space="preserve"> will, in coordination with the </w:t>
      </w:r>
      <w:proofErr w:type="gramStart"/>
      <w:r w:rsidRPr="00306F4D">
        <w:rPr>
          <w:rFonts w:ascii="Arial" w:eastAsia="Arial" w:hAnsi="Arial" w:cs="Arial"/>
          <w:sz w:val="20"/>
          <w:szCs w:val="20"/>
        </w:rPr>
        <w:t>safeguards</w:t>
      </w:r>
      <w:proofErr w:type="gramEnd"/>
      <w:r w:rsidRPr="00306F4D">
        <w:rPr>
          <w:rFonts w:ascii="Arial" w:eastAsia="Arial" w:hAnsi="Arial" w:cs="Arial"/>
          <w:sz w:val="20"/>
          <w:szCs w:val="20"/>
        </w:rPr>
        <w:t xml:space="preserve"> expert, provide technical support and quality assurance on </w:t>
      </w:r>
      <w:r w:rsidR="6D5F2E61" w:rsidRPr="00306F4D">
        <w:rPr>
          <w:rFonts w:ascii="Arial" w:eastAsia="Arial" w:hAnsi="Arial" w:cs="Arial"/>
          <w:sz w:val="20"/>
          <w:szCs w:val="20"/>
        </w:rPr>
        <w:t>social</w:t>
      </w:r>
      <w:r w:rsidRPr="00306F4D">
        <w:rPr>
          <w:rFonts w:ascii="Arial" w:eastAsia="Arial" w:hAnsi="Arial" w:cs="Arial"/>
          <w:sz w:val="20"/>
          <w:szCs w:val="20"/>
        </w:rPr>
        <w:t xml:space="preserve"> and environmental risk </w:t>
      </w:r>
      <w:r w:rsidR="598355EF" w:rsidRPr="00306F4D">
        <w:rPr>
          <w:rFonts w:ascii="Arial" w:eastAsia="Arial" w:hAnsi="Arial" w:cs="Arial"/>
          <w:sz w:val="20"/>
          <w:szCs w:val="20"/>
        </w:rPr>
        <w:t>management</w:t>
      </w:r>
      <w:r w:rsidRPr="00306F4D">
        <w:rPr>
          <w:rFonts w:ascii="Arial" w:eastAsia="Arial" w:hAnsi="Arial" w:cs="Arial"/>
          <w:sz w:val="20"/>
          <w:szCs w:val="20"/>
        </w:rPr>
        <w:t xml:space="preserve"> throughout the project lifecycle.</w:t>
      </w:r>
    </w:p>
    <w:p w14:paraId="0FF9696E" w14:textId="77777777" w:rsidR="00B4016F" w:rsidRPr="00306F4D" w:rsidRDefault="00B4016F" w:rsidP="00FC2E4E">
      <w:pPr>
        <w:spacing w:line="276" w:lineRule="auto"/>
        <w:jc w:val="both"/>
        <w:rPr>
          <w:rFonts w:ascii="Arial" w:eastAsia="Arial" w:hAnsi="Arial" w:cs="Arial"/>
          <w:b/>
          <w:sz w:val="20"/>
          <w:szCs w:val="20"/>
        </w:rPr>
      </w:pPr>
      <w:r w:rsidRPr="00306F4D">
        <w:rPr>
          <w:rFonts w:ascii="Arial" w:eastAsia="Arial" w:hAnsi="Arial" w:cs="Arial"/>
          <w:b/>
          <w:sz w:val="20"/>
          <w:szCs w:val="20"/>
        </w:rPr>
        <w:t>5. Grievance Redress and Transparency</w:t>
      </w:r>
    </w:p>
    <w:p w14:paraId="49483EF1" w14:textId="5B4E54EC" w:rsidR="00085E88" w:rsidRPr="00306F4D" w:rsidRDefault="19AF256C" w:rsidP="00093F5F">
      <w:pPr>
        <w:numPr>
          <w:ilvl w:val="0"/>
          <w:numId w:val="62"/>
        </w:numPr>
        <w:spacing w:line="276" w:lineRule="auto"/>
        <w:jc w:val="both"/>
        <w:rPr>
          <w:rFonts w:ascii="Arial" w:eastAsia="Arial" w:hAnsi="Arial" w:cs="Arial"/>
          <w:sz w:val="20"/>
          <w:szCs w:val="20"/>
        </w:rPr>
      </w:pPr>
      <w:r w:rsidRPr="00306F4D">
        <w:rPr>
          <w:rFonts w:ascii="Arial" w:eastAsia="Arial" w:hAnsi="Arial" w:cs="Arial"/>
          <w:sz w:val="20"/>
          <w:szCs w:val="20"/>
        </w:rPr>
        <w:t>In addition, a</w:t>
      </w:r>
      <w:r w:rsidR="7DD35363" w:rsidRPr="00306F4D">
        <w:rPr>
          <w:rFonts w:ascii="Arial" w:eastAsia="Arial" w:hAnsi="Arial" w:cs="Arial"/>
          <w:sz w:val="20"/>
          <w:szCs w:val="20"/>
        </w:rPr>
        <w:t xml:space="preserve"> web-based Grievance Redress Mechanism (GRM) system will be established</w:t>
      </w:r>
      <w:r w:rsidR="4D74A02A" w:rsidRPr="00306F4D">
        <w:rPr>
          <w:rFonts w:ascii="Arial" w:eastAsia="Arial" w:hAnsi="Arial" w:cs="Arial"/>
          <w:sz w:val="20"/>
          <w:szCs w:val="20"/>
        </w:rPr>
        <w:t xml:space="preserve"> and made </w:t>
      </w:r>
      <w:r w:rsidR="030BE137" w:rsidRPr="00306F4D">
        <w:rPr>
          <w:rFonts w:ascii="Arial" w:eastAsia="Arial" w:hAnsi="Arial" w:cs="Arial"/>
          <w:sz w:val="20"/>
          <w:szCs w:val="20"/>
        </w:rPr>
        <w:t>p</w:t>
      </w:r>
      <w:r w:rsidR="4D74A02A" w:rsidRPr="00306F4D">
        <w:rPr>
          <w:rFonts w:ascii="Arial" w:eastAsia="Arial" w:hAnsi="Arial" w:cs="Arial"/>
          <w:sz w:val="20"/>
          <w:szCs w:val="20"/>
        </w:rPr>
        <w:t>ublicly known and accessible in each of the project countries</w:t>
      </w:r>
      <w:r w:rsidR="1D3B5270" w:rsidRPr="00306F4D">
        <w:rPr>
          <w:rFonts w:ascii="Arial" w:eastAsia="Arial" w:hAnsi="Arial" w:cs="Arial"/>
          <w:sz w:val="20"/>
          <w:szCs w:val="20"/>
        </w:rPr>
        <w:t>.</w:t>
      </w:r>
      <w:r w:rsidR="7DD35363" w:rsidRPr="00306F4D">
        <w:rPr>
          <w:rFonts w:ascii="Arial" w:eastAsia="Arial" w:hAnsi="Arial" w:cs="Arial"/>
          <w:sz w:val="20"/>
          <w:szCs w:val="20"/>
        </w:rPr>
        <w:t xml:space="preserve"> This platform will enable stakeholders to submit concerns, or complaints</w:t>
      </w:r>
      <w:r w:rsidR="45C6E1DC" w:rsidRPr="00306F4D">
        <w:rPr>
          <w:rFonts w:ascii="Arial" w:eastAsia="Arial" w:hAnsi="Arial" w:cs="Arial"/>
          <w:sz w:val="20"/>
          <w:szCs w:val="20"/>
        </w:rPr>
        <w:t xml:space="preserve"> </w:t>
      </w:r>
      <w:r w:rsidR="7DD35363" w:rsidRPr="00306F4D">
        <w:rPr>
          <w:rFonts w:ascii="Arial" w:eastAsia="Arial" w:hAnsi="Arial" w:cs="Arial"/>
          <w:sz w:val="20"/>
          <w:szCs w:val="20"/>
        </w:rPr>
        <w:t>—anonymously if they wish—</w:t>
      </w:r>
      <w:r w:rsidR="5954CEF3" w:rsidRPr="00306F4D">
        <w:rPr>
          <w:rFonts w:ascii="Arial" w:eastAsia="Arial" w:hAnsi="Arial" w:cs="Arial"/>
          <w:sz w:val="20"/>
          <w:szCs w:val="20"/>
        </w:rPr>
        <w:t xml:space="preserve"> about any potential violation of environmental and social standards during the project implementation</w:t>
      </w:r>
      <w:r w:rsidR="7DD35363" w:rsidRPr="00306F4D">
        <w:rPr>
          <w:rFonts w:ascii="Arial" w:eastAsia="Arial" w:hAnsi="Arial" w:cs="Arial"/>
          <w:sz w:val="20"/>
          <w:szCs w:val="20"/>
        </w:rPr>
        <w:t>.</w:t>
      </w:r>
      <w:r w:rsidR="5C494ED7" w:rsidRPr="00306F4D">
        <w:rPr>
          <w:rFonts w:ascii="Arial" w:eastAsia="Arial" w:hAnsi="Arial" w:cs="Arial"/>
          <w:sz w:val="20"/>
          <w:szCs w:val="20"/>
        </w:rPr>
        <w:t xml:space="preserve"> </w:t>
      </w:r>
      <w:r w:rsidR="74A8015A" w:rsidRPr="00306F4D">
        <w:rPr>
          <w:rFonts w:ascii="Arial" w:eastAsia="Arial" w:hAnsi="Arial" w:cs="Arial"/>
          <w:sz w:val="20"/>
          <w:szCs w:val="20"/>
        </w:rPr>
        <w:t xml:space="preserve">A dedicated email address will also be provided through the project website to facilitate GRM submissions. </w:t>
      </w:r>
    </w:p>
    <w:p w14:paraId="2476035F" w14:textId="1609C6CF" w:rsidR="00085E88" w:rsidRPr="00306F4D" w:rsidRDefault="74A8015A" w:rsidP="00093F5F">
      <w:pPr>
        <w:numPr>
          <w:ilvl w:val="0"/>
          <w:numId w:val="62"/>
        </w:numPr>
        <w:spacing w:line="276" w:lineRule="auto"/>
        <w:jc w:val="both"/>
        <w:rPr>
          <w:rFonts w:ascii="Arial" w:eastAsia="Arial" w:hAnsi="Arial" w:cs="Arial"/>
          <w:sz w:val="20"/>
          <w:szCs w:val="20"/>
        </w:rPr>
      </w:pPr>
      <w:r w:rsidRPr="00306F4D">
        <w:rPr>
          <w:rFonts w:ascii="Arial" w:eastAsia="Arial" w:hAnsi="Arial" w:cs="Arial"/>
          <w:sz w:val="20"/>
          <w:szCs w:val="20"/>
        </w:rPr>
        <w:t>The Project Management Unit (PMU) will regularly monitor and respond to submissions to ensure timely resolution and continuous improvement, in alignment with the Environmental and Social Policy of the Adaptation Fund.</w:t>
      </w:r>
    </w:p>
    <w:p w14:paraId="6343B890" w14:textId="77777777" w:rsidR="00B4016F" w:rsidRPr="00306F4D" w:rsidRDefault="00B4016F" w:rsidP="00FC2E4E">
      <w:pPr>
        <w:spacing w:line="276" w:lineRule="auto"/>
        <w:jc w:val="both"/>
        <w:rPr>
          <w:rFonts w:ascii="Arial" w:eastAsia="Arial" w:hAnsi="Arial" w:cs="Arial"/>
          <w:b/>
          <w:sz w:val="20"/>
          <w:szCs w:val="20"/>
        </w:rPr>
      </w:pPr>
      <w:r w:rsidRPr="00306F4D">
        <w:rPr>
          <w:rFonts w:ascii="Arial" w:eastAsia="Arial" w:hAnsi="Arial" w:cs="Arial"/>
          <w:b/>
          <w:sz w:val="20"/>
          <w:szCs w:val="20"/>
        </w:rPr>
        <w:t>6. Gender equality and social inclusion are central to the project’s safeguards approach:</w:t>
      </w:r>
    </w:p>
    <w:p w14:paraId="380C4C39" w14:textId="77777777" w:rsidR="00B4016F" w:rsidRPr="00306F4D" w:rsidRDefault="00B4016F" w:rsidP="00093F5F">
      <w:pPr>
        <w:numPr>
          <w:ilvl w:val="0"/>
          <w:numId w:val="63"/>
        </w:numPr>
        <w:spacing w:line="276" w:lineRule="auto"/>
        <w:jc w:val="both"/>
        <w:rPr>
          <w:rFonts w:ascii="Arial" w:eastAsia="Arial" w:hAnsi="Arial" w:cs="Arial"/>
          <w:sz w:val="20"/>
          <w:szCs w:val="20"/>
        </w:rPr>
      </w:pPr>
      <w:r w:rsidRPr="00306F4D">
        <w:rPr>
          <w:rFonts w:ascii="Arial" w:eastAsia="Arial" w:hAnsi="Arial" w:cs="Arial"/>
          <w:sz w:val="20"/>
          <w:szCs w:val="20"/>
        </w:rPr>
        <w:t>Proposals must demonstrate how they will </w:t>
      </w:r>
      <w:r w:rsidRPr="00306F4D">
        <w:rPr>
          <w:rFonts w:ascii="Arial" w:eastAsia="Arial" w:hAnsi="Arial" w:cs="Arial"/>
          <w:b/>
          <w:sz w:val="20"/>
          <w:szCs w:val="20"/>
        </w:rPr>
        <w:t>mainstream gender</w:t>
      </w:r>
      <w:r w:rsidRPr="00306F4D">
        <w:rPr>
          <w:rFonts w:ascii="Arial" w:eastAsia="Arial" w:hAnsi="Arial" w:cs="Arial"/>
          <w:sz w:val="20"/>
          <w:szCs w:val="20"/>
        </w:rPr>
        <w:t>, empower women, and address differentiated vulnerabilities.</w:t>
      </w:r>
    </w:p>
    <w:p w14:paraId="4AD4ED5D" w14:textId="77777777" w:rsidR="00B4016F" w:rsidRPr="00306F4D" w:rsidRDefault="00B4016F" w:rsidP="00093F5F">
      <w:pPr>
        <w:numPr>
          <w:ilvl w:val="0"/>
          <w:numId w:val="63"/>
        </w:numPr>
        <w:spacing w:line="276" w:lineRule="auto"/>
        <w:jc w:val="both"/>
        <w:rPr>
          <w:rFonts w:ascii="Arial" w:eastAsia="Arial" w:hAnsi="Arial" w:cs="Arial"/>
          <w:sz w:val="20"/>
          <w:szCs w:val="20"/>
        </w:rPr>
      </w:pPr>
      <w:r w:rsidRPr="00306F4D">
        <w:rPr>
          <w:rFonts w:ascii="Arial" w:eastAsia="Arial" w:hAnsi="Arial" w:cs="Arial"/>
          <w:sz w:val="20"/>
          <w:szCs w:val="20"/>
        </w:rPr>
        <w:t>Gender equality must be embedded across all stages—design, consultation, implementation, monitoring, and evaluation.</w:t>
      </w:r>
    </w:p>
    <w:p w14:paraId="65A2EDA3" w14:textId="77777777" w:rsidR="00B4016F" w:rsidRPr="00306F4D" w:rsidRDefault="00B4016F" w:rsidP="00093F5F">
      <w:pPr>
        <w:numPr>
          <w:ilvl w:val="0"/>
          <w:numId w:val="63"/>
        </w:numPr>
        <w:spacing w:line="276" w:lineRule="auto"/>
        <w:jc w:val="both"/>
        <w:rPr>
          <w:rFonts w:ascii="Arial" w:eastAsia="Arial" w:hAnsi="Arial" w:cs="Arial"/>
          <w:sz w:val="20"/>
          <w:szCs w:val="20"/>
        </w:rPr>
      </w:pPr>
      <w:r w:rsidRPr="00306F4D">
        <w:rPr>
          <w:rFonts w:ascii="Arial" w:eastAsia="Arial" w:hAnsi="Arial" w:cs="Arial"/>
          <w:sz w:val="20"/>
          <w:szCs w:val="20"/>
        </w:rPr>
        <w:t>All projects must meet Gender Marker 2, indicating gender equality as a significant objective.</w:t>
      </w:r>
    </w:p>
    <w:p w14:paraId="66DF73C6" w14:textId="7512F00E" w:rsidR="00C116B2" w:rsidRPr="00306F4D" w:rsidRDefault="00B4016F" w:rsidP="00BC3363">
      <w:pPr>
        <w:spacing w:line="276" w:lineRule="auto"/>
        <w:jc w:val="both"/>
        <w:rPr>
          <w:rFonts w:ascii="Arial" w:eastAsia="Arial" w:hAnsi="Arial" w:cs="Arial"/>
          <w:b/>
          <w:sz w:val="20"/>
          <w:szCs w:val="20"/>
        </w:rPr>
      </w:pPr>
      <w:proofErr w:type="gramStart"/>
      <w:r w:rsidRPr="00306F4D">
        <w:rPr>
          <w:rFonts w:ascii="Arial" w:eastAsia="Arial" w:hAnsi="Arial" w:cs="Arial"/>
          <w:sz w:val="20"/>
          <w:szCs w:val="20"/>
        </w:rPr>
        <w:t>This integrated safeguards</w:t>
      </w:r>
      <w:proofErr w:type="gramEnd"/>
      <w:r w:rsidRPr="00306F4D">
        <w:rPr>
          <w:rFonts w:ascii="Arial" w:eastAsia="Arial" w:hAnsi="Arial" w:cs="Arial"/>
          <w:sz w:val="20"/>
          <w:szCs w:val="20"/>
        </w:rPr>
        <w:t xml:space="preserve"> framework ensures that all supported innovations are </w:t>
      </w:r>
      <w:r w:rsidRPr="00306F4D">
        <w:rPr>
          <w:rFonts w:ascii="Arial" w:eastAsia="Arial" w:hAnsi="Arial" w:cs="Arial"/>
          <w:b/>
          <w:sz w:val="20"/>
          <w:szCs w:val="20"/>
        </w:rPr>
        <w:t>effective, inclusive, and environmentally and socially responsible</w:t>
      </w:r>
      <w:r w:rsidRPr="00306F4D">
        <w:rPr>
          <w:rFonts w:ascii="Arial" w:eastAsia="Arial" w:hAnsi="Arial" w:cs="Arial"/>
          <w:sz w:val="20"/>
          <w:szCs w:val="20"/>
        </w:rPr>
        <w:t xml:space="preserve">. Its structured and participatory approach </w:t>
      </w:r>
      <w:r w:rsidRPr="00306F4D">
        <w:rPr>
          <w:rFonts w:ascii="Arial" w:eastAsia="Arial" w:hAnsi="Arial" w:cs="Arial"/>
          <w:b/>
          <w:sz w:val="20"/>
          <w:szCs w:val="20"/>
        </w:rPr>
        <w:t>proactively manages environmental and social risks</w:t>
      </w:r>
      <w:r w:rsidRPr="00306F4D">
        <w:rPr>
          <w:rFonts w:ascii="Arial" w:eastAsia="Arial" w:hAnsi="Arial" w:cs="Arial"/>
          <w:sz w:val="20"/>
          <w:szCs w:val="20"/>
        </w:rPr>
        <w:t xml:space="preserve">, contributing to </w:t>
      </w:r>
      <w:r w:rsidRPr="00306F4D">
        <w:rPr>
          <w:rFonts w:ascii="Arial" w:eastAsia="Arial" w:hAnsi="Arial" w:cs="Arial"/>
          <w:b/>
          <w:sz w:val="20"/>
          <w:szCs w:val="20"/>
        </w:rPr>
        <w:t>sustainable, inclusive, and equitable climate adaptation outcomes.</w:t>
      </w:r>
    </w:p>
    <w:p w14:paraId="2E827A1C" w14:textId="77777777" w:rsidR="00C116B2" w:rsidRPr="00306F4D" w:rsidRDefault="00C116B2" w:rsidP="00C116B2">
      <w:pPr>
        <w:pStyle w:val="Footer"/>
        <w:numPr>
          <w:ilvl w:val="0"/>
          <w:numId w:val="24"/>
        </w:numPr>
        <w:tabs>
          <w:tab w:val="clear" w:pos="720"/>
          <w:tab w:val="clear" w:pos="4680"/>
          <w:tab w:val="clear" w:pos="9360"/>
          <w:tab w:val="num" w:pos="360"/>
        </w:tabs>
        <w:spacing w:line="276" w:lineRule="auto"/>
        <w:ind w:left="360"/>
        <w:rPr>
          <w:rFonts w:ascii="Arial" w:eastAsia="Arial" w:hAnsi="Arial" w:cs="Arial"/>
          <w:color w:val="AEAAAA" w:themeColor="background2" w:themeShade="BF"/>
          <w:lang w:val="en-GB"/>
        </w:rPr>
      </w:pPr>
      <w:r w:rsidRPr="00306F4D">
        <w:rPr>
          <w:rFonts w:ascii="Arial" w:eastAsia="Arial" w:hAnsi="Arial" w:cs="Arial"/>
          <w:color w:val="AEAAAA" w:themeColor="background2" w:themeShade="BF"/>
          <w:lang w:val="en-GB"/>
        </w:rPr>
        <w:t>Describe the monitoring and evaluation arrangements and provide a budgeted MEL plan.</w:t>
      </w:r>
    </w:p>
    <w:p w14:paraId="4872502F" w14:textId="726A338B" w:rsidR="008D7851" w:rsidRPr="00306F4D" w:rsidRDefault="1466C753" w:rsidP="00E60D8F">
      <w:pPr>
        <w:pStyle w:val="Heading2"/>
        <w:spacing w:line="276" w:lineRule="auto"/>
        <w:rPr>
          <w:rFonts w:ascii="Arial" w:eastAsia="Arial" w:hAnsi="Arial" w:cs="Arial"/>
          <w:sz w:val="20"/>
          <w:szCs w:val="20"/>
          <w:lang w:val="en-GB"/>
        </w:rPr>
      </w:pPr>
      <w:bookmarkStart w:id="200" w:name="_Toc1410511849"/>
      <w:bookmarkStart w:id="201" w:name="_Toc1654328754"/>
      <w:bookmarkStart w:id="202" w:name="_Toc202165725"/>
      <w:bookmarkStart w:id="203" w:name="_Toc202893756"/>
      <w:r w:rsidRPr="00306F4D">
        <w:rPr>
          <w:rFonts w:ascii="Arial" w:eastAsia="Arial" w:hAnsi="Arial" w:cs="Arial"/>
          <w:sz w:val="20"/>
          <w:szCs w:val="20"/>
          <w:lang w:val="en-GB"/>
        </w:rPr>
        <w:t xml:space="preserve">Monitoring and Evaluation Arrangements and Budgeted </w:t>
      </w:r>
      <w:r w:rsidR="58AB2C8F" w:rsidRPr="00306F4D">
        <w:rPr>
          <w:rFonts w:ascii="Arial" w:eastAsia="Arial" w:hAnsi="Arial" w:cs="Arial"/>
          <w:sz w:val="20"/>
          <w:szCs w:val="20"/>
          <w:lang w:val="en-GB"/>
        </w:rPr>
        <w:t>MEL</w:t>
      </w:r>
      <w:r w:rsidRPr="00306F4D">
        <w:rPr>
          <w:rFonts w:ascii="Arial" w:eastAsia="Arial" w:hAnsi="Arial" w:cs="Arial"/>
          <w:sz w:val="20"/>
          <w:szCs w:val="20"/>
          <w:lang w:val="en-GB"/>
        </w:rPr>
        <w:t xml:space="preserve"> Plan</w:t>
      </w:r>
      <w:bookmarkEnd w:id="200"/>
      <w:bookmarkEnd w:id="201"/>
      <w:bookmarkEnd w:id="202"/>
      <w:bookmarkEnd w:id="203"/>
    </w:p>
    <w:p w14:paraId="447349AD" w14:textId="1F1B3919" w:rsidR="008D7851" w:rsidRPr="00306F4D" w:rsidRDefault="4E96E1A3" w:rsidP="00FC2E4E">
      <w:pPr>
        <w:pStyle w:val="Footer"/>
        <w:tabs>
          <w:tab w:val="num" w:pos="360"/>
        </w:tabs>
        <w:spacing w:line="276" w:lineRule="auto"/>
        <w:jc w:val="both"/>
        <w:rPr>
          <w:rFonts w:ascii="Arial" w:eastAsia="Arial" w:hAnsi="Arial" w:cs="Arial"/>
          <w:color w:val="000000" w:themeColor="text1"/>
          <w:sz w:val="20"/>
          <w:szCs w:val="20"/>
        </w:rPr>
      </w:pPr>
      <w:r w:rsidRPr="00306F4D">
        <w:rPr>
          <w:rFonts w:ascii="Arial" w:eastAsia="Arial" w:hAnsi="Arial" w:cs="Arial"/>
          <w:color w:val="000000" w:themeColor="text1"/>
          <w:sz w:val="20"/>
          <w:szCs w:val="20"/>
        </w:rPr>
        <w:t>Monitoring</w:t>
      </w:r>
      <w:r w:rsidR="00E60D8F" w:rsidRPr="00306F4D">
        <w:rPr>
          <w:rFonts w:ascii="Arial" w:eastAsia="Arial" w:hAnsi="Arial" w:cs="Arial"/>
          <w:color w:val="000000" w:themeColor="text1"/>
          <w:sz w:val="20"/>
          <w:szCs w:val="20"/>
        </w:rPr>
        <w:t>,</w:t>
      </w:r>
      <w:r w:rsidRPr="00306F4D">
        <w:rPr>
          <w:rFonts w:ascii="Arial" w:eastAsia="Arial" w:hAnsi="Arial" w:cs="Arial"/>
          <w:color w:val="000000" w:themeColor="text1"/>
          <w:sz w:val="20"/>
          <w:szCs w:val="20"/>
        </w:rPr>
        <w:t xml:space="preserve"> evaluation</w:t>
      </w:r>
      <w:r w:rsidR="00E60D8F" w:rsidRPr="00306F4D">
        <w:rPr>
          <w:rFonts w:ascii="Arial" w:eastAsia="Arial" w:hAnsi="Arial" w:cs="Arial"/>
          <w:color w:val="000000" w:themeColor="text1"/>
          <w:sz w:val="20"/>
          <w:szCs w:val="20"/>
        </w:rPr>
        <w:t xml:space="preserve"> and learning</w:t>
      </w:r>
      <w:r w:rsidRPr="00306F4D">
        <w:rPr>
          <w:rFonts w:ascii="Arial" w:eastAsia="Arial" w:hAnsi="Arial" w:cs="Arial"/>
          <w:color w:val="000000" w:themeColor="text1"/>
          <w:sz w:val="20"/>
          <w:szCs w:val="20"/>
        </w:rPr>
        <w:t xml:space="preserve"> (</w:t>
      </w:r>
      <w:r w:rsidR="58AB2C8F" w:rsidRPr="00306F4D">
        <w:rPr>
          <w:rFonts w:ascii="Arial" w:eastAsia="Arial" w:hAnsi="Arial" w:cs="Arial"/>
          <w:color w:val="000000" w:themeColor="text1"/>
          <w:sz w:val="20"/>
          <w:szCs w:val="20"/>
        </w:rPr>
        <w:t>MEL</w:t>
      </w:r>
      <w:r w:rsidRPr="00306F4D">
        <w:rPr>
          <w:rFonts w:ascii="Arial" w:eastAsia="Arial" w:hAnsi="Arial" w:cs="Arial"/>
          <w:color w:val="000000" w:themeColor="text1"/>
          <w:sz w:val="20"/>
          <w:szCs w:val="20"/>
        </w:rPr>
        <w:t xml:space="preserve">) will be conducted in line with UNDP and AF requirements, ensuring accountability, learning, and adaptive management across the four participating countries. The </w:t>
      </w:r>
      <w:r w:rsidR="58AB2C8F" w:rsidRPr="00306F4D">
        <w:rPr>
          <w:rFonts w:ascii="Arial" w:eastAsia="Arial" w:hAnsi="Arial" w:cs="Arial"/>
          <w:color w:val="000000" w:themeColor="text1"/>
          <w:sz w:val="20"/>
          <w:szCs w:val="20"/>
        </w:rPr>
        <w:t>MEL</w:t>
      </w:r>
      <w:r w:rsidRPr="00306F4D">
        <w:rPr>
          <w:rFonts w:ascii="Arial" w:eastAsia="Arial" w:hAnsi="Arial" w:cs="Arial"/>
          <w:color w:val="000000" w:themeColor="text1"/>
          <w:sz w:val="20"/>
          <w:szCs w:val="20"/>
        </w:rPr>
        <w:t xml:space="preserve"> system will be coordinated by the UNDP Istanbul Regional Hub, with technical support from the global team and implementation support from UNDP Country Offices.</w:t>
      </w:r>
    </w:p>
    <w:p w14:paraId="666E63D8" w14:textId="77777777" w:rsidR="001F59FA" w:rsidRPr="00306F4D" w:rsidRDefault="001F59FA" w:rsidP="00FC2E4E">
      <w:pPr>
        <w:pStyle w:val="Footer"/>
        <w:tabs>
          <w:tab w:val="num" w:pos="360"/>
        </w:tabs>
        <w:spacing w:line="276" w:lineRule="auto"/>
        <w:jc w:val="both"/>
        <w:rPr>
          <w:rFonts w:ascii="Arial" w:eastAsia="Arial" w:hAnsi="Arial" w:cs="Arial"/>
          <w:color w:val="000000" w:themeColor="text1"/>
          <w:sz w:val="20"/>
          <w:szCs w:val="20"/>
        </w:rPr>
      </w:pPr>
    </w:p>
    <w:p w14:paraId="15DE464B" w14:textId="104E2085" w:rsidR="008D7851" w:rsidRPr="00306F4D" w:rsidRDefault="4E96E1A3" w:rsidP="00FC2E4E">
      <w:pPr>
        <w:pStyle w:val="Footer"/>
        <w:tabs>
          <w:tab w:val="num" w:pos="360"/>
        </w:tabs>
        <w:spacing w:line="276" w:lineRule="auto"/>
        <w:jc w:val="both"/>
        <w:rPr>
          <w:rFonts w:ascii="Arial" w:eastAsia="Arial" w:hAnsi="Arial" w:cs="Arial"/>
          <w:b/>
          <w:color w:val="000000" w:themeColor="text1"/>
          <w:sz w:val="20"/>
          <w:szCs w:val="20"/>
        </w:rPr>
      </w:pPr>
      <w:r w:rsidRPr="00306F4D">
        <w:rPr>
          <w:rFonts w:ascii="Arial" w:eastAsia="Arial" w:hAnsi="Arial" w:cs="Arial"/>
          <w:b/>
          <w:color w:val="000000" w:themeColor="text1"/>
          <w:sz w:val="20"/>
          <w:szCs w:val="20"/>
        </w:rPr>
        <w:t xml:space="preserve">1. </w:t>
      </w:r>
      <w:r w:rsidR="58AB2C8F" w:rsidRPr="00306F4D">
        <w:rPr>
          <w:rFonts w:ascii="Arial" w:eastAsia="Arial" w:hAnsi="Arial" w:cs="Arial"/>
          <w:b/>
          <w:bCs/>
          <w:color w:val="000000" w:themeColor="text1"/>
          <w:sz w:val="20"/>
          <w:szCs w:val="20"/>
        </w:rPr>
        <w:t>MEL</w:t>
      </w:r>
      <w:r w:rsidRPr="00306F4D">
        <w:rPr>
          <w:rFonts w:ascii="Arial" w:eastAsia="Arial" w:hAnsi="Arial" w:cs="Arial"/>
          <w:b/>
          <w:color w:val="000000" w:themeColor="text1"/>
          <w:sz w:val="20"/>
          <w:szCs w:val="20"/>
        </w:rPr>
        <w:t xml:space="preserve"> Framework and Responsibilities</w:t>
      </w:r>
    </w:p>
    <w:p w14:paraId="7FC15196" w14:textId="77777777" w:rsidR="00A61D1A" w:rsidRPr="00306F4D" w:rsidRDefault="00A61D1A" w:rsidP="00FC2E4E">
      <w:pPr>
        <w:pStyle w:val="Footer"/>
        <w:tabs>
          <w:tab w:val="num" w:pos="360"/>
        </w:tabs>
        <w:spacing w:line="276" w:lineRule="auto"/>
        <w:jc w:val="both"/>
        <w:rPr>
          <w:rFonts w:ascii="Arial" w:eastAsia="Arial" w:hAnsi="Arial" w:cs="Arial"/>
          <w:b/>
          <w:color w:val="000000" w:themeColor="text1"/>
          <w:sz w:val="20"/>
          <w:szCs w:val="20"/>
        </w:rPr>
      </w:pPr>
    </w:p>
    <w:p w14:paraId="0B3B79ED" w14:textId="6DE547D8" w:rsidR="008D7851" w:rsidRPr="00306F4D" w:rsidRDefault="4E96E1A3" w:rsidP="00093F5F">
      <w:pPr>
        <w:pStyle w:val="Footer"/>
        <w:numPr>
          <w:ilvl w:val="0"/>
          <w:numId w:val="36"/>
        </w:numPr>
        <w:spacing w:line="276" w:lineRule="auto"/>
        <w:jc w:val="both"/>
        <w:rPr>
          <w:rFonts w:ascii="Arial" w:eastAsia="Arial" w:hAnsi="Arial" w:cs="Arial"/>
          <w:color w:val="000000" w:themeColor="text1"/>
          <w:sz w:val="20"/>
          <w:szCs w:val="20"/>
        </w:rPr>
      </w:pPr>
      <w:r w:rsidRPr="00306F4D">
        <w:rPr>
          <w:rFonts w:ascii="Arial" w:eastAsia="Arial" w:hAnsi="Arial" w:cs="Arial"/>
          <w:b/>
          <w:color w:val="000000" w:themeColor="text1"/>
          <w:sz w:val="20"/>
          <w:szCs w:val="20"/>
        </w:rPr>
        <w:t>UNDP Istanbul Regional Hub</w:t>
      </w:r>
      <w:r w:rsidRPr="00306F4D">
        <w:rPr>
          <w:rFonts w:ascii="Arial" w:eastAsia="Arial" w:hAnsi="Arial" w:cs="Arial"/>
          <w:color w:val="000000" w:themeColor="text1"/>
          <w:sz w:val="20"/>
          <w:szCs w:val="20"/>
        </w:rPr>
        <w:t xml:space="preserve">: Leads </w:t>
      </w:r>
      <w:r w:rsidR="58AB2C8F" w:rsidRPr="00306F4D">
        <w:rPr>
          <w:rFonts w:ascii="Arial" w:eastAsia="Arial" w:hAnsi="Arial" w:cs="Arial"/>
          <w:color w:val="000000" w:themeColor="text1"/>
          <w:sz w:val="20"/>
          <w:szCs w:val="20"/>
        </w:rPr>
        <w:t>MEL</w:t>
      </w:r>
      <w:r w:rsidRPr="00306F4D">
        <w:rPr>
          <w:rFonts w:ascii="Arial" w:eastAsia="Arial" w:hAnsi="Arial" w:cs="Arial"/>
          <w:color w:val="000000" w:themeColor="text1"/>
          <w:sz w:val="20"/>
          <w:szCs w:val="20"/>
        </w:rPr>
        <w:t xml:space="preserve"> coordination including developing a web-based digital data collection system for quarterly grantee reports. Reviewing and clearing submitted reports for quality and alignment, designing a results-based reporting template (meeting both UNDP and AF requirements), and </w:t>
      </w:r>
      <w:r w:rsidRPr="00306F4D">
        <w:rPr>
          <w:rFonts w:ascii="Arial" w:eastAsia="Arial" w:hAnsi="Arial" w:cs="Arial"/>
          <w:color w:val="000000" w:themeColor="text1"/>
          <w:sz w:val="20"/>
          <w:szCs w:val="20"/>
        </w:rPr>
        <w:lastRenderedPageBreak/>
        <w:t>developing a project dashboard to visualize KPIs, track progress, and showcase impact. The Hub also consolidates regional data and ensures quality assurance before submitting reports to the AF.</w:t>
      </w:r>
    </w:p>
    <w:p w14:paraId="7B3DEB68" w14:textId="77777777" w:rsidR="00A61D1A" w:rsidRPr="00306F4D" w:rsidRDefault="00A61D1A" w:rsidP="00FC2E4E">
      <w:pPr>
        <w:pStyle w:val="Footer"/>
        <w:spacing w:line="276" w:lineRule="auto"/>
        <w:ind w:left="720"/>
        <w:jc w:val="both"/>
        <w:rPr>
          <w:rFonts w:ascii="Arial" w:eastAsia="Arial" w:hAnsi="Arial" w:cs="Arial"/>
          <w:color w:val="000000" w:themeColor="text1"/>
          <w:sz w:val="20"/>
          <w:szCs w:val="20"/>
        </w:rPr>
      </w:pPr>
    </w:p>
    <w:p w14:paraId="0261D2C7" w14:textId="11146A02" w:rsidR="00A61D1A" w:rsidRPr="00306F4D" w:rsidRDefault="4E96E1A3" w:rsidP="00E60D8F">
      <w:pPr>
        <w:pStyle w:val="Footer"/>
        <w:numPr>
          <w:ilvl w:val="0"/>
          <w:numId w:val="35"/>
        </w:numPr>
        <w:tabs>
          <w:tab w:val="num" w:pos="360"/>
        </w:tabs>
        <w:spacing w:line="276" w:lineRule="auto"/>
        <w:jc w:val="both"/>
        <w:rPr>
          <w:rFonts w:ascii="Arial" w:eastAsia="Arial" w:hAnsi="Arial" w:cs="Arial"/>
          <w:color w:val="000000" w:themeColor="text1"/>
          <w:sz w:val="20"/>
          <w:szCs w:val="20"/>
        </w:rPr>
      </w:pPr>
      <w:r w:rsidRPr="00306F4D">
        <w:rPr>
          <w:rFonts w:ascii="Arial" w:eastAsia="Arial" w:hAnsi="Arial" w:cs="Arial"/>
          <w:b/>
          <w:color w:val="000000" w:themeColor="text1"/>
          <w:sz w:val="20"/>
          <w:szCs w:val="20"/>
        </w:rPr>
        <w:t>UNDP Global Team</w:t>
      </w:r>
      <w:r w:rsidRPr="00306F4D">
        <w:rPr>
          <w:rFonts w:ascii="Arial" w:eastAsia="Arial" w:hAnsi="Arial" w:cs="Arial"/>
          <w:color w:val="000000" w:themeColor="text1"/>
          <w:sz w:val="20"/>
          <w:szCs w:val="20"/>
        </w:rPr>
        <w:t>: Provides technical backstopping, tools, global learning integration, review of AF</w:t>
      </w:r>
      <w:r w:rsidR="00694219" w:rsidRPr="00306F4D">
        <w:rPr>
          <w:rFonts w:ascii="Arial" w:eastAsia="Arial" w:hAnsi="Arial" w:cs="Arial"/>
          <w:color w:val="000000" w:themeColor="text1"/>
          <w:sz w:val="20"/>
          <w:szCs w:val="20"/>
        </w:rPr>
        <w:t xml:space="preserve"> annual </w:t>
      </w:r>
      <w:r w:rsidR="00592D2C" w:rsidRPr="00306F4D">
        <w:rPr>
          <w:rFonts w:ascii="Arial" w:eastAsia="Arial" w:hAnsi="Arial" w:cs="Arial"/>
          <w:color w:val="000000" w:themeColor="text1"/>
          <w:sz w:val="20"/>
          <w:szCs w:val="20"/>
        </w:rPr>
        <w:t>progress report.</w:t>
      </w:r>
      <w:r w:rsidRPr="00306F4D">
        <w:rPr>
          <w:rFonts w:ascii="Arial" w:eastAsia="Arial" w:hAnsi="Arial" w:cs="Arial"/>
          <w:color w:val="000000" w:themeColor="text1"/>
          <w:sz w:val="20"/>
          <w:szCs w:val="20"/>
        </w:rPr>
        <w:t xml:space="preserve"> </w:t>
      </w:r>
    </w:p>
    <w:p w14:paraId="0D77B2A6" w14:textId="0EC98F66" w:rsidR="00A61D1A" w:rsidRPr="00306F4D" w:rsidRDefault="4E96E1A3" w:rsidP="00FC2E4E">
      <w:pPr>
        <w:pStyle w:val="Footer"/>
        <w:numPr>
          <w:ilvl w:val="0"/>
          <w:numId w:val="35"/>
        </w:numPr>
        <w:tabs>
          <w:tab w:val="num" w:pos="360"/>
        </w:tabs>
        <w:spacing w:line="276" w:lineRule="auto"/>
        <w:jc w:val="both"/>
        <w:rPr>
          <w:rFonts w:ascii="Arial" w:eastAsia="Arial" w:hAnsi="Arial" w:cs="Arial"/>
          <w:color w:val="000000" w:themeColor="text1"/>
          <w:sz w:val="20"/>
          <w:szCs w:val="20"/>
        </w:rPr>
      </w:pPr>
      <w:r w:rsidRPr="00306F4D">
        <w:rPr>
          <w:rFonts w:ascii="Arial" w:eastAsia="Arial" w:hAnsi="Arial" w:cs="Arial"/>
          <w:b/>
          <w:color w:val="000000" w:themeColor="text1"/>
          <w:sz w:val="20"/>
          <w:szCs w:val="20"/>
        </w:rPr>
        <w:t>UNDP Country Offices</w:t>
      </w:r>
      <w:r w:rsidRPr="00306F4D">
        <w:rPr>
          <w:rFonts w:ascii="Arial" w:eastAsia="Arial" w:hAnsi="Arial" w:cs="Arial"/>
          <w:color w:val="000000" w:themeColor="text1"/>
          <w:sz w:val="20"/>
          <w:szCs w:val="20"/>
        </w:rPr>
        <w:t>: Support national-level data collection, grantee monitoring, and stakeholder engagement.</w:t>
      </w:r>
    </w:p>
    <w:p w14:paraId="539458A1" w14:textId="43FFE837" w:rsidR="00A61D1A" w:rsidRPr="00306F4D" w:rsidRDefault="4E96E1A3" w:rsidP="00FC2E4E">
      <w:pPr>
        <w:pStyle w:val="Footer"/>
        <w:numPr>
          <w:ilvl w:val="0"/>
          <w:numId w:val="35"/>
        </w:numPr>
        <w:tabs>
          <w:tab w:val="num" w:pos="360"/>
        </w:tabs>
        <w:spacing w:line="276" w:lineRule="auto"/>
        <w:jc w:val="both"/>
        <w:rPr>
          <w:rFonts w:ascii="Arial" w:eastAsia="Arial" w:hAnsi="Arial" w:cs="Arial"/>
          <w:color w:val="000000" w:themeColor="text1"/>
          <w:sz w:val="20"/>
          <w:szCs w:val="20"/>
        </w:rPr>
      </w:pPr>
      <w:r w:rsidRPr="00306F4D">
        <w:rPr>
          <w:rFonts w:ascii="Arial" w:eastAsia="Arial" w:hAnsi="Arial" w:cs="Arial"/>
          <w:b/>
          <w:color w:val="000000" w:themeColor="text1"/>
          <w:sz w:val="20"/>
          <w:szCs w:val="20"/>
        </w:rPr>
        <w:t>Grantees</w:t>
      </w:r>
      <w:r w:rsidRPr="00306F4D">
        <w:rPr>
          <w:rFonts w:ascii="Arial" w:eastAsia="Arial" w:hAnsi="Arial" w:cs="Arial"/>
          <w:color w:val="000000" w:themeColor="text1"/>
          <w:sz w:val="20"/>
          <w:szCs w:val="20"/>
        </w:rPr>
        <w:t>: Submit quarterly reports, gender and safeguard data, and participate in evaluations.</w:t>
      </w:r>
    </w:p>
    <w:p w14:paraId="209A75AE" w14:textId="2D807E96" w:rsidR="008D7851" w:rsidRPr="00306F4D" w:rsidRDefault="38F7E6D6" w:rsidP="00093F5F">
      <w:pPr>
        <w:pStyle w:val="Footer"/>
        <w:numPr>
          <w:ilvl w:val="0"/>
          <w:numId w:val="35"/>
        </w:numPr>
        <w:tabs>
          <w:tab w:val="num" w:pos="360"/>
        </w:tabs>
        <w:spacing w:line="276" w:lineRule="auto"/>
        <w:jc w:val="both"/>
        <w:rPr>
          <w:rFonts w:ascii="Arial" w:eastAsia="Arial" w:hAnsi="Arial" w:cs="Arial"/>
          <w:color w:val="000000" w:themeColor="text1"/>
          <w:sz w:val="20"/>
          <w:szCs w:val="20"/>
        </w:rPr>
      </w:pPr>
      <w:r w:rsidRPr="00306F4D">
        <w:rPr>
          <w:rFonts w:ascii="Arial" w:eastAsia="Arial" w:hAnsi="Arial" w:cs="Arial"/>
          <w:b/>
          <w:bCs/>
          <w:color w:val="000000" w:themeColor="text1"/>
          <w:sz w:val="20"/>
          <w:szCs w:val="20"/>
        </w:rPr>
        <w:t>Independent Evaluators</w:t>
      </w:r>
      <w:r w:rsidRPr="00306F4D">
        <w:rPr>
          <w:rFonts w:ascii="Arial" w:eastAsia="Arial" w:hAnsi="Arial" w:cs="Arial"/>
          <w:color w:val="000000" w:themeColor="text1"/>
          <w:sz w:val="20"/>
          <w:szCs w:val="20"/>
        </w:rPr>
        <w:t xml:space="preserve">: Conduct </w:t>
      </w:r>
      <w:r w:rsidR="4392FBB1" w:rsidRPr="00306F4D">
        <w:rPr>
          <w:rFonts w:ascii="Arial" w:eastAsia="Arial" w:hAnsi="Arial" w:cs="Arial"/>
          <w:color w:val="000000" w:themeColor="text1"/>
          <w:sz w:val="20"/>
          <w:szCs w:val="20"/>
        </w:rPr>
        <w:t>midterm</w:t>
      </w:r>
      <w:r w:rsidRPr="00306F4D">
        <w:rPr>
          <w:rFonts w:ascii="Arial" w:eastAsia="Arial" w:hAnsi="Arial" w:cs="Arial"/>
          <w:color w:val="000000" w:themeColor="text1"/>
          <w:sz w:val="20"/>
          <w:szCs w:val="20"/>
        </w:rPr>
        <w:t xml:space="preserve"> and terminal </w:t>
      </w:r>
      <w:r w:rsidR="5B4ABCB8" w:rsidRPr="00306F4D">
        <w:rPr>
          <w:rFonts w:ascii="Arial" w:eastAsia="Arial" w:hAnsi="Arial" w:cs="Arial"/>
          <w:color w:val="000000" w:themeColor="text1"/>
          <w:sz w:val="20"/>
          <w:szCs w:val="20"/>
        </w:rPr>
        <w:t>evaluation</w:t>
      </w:r>
      <w:r w:rsidRPr="00306F4D">
        <w:rPr>
          <w:rFonts w:ascii="Arial" w:eastAsia="Arial" w:hAnsi="Arial" w:cs="Arial"/>
          <w:color w:val="000000" w:themeColor="text1"/>
          <w:sz w:val="20"/>
          <w:szCs w:val="20"/>
        </w:rPr>
        <w:t>.</w:t>
      </w:r>
    </w:p>
    <w:p w14:paraId="48802E81" w14:textId="77777777" w:rsidR="009E2805" w:rsidRPr="00306F4D" w:rsidRDefault="009E2805" w:rsidP="00FC2E4E">
      <w:pPr>
        <w:pStyle w:val="Footer"/>
        <w:tabs>
          <w:tab w:val="num" w:pos="360"/>
        </w:tabs>
        <w:spacing w:line="276" w:lineRule="auto"/>
        <w:jc w:val="both"/>
        <w:rPr>
          <w:rFonts w:ascii="Arial" w:eastAsia="Arial" w:hAnsi="Arial" w:cs="Arial"/>
          <w:color w:val="000000" w:themeColor="text1"/>
          <w:sz w:val="20"/>
          <w:szCs w:val="20"/>
        </w:rPr>
      </w:pPr>
    </w:p>
    <w:p w14:paraId="515751E5" w14:textId="4E9BBE32" w:rsidR="4E96E1A3" w:rsidRPr="00306F4D" w:rsidRDefault="4E96E1A3" w:rsidP="00FC2E4E">
      <w:pPr>
        <w:pStyle w:val="Footer"/>
        <w:tabs>
          <w:tab w:val="num" w:pos="360"/>
        </w:tabs>
        <w:spacing w:line="276" w:lineRule="auto"/>
        <w:jc w:val="both"/>
        <w:rPr>
          <w:rFonts w:ascii="Arial" w:eastAsia="Arial" w:hAnsi="Arial" w:cs="Arial"/>
          <w:b/>
          <w:color w:val="000000" w:themeColor="text1"/>
          <w:sz w:val="20"/>
          <w:szCs w:val="20"/>
        </w:rPr>
      </w:pPr>
      <w:r w:rsidRPr="00306F4D">
        <w:rPr>
          <w:rFonts w:ascii="Arial" w:eastAsia="Arial" w:hAnsi="Arial" w:cs="Arial"/>
          <w:b/>
          <w:color w:val="000000" w:themeColor="text1"/>
          <w:sz w:val="20"/>
          <w:szCs w:val="20"/>
        </w:rPr>
        <w:t xml:space="preserve">2. Key </w:t>
      </w:r>
      <w:r w:rsidR="58AB2C8F" w:rsidRPr="00306F4D">
        <w:rPr>
          <w:rFonts w:ascii="Arial" w:eastAsia="Arial" w:hAnsi="Arial" w:cs="Arial"/>
          <w:b/>
          <w:bCs/>
          <w:color w:val="000000" w:themeColor="text1"/>
          <w:sz w:val="20"/>
          <w:szCs w:val="20"/>
        </w:rPr>
        <w:t>MEL</w:t>
      </w:r>
      <w:r w:rsidRPr="00306F4D">
        <w:rPr>
          <w:rFonts w:ascii="Arial" w:eastAsia="Arial" w:hAnsi="Arial" w:cs="Arial"/>
          <w:b/>
          <w:color w:val="000000" w:themeColor="text1"/>
          <w:sz w:val="20"/>
          <w:szCs w:val="20"/>
        </w:rPr>
        <w:t xml:space="preserve"> Activities</w:t>
      </w:r>
    </w:p>
    <w:p w14:paraId="170E6A40" w14:textId="259CFBEA" w:rsidR="7D6FCB58" w:rsidRPr="00306F4D" w:rsidRDefault="7D6FCB58" w:rsidP="00FC2E4E">
      <w:pPr>
        <w:pStyle w:val="Footer"/>
        <w:tabs>
          <w:tab w:val="num" w:pos="360"/>
        </w:tabs>
        <w:spacing w:line="276" w:lineRule="auto"/>
        <w:jc w:val="both"/>
        <w:rPr>
          <w:rFonts w:ascii="Arial" w:eastAsia="Arial" w:hAnsi="Arial" w:cs="Arial"/>
          <w:b/>
          <w:color w:val="000000" w:themeColor="text1"/>
          <w:sz w:val="20"/>
          <w:szCs w:val="20"/>
        </w:rPr>
      </w:pPr>
    </w:p>
    <w:p w14:paraId="04C43CAC" w14:textId="7CA35105" w:rsidR="008D7851" w:rsidRPr="00306F4D" w:rsidRDefault="3EC4E978" w:rsidP="00FC2E4E">
      <w:pPr>
        <w:pStyle w:val="Footer"/>
        <w:tabs>
          <w:tab w:val="num" w:pos="360"/>
        </w:tabs>
        <w:spacing w:line="276" w:lineRule="auto"/>
        <w:jc w:val="both"/>
        <w:rPr>
          <w:rFonts w:ascii="Arial" w:eastAsia="Arial" w:hAnsi="Arial" w:cs="Arial"/>
          <w:b/>
          <w:color w:val="000000" w:themeColor="text1"/>
          <w:sz w:val="20"/>
          <w:szCs w:val="20"/>
        </w:rPr>
      </w:pPr>
      <w:r w:rsidRPr="00306F4D">
        <w:rPr>
          <w:rFonts w:ascii="Arial" w:eastAsia="Arial" w:hAnsi="Arial" w:cs="Arial"/>
          <w:b/>
          <w:bCs/>
          <w:color w:val="000000" w:themeColor="text1"/>
          <w:sz w:val="20"/>
          <w:szCs w:val="20"/>
        </w:rPr>
        <w:t xml:space="preserve">Online </w:t>
      </w:r>
      <w:r w:rsidR="4E96E1A3" w:rsidRPr="00306F4D">
        <w:rPr>
          <w:rFonts w:ascii="Arial" w:eastAsia="Arial" w:hAnsi="Arial" w:cs="Arial"/>
          <w:b/>
          <w:color w:val="000000" w:themeColor="text1"/>
          <w:sz w:val="20"/>
          <w:szCs w:val="20"/>
        </w:rPr>
        <w:t>Inception Workshop and Report</w:t>
      </w:r>
    </w:p>
    <w:p w14:paraId="4388CD87" w14:textId="77777777" w:rsidR="00A61D1A" w:rsidRPr="00306F4D" w:rsidRDefault="00A61D1A" w:rsidP="00FC2E4E">
      <w:pPr>
        <w:pStyle w:val="Footer"/>
        <w:tabs>
          <w:tab w:val="num" w:pos="360"/>
        </w:tabs>
        <w:spacing w:line="276" w:lineRule="auto"/>
        <w:jc w:val="both"/>
        <w:rPr>
          <w:rFonts w:ascii="Arial" w:eastAsia="Arial" w:hAnsi="Arial" w:cs="Arial"/>
          <w:b/>
          <w:color w:val="000000" w:themeColor="text1"/>
          <w:sz w:val="20"/>
          <w:szCs w:val="20"/>
        </w:rPr>
      </w:pPr>
    </w:p>
    <w:p w14:paraId="77584761" w14:textId="781166F3" w:rsidR="008D7851" w:rsidRPr="00306F4D" w:rsidRDefault="38F7E6D6" w:rsidP="00FC2E4E">
      <w:pPr>
        <w:pStyle w:val="Footer"/>
        <w:tabs>
          <w:tab w:val="num" w:pos="360"/>
        </w:tabs>
        <w:spacing w:line="276" w:lineRule="auto"/>
        <w:jc w:val="both"/>
        <w:rPr>
          <w:rFonts w:ascii="Arial" w:eastAsia="Arial" w:hAnsi="Arial" w:cs="Arial"/>
          <w:color w:val="000000" w:themeColor="text1"/>
          <w:sz w:val="20"/>
          <w:szCs w:val="20"/>
        </w:rPr>
      </w:pPr>
      <w:r w:rsidRPr="00306F4D">
        <w:rPr>
          <w:rFonts w:ascii="Arial" w:eastAsia="Arial" w:hAnsi="Arial" w:cs="Arial"/>
          <w:color w:val="000000" w:themeColor="text1"/>
          <w:sz w:val="20"/>
          <w:szCs w:val="20"/>
        </w:rPr>
        <w:t xml:space="preserve">Held within </w:t>
      </w:r>
      <w:r w:rsidR="00502AFD" w:rsidRPr="00306F4D">
        <w:rPr>
          <w:rFonts w:ascii="Arial" w:eastAsia="Arial" w:hAnsi="Arial" w:cs="Arial"/>
          <w:color w:val="000000" w:themeColor="text1"/>
          <w:sz w:val="20"/>
          <w:szCs w:val="20"/>
        </w:rPr>
        <w:t>9</w:t>
      </w:r>
      <w:r w:rsidRPr="00306F4D">
        <w:rPr>
          <w:rFonts w:ascii="Arial" w:eastAsia="Arial" w:hAnsi="Arial" w:cs="Arial"/>
          <w:color w:val="000000" w:themeColor="text1"/>
          <w:sz w:val="20"/>
          <w:szCs w:val="20"/>
        </w:rPr>
        <w:t>0 days of project start to:</w:t>
      </w:r>
    </w:p>
    <w:p w14:paraId="10B75D96" w14:textId="29E8FE51" w:rsidR="008D7851" w:rsidRPr="00306F4D" w:rsidRDefault="4E96E1A3" w:rsidP="00093F5F">
      <w:pPr>
        <w:pStyle w:val="Footer"/>
        <w:numPr>
          <w:ilvl w:val="0"/>
          <w:numId w:val="32"/>
        </w:numPr>
        <w:tabs>
          <w:tab w:val="num" w:pos="360"/>
        </w:tabs>
        <w:spacing w:line="276" w:lineRule="auto"/>
        <w:jc w:val="both"/>
        <w:rPr>
          <w:rFonts w:ascii="Arial" w:eastAsia="Arial" w:hAnsi="Arial" w:cs="Arial"/>
          <w:color w:val="000000" w:themeColor="text1"/>
          <w:sz w:val="20"/>
          <w:szCs w:val="20"/>
        </w:rPr>
      </w:pPr>
      <w:r w:rsidRPr="00306F4D">
        <w:rPr>
          <w:rFonts w:ascii="Arial" w:eastAsia="Arial" w:hAnsi="Arial" w:cs="Arial"/>
          <w:color w:val="000000" w:themeColor="text1"/>
          <w:sz w:val="20"/>
          <w:szCs w:val="20"/>
        </w:rPr>
        <w:t xml:space="preserve">Review project strategy, results framework, and </w:t>
      </w:r>
      <w:r w:rsidR="58AB2C8F" w:rsidRPr="00306F4D">
        <w:rPr>
          <w:rFonts w:ascii="Arial" w:eastAsia="Arial" w:hAnsi="Arial" w:cs="Arial"/>
          <w:color w:val="000000" w:themeColor="text1"/>
          <w:sz w:val="20"/>
          <w:szCs w:val="20"/>
        </w:rPr>
        <w:t>MEL</w:t>
      </w:r>
      <w:r w:rsidRPr="00306F4D">
        <w:rPr>
          <w:rFonts w:ascii="Arial" w:eastAsia="Arial" w:hAnsi="Arial" w:cs="Arial"/>
          <w:color w:val="000000" w:themeColor="text1"/>
          <w:sz w:val="20"/>
          <w:szCs w:val="20"/>
        </w:rPr>
        <w:t xml:space="preserve"> plan.</w:t>
      </w:r>
    </w:p>
    <w:p w14:paraId="658DF505" w14:textId="77777777" w:rsidR="008D7851" w:rsidRPr="00306F4D" w:rsidRDefault="4E96E1A3" w:rsidP="00093F5F">
      <w:pPr>
        <w:pStyle w:val="Footer"/>
        <w:numPr>
          <w:ilvl w:val="0"/>
          <w:numId w:val="32"/>
        </w:numPr>
        <w:tabs>
          <w:tab w:val="num" w:pos="360"/>
        </w:tabs>
        <w:spacing w:line="276" w:lineRule="auto"/>
        <w:jc w:val="both"/>
        <w:rPr>
          <w:rFonts w:ascii="Arial" w:eastAsia="Arial" w:hAnsi="Arial" w:cs="Arial"/>
          <w:color w:val="000000" w:themeColor="text1"/>
          <w:sz w:val="20"/>
          <w:szCs w:val="20"/>
        </w:rPr>
      </w:pPr>
      <w:r w:rsidRPr="00306F4D">
        <w:rPr>
          <w:rFonts w:ascii="Arial" w:eastAsia="Arial" w:hAnsi="Arial" w:cs="Arial"/>
          <w:color w:val="000000" w:themeColor="text1"/>
          <w:sz w:val="20"/>
          <w:szCs w:val="20"/>
        </w:rPr>
        <w:t>Clarify roles, reporting lines, and safeguard responsibilities.</w:t>
      </w:r>
    </w:p>
    <w:p w14:paraId="11FD9D22" w14:textId="77777777" w:rsidR="008D7851" w:rsidRPr="00306F4D" w:rsidRDefault="4E96E1A3" w:rsidP="00093F5F">
      <w:pPr>
        <w:pStyle w:val="Footer"/>
        <w:numPr>
          <w:ilvl w:val="0"/>
          <w:numId w:val="32"/>
        </w:numPr>
        <w:tabs>
          <w:tab w:val="num" w:pos="360"/>
        </w:tabs>
        <w:spacing w:line="276" w:lineRule="auto"/>
        <w:jc w:val="both"/>
        <w:rPr>
          <w:rFonts w:ascii="Arial" w:eastAsia="Arial" w:hAnsi="Arial" w:cs="Arial"/>
          <w:color w:val="000000" w:themeColor="text1"/>
          <w:sz w:val="20"/>
          <w:szCs w:val="20"/>
        </w:rPr>
      </w:pPr>
      <w:r w:rsidRPr="00306F4D">
        <w:rPr>
          <w:rFonts w:ascii="Arial" w:eastAsia="Arial" w:hAnsi="Arial" w:cs="Arial"/>
          <w:color w:val="000000" w:themeColor="text1"/>
          <w:sz w:val="20"/>
          <w:szCs w:val="20"/>
        </w:rPr>
        <w:t>Finalize the first-year work plan and launch the project.</w:t>
      </w:r>
    </w:p>
    <w:p w14:paraId="7374343F" w14:textId="77777777" w:rsidR="00A61D1A" w:rsidRPr="00306F4D" w:rsidRDefault="00A61D1A" w:rsidP="00FC2E4E">
      <w:pPr>
        <w:pStyle w:val="Footer"/>
        <w:tabs>
          <w:tab w:val="num" w:pos="360"/>
        </w:tabs>
        <w:spacing w:line="276" w:lineRule="auto"/>
        <w:jc w:val="both"/>
        <w:rPr>
          <w:rFonts w:ascii="Arial" w:eastAsia="Arial" w:hAnsi="Arial" w:cs="Arial"/>
          <w:b/>
          <w:color w:val="000000" w:themeColor="text1"/>
          <w:sz w:val="20"/>
          <w:szCs w:val="20"/>
        </w:rPr>
      </w:pPr>
    </w:p>
    <w:p w14:paraId="4981CC6F" w14:textId="0DBF001E" w:rsidR="008D7851" w:rsidRPr="00306F4D" w:rsidRDefault="4E96E1A3" w:rsidP="00FC2E4E">
      <w:pPr>
        <w:pStyle w:val="Footer"/>
        <w:tabs>
          <w:tab w:val="num" w:pos="360"/>
        </w:tabs>
        <w:spacing w:line="276" w:lineRule="auto"/>
        <w:jc w:val="both"/>
        <w:rPr>
          <w:rFonts w:ascii="Arial" w:eastAsia="Arial" w:hAnsi="Arial" w:cs="Arial"/>
          <w:b/>
          <w:color w:val="000000" w:themeColor="text1"/>
          <w:sz w:val="20"/>
          <w:szCs w:val="20"/>
        </w:rPr>
      </w:pPr>
      <w:r w:rsidRPr="00306F4D">
        <w:rPr>
          <w:rFonts w:ascii="Arial" w:eastAsia="Arial" w:hAnsi="Arial" w:cs="Arial"/>
          <w:b/>
          <w:color w:val="000000" w:themeColor="text1"/>
          <w:sz w:val="20"/>
          <w:szCs w:val="20"/>
        </w:rPr>
        <w:t>Baseline Assessment</w:t>
      </w:r>
    </w:p>
    <w:p w14:paraId="4D032C15" w14:textId="0DC33850" w:rsidR="00A61D1A" w:rsidRPr="00306F4D" w:rsidRDefault="00A61D1A" w:rsidP="00FC2E4E">
      <w:pPr>
        <w:pStyle w:val="Footer"/>
        <w:tabs>
          <w:tab w:val="num" w:pos="360"/>
        </w:tabs>
        <w:spacing w:line="276" w:lineRule="auto"/>
        <w:jc w:val="both"/>
        <w:rPr>
          <w:rFonts w:ascii="Arial" w:eastAsia="Arial" w:hAnsi="Arial" w:cs="Arial"/>
          <w:b/>
          <w:color w:val="000000" w:themeColor="text1"/>
          <w:sz w:val="20"/>
          <w:szCs w:val="20"/>
        </w:rPr>
      </w:pPr>
    </w:p>
    <w:p w14:paraId="52D5794B" w14:textId="5005BD34" w:rsidR="008D7851" w:rsidRPr="00306F4D" w:rsidRDefault="23499300" w:rsidP="00413459">
      <w:pPr>
        <w:spacing w:line="257" w:lineRule="auto"/>
        <w:jc w:val="both"/>
        <w:rPr>
          <w:rFonts w:ascii="Arial" w:eastAsia="Aptos" w:hAnsi="Arial" w:cs="Arial"/>
          <w:sz w:val="20"/>
          <w:szCs w:val="20"/>
        </w:rPr>
      </w:pPr>
      <w:r w:rsidRPr="00306F4D">
        <w:rPr>
          <w:rFonts w:ascii="Arial" w:eastAsia="Aptos" w:hAnsi="Arial" w:cs="Arial"/>
          <w:sz w:val="20"/>
          <w:szCs w:val="20"/>
        </w:rPr>
        <w:t xml:space="preserve">A formal </w:t>
      </w:r>
      <w:r w:rsidRPr="00306F4D">
        <w:rPr>
          <w:rFonts w:ascii="Arial" w:eastAsia="Aptos" w:hAnsi="Arial" w:cs="Arial"/>
          <w:b/>
          <w:bCs/>
          <w:sz w:val="20"/>
          <w:szCs w:val="20"/>
        </w:rPr>
        <w:t>Project Baseline Report</w:t>
      </w:r>
      <w:r w:rsidRPr="00306F4D">
        <w:rPr>
          <w:rFonts w:ascii="Arial" w:eastAsia="Aptos" w:hAnsi="Arial" w:cs="Arial"/>
          <w:sz w:val="20"/>
          <w:szCs w:val="20"/>
        </w:rPr>
        <w:t xml:space="preserve"> will be prepared and submitted to the Adaptation Fund Secretariat </w:t>
      </w:r>
      <w:r w:rsidRPr="00306F4D">
        <w:rPr>
          <w:rFonts w:ascii="Arial" w:eastAsia="Aptos" w:hAnsi="Arial" w:cs="Arial"/>
          <w:b/>
          <w:bCs/>
          <w:sz w:val="20"/>
          <w:szCs w:val="20"/>
        </w:rPr>
        <w:t>no later than the submission of the first Project Performance Report (PPR)</w:t>
      </w:r>
      <w:r w:rsidRPr="00306F4D">
        <w:rPr>
          <w:rFonts w:ascii="Arial" w:eastAsia="Aptos" w:hAnsi="Arial" w:cs="Arial"/>
          <w:sz w:val="20"/>
          <w:szCs w:val="20"/>
        </w:rPr>
        <w:t>. This report will:</w:t>
      </w:r>
    </w:p>
    <w:p w14:paraId="7BA9DD1D" w14:textId="5E1726F6" w:rsidR="008D7851" w:rsidRPr="00306F4D" w:rsidRDefault="23499300" w:rsidP="00413459">
      <w:pPr>
        <w:pStyle w:val="ListParagraph"/>
        <w:numPr>
          <w:ilvl w:val="0"/>
          <w:numId w:val="102"/>
        </w:numPr>
        <w:spacing w:after="0" w:line="257" w:lineRule="auto"/>
        <w:jc w:val="both"/>
        <w:rPr>
          <w:rFonts w:ascii="Arial" w:eastAsia="Aptos" w:hAnsi="Arial" w:cs="Arial"/>
          <w:sz w:val="20"/>
          <w:szCs w:val="20"/>
        </w:rPr>
      </w:pPr>
      <w:r w:rsidRPr="00306F4D">
        <w:rPr>
          <w:rFonts w:ascii="Arial" w:eastAsia="Aptos" w:hAnsi="Arial" w:cs="Arial"/>
          <w:sz w:val="20"/>
          <w:szCs w:val="20"/>
        </w:rPr>
        <w:t>Establish baseline values for all indicators in the results framework.</w:t>
      </w:r>
    </w:p>
    <w:p w14:paraId="57DCFFB3" w14:textId="291629C9" w:rsidR="008D7851" w:rsidRPr="00306F4D" w:rsidRDefault="23499300" w:rsidP="00413459">
      <w:pPr>
        <w:pStyle w:val="ListParagraph"/>
        <w:numPr>
          <w:ilvl w:val="0"/>
          <w:numId w:val="102"/>
        </w:numPr>
        <w:spacing w:after="0" w:line="257" w:lineRule="auto"/>
        <w:jc w:val="both"/>
        <w:rPr>
          <w:rFonts w:ascii="Arial" w:eastAsia="Aptos" w:hAnsi="Arial" w:cs="Arial"/>
          <w:sz w:val="20"/>
          <w:szCs w:val="20"/>
        </w:rPr>
      </w:pPr>
      <w:r w:rsidRPr="00306F4D">
        <w:rPr>
          <w:rFonts w:ascii="Arial" w:eastAsia="Aptos" w:hAnsi="Arial" w:cs="Arial"/>
          <w:sz w:val="20"/>
          <w:szCs w:val="20"/>
        </w:rPr>
        <w:t xml:space="preserve">Use a combination of </w:t>
      </w:r>
      <w:r w:rsidRPr="00306F4D">
        <w:rPr>
          <w:rFonts w:ascii="Arial" w:eastAsia="Aptos" w:hAnsi="Arial" w:cs="Arial"/>
          <w:b/>
          <w:bCs/>
          <w:sz w:val="20"/>
          <w:szCs w:val="20"/>
        </w:rPr>
        <w:t>primary data collection</w:t>
      </w:r>
      <w:r w:rsidRPr="00306F4D">
        <w:rPr>
          <w:rFonts w:ascii="Arial" w:eastAsia="Aptos" w:hAnsi="Arial" w:cs="Arial"/>
          <w:sz w:val="20"/>
          <w:szCs w:val="20"/>
        </w:rPr>
        <w:t xml:space="preserve"> and </w:t>
      </w:r>
      <w:r w:rsidRPr="00306F4D">
        <w:rPr>
          <w:rFonts w:ascii="Arial" w:eastAsia="Aptos" w:hAnsi="Arial" w:cs="Arial"/>
          <w:b/>
          <w:bCs/>
          <w:sz w:val="20"/>
          <w:szCs w:val="20"/>
        </w:rPr>
        <w:t>reliable secondary sources</w:t>
      </w:r>
      <w:r w:rsidRPr="00306F4D">
        <w:rPr>
          <w:rFonts w:ascii="Arial" w:eastAsia="Aptos" w:hAnsi="Arial" w:cs="Arial"/>
          <w:sz w:val="20"/>
          <w:szCs w:val="20"/>
        </w:rPr>
        <w:t>.</w:t>
      </w:r>
    </w:p>
    <w:p w14:paraId="4D52158D" w14:textId="7951C3C3" w:rsidR="008D7851" w:rsidRPr="00306F4D" w:rsidRDefault="23499300" w:rsidP="00413459">
      <w:pPr>
        <w:pStyle w:val="ListParagraph"/>
        <w:numPr>
          <w:ilvl w:val="0"/>
          <w:numId w:val="102"/>
        </w:numPr>
        <w:spacing w:after="0" w:line="257" w:lineRule="auto"/>
        <w:jc w:val="both"/>
        <w:rPr>
          <w:rFonts w:ascii="Arial" w:eastAsia="Aptos" w:hAnsi="Arial" w:cs="Arial"/>
          <w:sz w:val="20"/>
          <w:szCs w:val="20"/>
        </w:rPr>
      </w:pPr>
      <w:r w:rsidRPr="00306F4D">
        <w:rPr>
          <w:rFonts w:ascii="Arial" w:eastAsia="Aptos" w:hAnsi="Arial" w:cs="Arial"/>
          <w:sz w:val="20"/>
          <w:szCs w:val="20"/>
        </w:rPr>
        <w:t>Be developed in collaboration with national partners and validated through stakeholder consultations.</w:t>
      </w:r>
    </w:p>
    <w:p w14:paraId="4ACA33EB" w14:textId="3B4C7E6E" w:rsidR="008D7851" w:rsidRPr="00306F4D" w:rsidRDefault="008D7851" w:rsidP="687DDFFF">
      <w:pPr>
        <w:pStyle w:val="Footer"/>
        <w:tabs>
          <w:tab w:val="num" w:pos="360"/>
        </w:tabs>
        <w:spacing w:line="276" w:lineRule="auto"/>
        <w:jc w:val="both"/>
        <w:rPr>
          <w:rFonts w:ascii="Arial" w:eastAsia="Arial" w:hAnsi="Arial" w:cs="Arial"/>
          <w:b/>
          <w:bCs/>
          <w:color w:val="000000" w:themeColor="text1"/>
          <w:sz w:val="20"/>
          <w:szCs w:val="20"/>
        </w:rPr>
      </w:pPr>
    </w:p>
    <w:p w14:paraId="1642D793" w14:textId="645EC64A" w:rsidR="008D7851" w:rsidRPr="00306F4D" w:rsidRDefault="4E96E1A3" w:rsidP="00FC2E4E">
      <w:pPr>
        <w:pStyle w:val="Footer"/>
        <w:tabs>
          <w:tab w:val="num" w:pos="360"/>
        </w:tabs>
        <w:spacing w:line="276" w:lineRule="auto"/>
        <w:jc w:val="both"/>
        <w:rPr>
          <w:rFonts w:ascii="Arial" w:eastAsia="Arial" w:hAnsi="Arial" w:cs="Arial"/>
          <w:b/>
          <w:color w:val="000000" w:themeColor="text1"/>
          <w:sz w:val="20"/>
          <w:szCs w:val="20"/>
        </w:rPr>
      </w:pPr>
      <w:r w:rsidRPr="00306F4D">
        <w:rPr>
          <w:rFonts w:ascii="Arial" w:eastAsia="Arial" w:hAnsi="Arial" w:cs="Arial"/>
          <w:b/>
          <w:color w:val="000000" w:themeColor="text1"/>
          <w:sz w:val="20"/>
          <w:szCs w:val="20"/>
        </w:rPr>
        <w:t>Quarterly and Annual Monitoring</w:t>
      </w:r>
    </w:p>
    <w:p w14:paraId="1D54ED09" w14:textId="77777777" w:rsidR="008D7851" w:rsidRPr="00306F4D" w:rsidRDefault="4E96E1A3" w:rsidP="00093F5F">
      <w:pPr>
        <w:pStyle w:val="Footer"/>
        <w:numPr>
          <w:ilvl w:val="0"/>
          <w:numId w:val="33"/>
        </w:numPr>
        <w:tabs>
          <w:tab w:val="num" w:pos="360"/>
        </w:tabs>
        <w:spacing w:line="276" w:lineRule="auto"/>
        <w:jc w:val="both"/>
        <w:rPr>
          <w:rFonts w:ascii="Arial" w:eastAsia="Arial" w:hAnsi="Arial" w:cs="Arial"/>
          <w:color w:val="000000" w:themeColor="text1"/>
          <w:sz w:val="20"/>
          <w:szCs w:val="20"/>
        </w:rPr>
      </w:pPr>
      <w:r w:rsidRPr="00306F4D">
        <w:rPr>
          <w:rFonts w:ascii="Arial" w:eastAsia="Arial" w:hAnsi="Arial" w:cs="Arial"/>
          <w:color w:val="000000" w:themeColor="text1"/>
          <w:sz w:val="20"/>
          <w:szCs w:val="20"/>
        </w:rPr>
        <w:t>Grantees submit quarterly technical and financial reports.</w:t>
      </w:r>
    </w:p>
    <w:p w14:paraId="5E162272" w14:textId="77777777" w:rsidR="008D7851" w:rsidRPr="00306F4D" w:rsidRDefault="0FDA1892" w:rsidP="00413459">
      <w:pPr>
        <w:pStyle w:val="ListParagraph"/>
        <w:numPr>
          <w:ilvl w:val="0"/>
          <w:numId w:val="33"/>
        </w:numPr>
        <w:spacing w:line="276" w:lineRule="auto"/>
        <w:jc w:val="both"/>
        <w:rPr>
          <w:rFonts w:ascii="Arial" w:eastAsia="Arial" w:hAnsi="Arial" w:cs="Arial"/>
          <w:color w:val="000000" w:themeColor="text1"/>
          <w:sz w:val="20"/>
          <w:szCs w:val="20"/>
        </w:rPr>
      </w:pPr>
      <w:r w:rsidRPr="00306F4D">
        <w:rPr>
          <w:rFonts w:ascii="Arial" w:eastAsia="Arial" w:hAnsi="Arial" w:cs="Arial"/>
          <w:color w:val="000000" w:themeColor="text1"/>
          <w:sz w:val="20"/>
          <w:szCs w:val="20"/>
        </w:rPr>
        <w:t>Annual AF Project Performance Reports (PPRs) will be submitted. These reports will comprehensively cover updates on gender mainstreaming, lessons learned, key achievements, the results framework, procurement, financial status, and environmental and social safeguards.</w:t>
      </w:r>
    </w:p>
    <w:p w14:paraId="47A4992A" w14:textId="1E41E01B" w:rsidR="1E58C567" w:rsidRPr="00306F4D" w:rsidRDefault="3408EEBD" w:rsidP="4186447D">
      <w:pPr>
        <w:pStyle w:val="Footer"/>
        <w:tabs>
          <w:tab w:val="num" w:pos="360"/>
        </w:tabs>
        <w:spacing w:line="276" w:lineRule="auto"/>
        <w:jc w:val="both"/>
        <w:rPr>
          <w:rFonts w:ascii="Arial" w:eastAsia="Arial" w:hAnsi="Arial" w:cs="Arial"/>
          <w:b/>
          <w:bCs/>
          <w:color w:val="000000" w:themeColor="text1"/>
          <w:sz w:val="20"/>
          <w:szCs w:val="20"/>
        </w:rPr>
      </w:pPr>
      <w:r w:rsidRPr="00306F4D">
        <w:rPr>
          <w:rFonts w:ascii="Arial" w:eastAsia="Arial" w:hAnsi="Arial" w:cs="Arial"/>
          <w:b/>
          <w:bCs/>
          <w:color w:val="000000" w:themeColor="text1"/>
          <w:sz w:val="20"/>
          <w:szCs w:val="20"/>
        </w:rPr>
        <w:t>Mid Term Review</w:t>
      </w:r>
    </w:p>
    <w:p w14:paraId="6C88F075" w14:textId="6D28414B" w:rsidR="1E58C567" w:rsidRPr="00306F4D" w:rsidRDefault="3408EEBD" w:rsidP="4186447D">
      <w:pPr>
        <w:pStyle w:val="Footer"/>
        <w:tabs>
          <w:tab w:val="num" w:pos="360"/>
        </w:tabs>
        <w:spacing w:line="276" w:lineRule="auto"/>
        <w:jc w:val="both"/>
        <w:rPr>
          <w:rFonts w:ascii="Arial" w:eastAsia="Arial" w:hAnsi="Arial" w:cs="Arial"/>
          <w:color w:val="000000" w:themeColor="text1"/>
          <w:sz w:val="20"/>
          <w:szCs w:val="20"/>
        </w:rPr>
      </w:pPr>
      <w:r w:rsidRPr="00306F4D">
        <w:rPr>
          <w:rFonts w:ascii="Arial" w:eastAsia="Arial" w:hAnsi="Arial" w:cs="Arial"/>
          <w:color w:val="000000" w:themeColor="text1"/>
          <w:sz w:val="20"/>
          <w:szCs w:val="20"/>
        </w:rPr>
        <w:t xml:space="preserve">An independent </w:t>
      </w:r>
      <w:r w:rsidR="00E60D8F" w:rsidRPr="00306F4D">
        <w:rPr>
          <w:rFonts w:ascii="Arial" w:eastAsia="Arial" w:hAnsi="Arial" w:cs="Arial"/>
          <w:color w:val="000000" w:themeColor="text1"/>
          <w:sz w:val="20"/>
          <w:szCs w:val="20"/>
        </w:rPr>
        <w:t>mid-term</w:t>
      </w:r>
      <w:r w:rsidRPr="00306F4D">
        <w:rPr>
          <w:rFonts w:ascii="Arial" w:eastAsia="Arial" w:hAnsi="Arial" w:cs="Arial"/>
          <w:color w:val="000000" w:themeColor="text1"/>
          <w:sz w:val="20"/>
          <w:szCs w:val="20"/>
        </w:rPr>
        <w:t xml:space="preserve"> review by the end of year 2 (mid-project) will be done to assess impact, sustainability, and lessons learned. The MTR report and management response will be publicly disclosed.</w:t>
      </w:r>
    </w:p>
    <w:p w14:paraId="71BE88D7" w14:textId="163F7504" w:rsidR="00A61D1A" w:rsidRPr="00306F4D" w:rsidRDefault="00A61D1A" w:rsidP="00FC2E4E">
      <w:pPr>
        <w:pStyle w:val="Footer"/>
        <w:tabs>
          <w:tab w:val="num" w:pos="360"/>
        </w:tabs>
        <w:spacing w:line="276" w:lineRule="auto"/>
        <w:jc w:val="both"/>
        <w:rPr>
          <w:rFonts w:ascii="Arial" w:eastAsia="Arial" w:hAnsi="Arial" w:cs="Arial"/>
          <w:b/>
          <w:color w:val="000000" w:themeColor="text1"/>
          <w:sz w:val="20"/>
          <w:szCs w:val="20"/>
        </w:rPr>
      </w:pPr>
    </w:p>
    <w:p w14:paraId="79686768" w14:textId="327864CE" w:rsidR="008D7851" w:rsidRPr="00306F4D" w:rsidRDefault="4E96E1A3" w:rsidP="00FC2E4E">
      <w:pPr>
        <w:pStyle w:val="Footer"/>
        <w:tabs>
          <w:tab w:val="num" w:pos="360"/>
        </w:tabs>
        <w:spacing w:line="276" w:lineRule="auto"/>
        <w:jc w:val="both"/>
        <w:rPr>
          <w:rFonts w:ascii="Arial" w:eastAsia="Arial" w:hAnsi="Arial" w:cs="Arial"/>
          <w:b/>
          <w:color w:val="000000" w:themeColor="text1"/>
          <w:sz w:val="20"/>
          <w:szCs w:val="20"/>
        </w:rPr>
      </w:pPr>
      <w:r w:rsidRPr="00306F4D">
        <w:rPr>
          <w:rFonts w:ascii="Arial" w:eastAsia="Arial" w:hAnsi="Arial" w:cs="Arial"/>
          <w:b/>
          <w:color w:val="000000" w:themeColor="text1"/>
          <w:sz w:val="20"/>
          <w:szCs w:val="20"/>
        </w:rPr>
        <w:t>Terminal Evaluation (TE)</w:t>
      </w:r>
    </w:p>
    <w:p w14:paraId="3553F466" w14:textId="77777777" w:rsidR="008D7851" w:rsidRPr="00306F4D" w:rsidRDefault="4E96E1A3" w:rsidP="00FC2E4E">
      <w:pPr>
        <w:pStyle w:val="Footer"/>
        <w:tabs>
          <w:tab w:val="num" w:pos="360"/>
        </w:tabs>
        <w:spacing w:line="276" w:lineRule="auto"/>
        <w:jc w:val="both"/>
        <w:rPr>
          <w:rFonts w:ascii="Arial" w:eastAsia="Arial" w:hAnsi="Arial" w:cs="Arial"/>
          <w:color w:val="000000" w:themeColor="text1"/>
          <w:sz w:val="20"/>
          <w:szCs w:val="20"/>
        </w:rPr>
      </w:pPr>
      <w:r w:rsidRPr="00306F4D">
        <w:rPr>
          <w:rFonts w:ascii="Arial" w:eastAsia="Arial" w:hAnsi="Arial" w:cs="Arial"/>
          <w:color w:val="000000" w:themeColor="text1"/>
          <w:sz w:val="20"/>
          <w:szCs w:val="20"/>
        </w:rPr>
        <w:t>An independent evaluation at project end to assess impact, sustainability, and lessons learned. The TE report and management response will be publicly disclosed.</w:t>
      </w:r>
    </w:p>
    <w:p w14:paraId="71730081" w14:textId="7C2A33BA" w:rsidR="02E2BB75" w:rsidRPr="00306F4D" w:rsidRDefault="02E2BB75" w:rsidP="02E2BB75">
      <w:pPr>
        <w:pStyle w:val="Footer"/>
        <w:tabs>
          <w:tab w:val="num" w:pos="360"/>
        </w:tabs>
        <w:spacing w:line="276" w:lineRule="auto"/>
        <w:jc w:val="both"/>
        <w:rPr>
          <w:rFonts w:ascii="Arial" w:eastAsia="Arial" w:hAnsi="Arial" w:cs="Arial"/>
          <w:b/>
          <w:bCs/>
          <w:color w:val="000000" w:themeColor="text1"/>
          <w:sz w:val="20"/>
          <w:szCs w:val="20"/>
        </w:rPr>
      </w:pPr>
    </w:p>
    <w:p w14:paraId="70D3AB05" w14:textId="28F2F4D6" w:rsidR="008D7851" w:rsidRPr="00306F4D" w:rsidRDefault="4E96E1A3" w:rsidP="00FC2E4E">
      <w:pPr>
        <w:pStyle w:val="Footer"/>
        <w:tabs>
          <w:tab w:val="num" w:pos="360"/>
        </w:tabs>
        <w:spacing w:line="276" w:lineRule="auto"/>
        <w:jc w:val="both"/>
        <w:rPr>
          <w:rFonts w:ascii="Arial" w:eastAsia="Arial" w:hAnsi="Arial" w:cs="Arial"/>
          <w:b/>
          <w:color w:val="000000" w:themeColor="text1"/>
          <w:sz w:val="20"/>
          <w:szCs w:val="20"/>
        </w:rPr>
      </w:pPr>
      <w:r w:rsidRPr="00306F4D">
        <w:rPr>
          <w:rFonts w:ascii="Arial" w:eastAsia="Arial" w:hAnsi="Arial" w:cs="Arial"/>
          <w:b/>
          <w:color w:val="000000" w:themeColor="text1"/>
          <w:sz w:val="20"/>
          <w:szCs w:val="20"/>
        </w:rPr>
        <w:t>Knowledge and Learning</w:t>
      </w:r>
    </w:p>
    <w:p w14:paraId="0354C0FA" w14:textId="77777777" w:rsidR="008D7851" w:rsidRPr="00306F4D" w:rsidRDefault="4E96E1A3" w:rsidP="00093F5F">
      <w:pPr>
        <w:pStyle w:val="Footer"/>
        <w:numPr>
          <w:ilvl w:val="0"/>
          <w:numId w:val="34"/>
        </w:numPr>
        <w:tabs>
          <w:tab w:val="num" w:pos="360"/>
        </w:tabs>
        <w:spacing w:line="276" w:lineRule="auto"/>
        <w:jc w:val="both"/>
        <w:rPr>
          <w:rFonts w:ascii="Arial" w:eastAsia="Arial" w:hAnsi="Arial" w:cs="Arial"/>
          <w:color w:val="000000" w:themeColor="text1"/>
          <w:sz w:val="20"/>
          <w:szCs w:val="20"/>
        </w:rPr>
      </w:pPr>
      <w:r w:rsidRPr="00306F4D">
        <w:rPr>
          <w:rFonts w:ascii="Arial" w:eastAsia="Arial" w:hAnsi="Arial" w:cs="Arial"/>
          <w:color w:val="000000" w:themeColor="text1"/>
          <w:sz w:val="20"/>
          <w:szCs w:val="20"/>
        </w:rPr>
        <w:t>Annual showcasing events and peer learning workshops.</w:t>
      </w:r>
    </w:p>
    <w:p w14:paraId="657BE87F" w14:textId="77777777" w:rsidR="008D7851" w:rsidRPr="00306F4D" w:rsidRDefault="4E96E1A3" w:rsidP="00093F5F">
      <w:pPr>
        <w:pStyle w:val="Footer"/>
        <w:numPr>
          <w:ilvl w:val="0"/>
          <w:numId w:val="34"/>
        </w:numPr>
        <w:tabs>
          <w:tab w:val="num" w:pos="360"/>
        </w:tabs>
        <w:spacing w:line="276" w:lineRule="auto"/>
        <w:jc w:val="both"/>
        <w:rPr>
          <w:rFonts w:ascii="Arial" w:eastAsia="Arial" w:hAnsi="Arial" w:cs="Arial"/>
          <w:color w:val="000000" w:themeColor="text1"/>
          <w:sz w:val="20"/>
          <w:szCs w:val="20"/>
        </w:rPr>
      </w:pPr>
      <w:r w:rsidRPr="00306F4D">
        <w:rPr>
          <w:rFonts w:ascii="Arial" w:eastAsia="Arial" w:hAnsi="Arial" w:cs="Arial"/>
          <w:color w:val="000000" w:themeColor="text1"/>
          <w:sz w:val="20"/>
          <w:szCs w:val="20"/>
        </w:rPr>
        <w:t>Web-based publication of lessons learned and technical briefs.</w:t>
      </w:r>
    </w:p>
    <w:p w14:paraId="2B862904" w14:textId="58C52388" w:rsidR="006661F9" w:rsidRPr="00306F4D" w:rsidRDefault="0FDA1892" w:rsidP="006661F9">
      <w:pPr>
        <w:pStyle w:val="Footer"/>
        <w:numPr>
          <w:ilvl w:val="0"/>
          <w:numId w:val="34"/>
        </w:numPr>
        <w:tabs>
          <w:tab w:val="num" w:pos="360"/>
        </w:tabs>
        <w:spacing w:line="276" w:lineRule="auto"/>
        <w:jc w:val="both"/>
        <w:rPr>
          <w:rFonts w:ascii="Arial" w:eastAsia="Arial" w:hAnsi="Arial" w:cs="Arial"/>
          <w:color w:val="000000" w:themeColor="text1"/>
          <w:sz w:val="20"/>
          <w:szCs w:val="20"/>
          <w:lang w:val="en-GB"/>
        </w:rPr>
      </w:pPr>
      <w:r w:rsidRPr="00306F4D">
        <w:rPr>
          <w:rFonts w:ascii="Arial" w:eastAsia="Arial" w:hAnsi="Arial" w:cs="Arial"/>
          <w:color w:val="000000" w:themeColor="text1"/>
          <w:sz w:val="20"/>
          <w:szCs w:val="20"/>
        </w:rPr>
        <w:t>Integration with the Adaptation Innovation Marketplace (AIM) and regional knowledge platforms.</w:t>
      </w:r>
    </w:p>
    <w:p w14:paraId="4227EE6D" w14:textId="77777777" w:rsidR="00E60D8F" w:rsidRPr="00306F4D" w:rsidRDefault="00E60D8F" w:rsidP="00E60D8F">
      <w:pPr>
        <w:pStyle w:val="Footer"/>
        <w:spacing w:line="276" w:lineRule="auto"/>
        <w:ind w:left="720"/>
        <w:jc w:val="both"/>
        <w:rPr>
          <w:rFonts w:ascii="Arial" w:eastAsia="Arial" w:hAnsi="Arial" w:cs="Arial"/>
          <w:color w:val="000000" w:themeColor="text1"/>
          <w:sz w:val="20"/>
          <w:szCs w:val="20"/>
          <w:lang w:val="en-GB"/>
        </w:rPr>
      </w:pPr>
    </w:p>
    <w:p w14:paraId="4FD4EB6A" w14:textId="5FF1AACD" w:rsidR="006661F9" w:rsidRPr="00306F4D" w:rsidRDefault="006661F9" w:rsidP="00413459">
      <w:pPr>
        <w:spacing w:line="276" w:lineRule="auto"/>
        <w:jc w:val="both"/>
        <w:rPr>
          <w:rFonts w:ascii="Arial" w:eastAsia="Arial" w:hAnsi="Arial" w:cs="Arial"/>
          <w:color w:val="000000" w:themeColor="text1"/>
          <w:sz w:val="20"/>
          <w:szCs w:val="20"/>
          <w:lang w:val="en-GB"/>
        </w:rPr>
      </w:pPr>
      <w:r w:rsidRPr="00306F4D">
        <w:rPr>
          <w:rFonts w:ascii="Arial" w:eastAsia="Arial" w:hAnsi="Arial" w:cs="Arial"/>
          <w:color w:val="000000" w:themeColor="text1"/>
          <w:sz w:val="20"/>
          <w:szCs w:val="20"/>
          <w:lang w:val="en-GB"/>
        </w:rPr>
        <w:t xml:space="preserve">In addition to these activities, the project includes a dedicated </w:t>
      </w:r>
      <w:r w:rsidR="00436D62" w:rsidRPr="00306F4D">
        <w:rPr>
          <w:rFonts w:ascii="Arial" w:eastAsia="Arial" w:hAnsi="Arial" w:cs="Arial"/>
          <w:color w:val="000000" w:themeColor="text1"/>
          <w:sz w:val="20"/>
          <w:szCs w:val="20"/>
          <w:lang w:val="en-GB"/>
        </w:rPr>
        <w:t>Performance and Data</w:t>
      </w:r>
      <w:r w:rsidRPr="00306F4D">
        <w:rPr>
          <w:rFonts w:ascii="Arial" w:eastAsia="Arial" w:hAnsi="Arial" w:cs="Arial"/>
          <w:color w:val="000000" w:themeColor="text1"/>
          <w:sz w:val="20"/>
          <w:szCs w:val="20"/>
          <w:lang w:val="en-GB"/>
        </w:rPr>
        <w:t xml:space="preserve"> </w:t>
      </w:r>
      <w:r w:rsidR="00436D62" w:rsidRPr="00306F4D">
        <w:rPr>
          <w:rFonts w:ascii="Arial" w:eastAsia="Arial" w:hAnsi="Arial" w:cs="Arial"/>
          <w:color w:val="000000" w:themeColor="text1"/>
          <w:sz w:val="20"/>
          <w:szCs w:val="20"/>
          <w:lang w:val="en-GB"/>
        </w:rPr>
        <w:t>Analyst</w:t>
      </w:r>
      <w:r w:rsidRPr="00306F4D">
        <w:rPr>
          <w:rFonts w:ascii="Arial" w:eastAsia="Arial" w:hAnsi="Arial" w:cs="Arial"/>
          <w:color w:val="000000" w:themeColor="text1"/>
          <w:sz w:val="20"/>
          <w:szCs w:val="20"/>
          <w:lang w:val="en-GB"/>
        </w:rPr>
        <w:t xml:space="preserve"> to enhance the effectiveness of the project’s results framework. The specialist will be responsible for streamlining data collection </w:t>
      </w:r>
      <w:r w:rsidRPr="00306F4D">
        <w:rPr>
          <w:rFonts w:ascii="Arial" w:eastAsia="Arial" w:hAnsi="Arial" w:cs="Arial"/>
          <w:color w:val="000000" w:themeColor="text1"/>
          <w:sz w:val="20"/>
          <w:szCs w:val="20"/>
          <w:lang w:val="en-GB"/>
        </w:rPr>
        <w:lastRenderedPageBreak/>
        <w:t>processes from all grantees, supporting the design of impact indicators (to be included in LVGAs), and developing a database and dashboard to track progress across Western Balkans grantees. They will also consolidate impact data and, where relevant, connect it to broader dashboard and impact showcases under the global CCA portfolio and IRH. The specialist will further support overall project-level MEL and quality assurance processes, including the Mid-Term Review (MTR) and Terminal Evaluation.</w:t>
      </w:r>
    </w:p>
    <w:p w14:paraId="3270F2B7" w14:textId="6CEC81D4" w:rsidR="6807EC35" w:rsidRPr="00306F4D" w:rsidRDefault="6807EC35" w:rsidP="6807EC35">
      <w:pPr>
        <w:spacing w:line="276" w:lineRule="auto"/>
        <w:rPr>
          <w:rFonts w:ascii="Arial" w:eastAsia="Arial" w:hAnsi="Arial" w:cs="Arial"/>
          <w:color w:val="000000" w:themeColor="text1"/>
          <w:sz w:val="20"/>
          <w:szCs w:val="20"/>
          <w:lang w:val="en-GB"/>
        </w:rPr>
      </w:pPr>
    </w:p>
    <w:p w14:paraId="66995F08" w14:textId="0E4FC104" w:rsidR="7D71E4BE" w:rsidRPr="00306F4D" w:rsidRDefault="7D71E4BE" w:rsidP="00BC6923">
      <w:pPr>
        <w:pStyle w:val="Heading2"/>
        <w:spacing w:before="200" w:line="276" w:lineRule="auto"/>
        <w:rPr>
          <w:rFonts w:ascii="Arial" w:hAnsi="Arial" w:cs="Arial"/>
          <w:b/>
          <w:color w:val="4F81BD"/>
          <w:sz w:val="20"/>
          <w:szCs w:val="20"/>
        </w:rPr>
      </w:pPr>
      <w:r w:rsidRPr="00306F4D">
        <w:rPr>
          <w:rFonts w:ascii="Arial" w:eastAsia="Calibri" w:hAnsi="Arial" w:cs="Arial"/>
          <w:b/>
          <w:color w:val="4F81BD"/>
          <w:sz w:val="20"/>
          <w:szCs w:val="20"/>
        </w:rPr>
        <w:t>Budget Narrative and Alignment with AF Requirements</w:t>
      </w:r>
    </w:p>
    <w:p w14:paraId="11363A84" w14:textId="77777777" w:rsidR="005D4FD3" w:rsidRPr="00306F4D" w:rsidRDefault="7D71E4BE" w:rsidP="005D4FD3">
      <w:pPr>
        <w:spacing w:after="200" w:line="276" w:lineRule="auto"/>
        <w:jc w:val="both"/>
        <w:rPr>
          <w:rFonts w:ascii="Arial" w:eastAsia="Cambria" w:hAnsi="Arial" w:cs="Arial"/>
          <w:sz w:val="20"/>
          <w:szCs w:val="20"/>
        </w:rPr>
      </w:pPr>
      <w:r w:rsidRPr="00306F4D">
        <w:rPr>
          <w:rFonts w:ascii="Arial" w:eastAsia="Cambria" w:hAnsi="Arial" w:cs="Arial"/>
          <w:sz w:val="20"/>
          <w:szCs w:val="20"/>
        </w:rPr>
        <w:t>Monitoring and Evaluation (M&amp;E) activities are embedded within the project’s implementation structure and budgeted in accordance with the Adaptation Fund’s guidance (AFB/EFC.4/7/Rev.1).</w:t>
      </w:r>
    </w:p>
    <w:p w14:paraId="4C3209DF" w14:textId="6840119F" w:rsidR="005D4FD3" w:rsidRPr="00306F4D" w:rsidRDefault="00317E54" w:rsidP="00413459">
      <w:pPr>
        <w:pStyle w:val="ListParagraph"/>
        <w:numPr>
          <w:ilvl w:val="0"/>
          <w:numId w:val="111"/>
        </w:numPr>
        <w:spacing w:after="200" w:line="276" w:lineRule="auto"/>
        <w:jc w:val="both"/>
        <w:rPr>
          <w:rFonts w:ascii="Arial" w:eastAsia="Cambria" w:hAnsi="Arial" w:cs="Arial"/>
          <w:sz w:val="20"/>
          <w:szCs w:val="20"/>
        </w:rPr>
      </w:pPr>
      <w:r w:rsidRPr="00306F4D">
        <w:rPr>
          <w:rFonts w:ascii="Arial" w:eastAsia="Cambria" w:hAnsi="Arial" w:cs="Arial"/>
          <w:sz w:val="20"/>
          <w:szCs w:val="20"/>
        </w:rPr>
        <w:t>D</w:t>
      </w:r>
      <w:r w:rsidR="7D71E4BE" w:rsidRPr="00306F4D">
        <w:rPr>
          <w:rFonts w:ascii="Arial" w:eastAsia="Cambria" w:hAnsi="Arial" w:cs="Arial"/>
          <w:sz w:val="20"/>
          <w:szCs w:val="20"/>
        </w:rPr>
        <w:t xml:space="preserve">ay-to-day monitoring activities, including tracking results, managing risks, and reporting, are budgeted under Executing Entity (EE) costs. </w:t>
      </w:r>
    </w:p>
    <w:p w14:paraId="719DF95D" w14:textId="77777777" w:rsidR="005D4FD3" w:rsidRPr="00306F4D" w:rsidRDefault="7D71E4BE" w:rsidP="00413459">
      <w:pPr>
        <w:pStyle w:val="ListParagraph"/>
        <w:numPr>
          <w:ilvl w:val="0"/>
          <w:numId w:val="111"/>
        </w:numPr>
        <w:spacing w:after="200" w:line="276" w:lineRule="auto"/>
        <w:jc w:val="both"/>
        <w:rPr>
          <w:rFonts w:ascii="Arial" w:eastAsia="Cambria" w:hAnsi="Arial" w:cs="Arial"/>
          <w:sz w:val="20"/>
          <w:szCs w:val="20"/>
        </w:rPr>
      </w:pPr>
      <w:r w:rsidRPr="00306F4D">
        <w:rPr>
          <w:rFonts w:ascii="Arial" w:eastAsia="Cambria" w:hAnsi="Arial" w:cs="Arial"/>
          <w:sz w:val="20"/>
          <w:szCs w:val="20"/>
        </w:rPr>
        <w:t>Evaluation activities, including the Mid-Term Review (MTR) and Terminal Evaluation (TE), are budgeted under the Implementing Entity (IE) fee, as they fall under project oversight and completion responsibilities.</w:t>
      </w:r>
    </w:p>
    <w:p w14:paraId="7DBAE72F" w14:textId="77777777" w:rsidR="005D4FD3" w:rsidRPr="00306F4D" w:rsidRDefault="7D71E4BE" w:rsidP="00413459">
      <w:pPr>
        <w:pStyle w:val="ListParagraph"/>
        <w:numPr>
          <w:ilvl w:val="0"/>
          <w:numId w:val="111"/>
        </w:numPr>
        <w:spacing w:after="200" w:line="276" w:lineRule="auto"/>
        <w:jc w:val="both"/>
        <w:rPr>
          <w:rFonts w:ascii="Arial" w:eastAsia="Cambria" w:hAnsi="Arial" w:cs="Arial"/>
          <w:sz w:val="20"/>
          <w:szCs w:val="20"/>
        </w:rPr>
      </w:pPr>
      <w:r w:rsidRPr="00306F4D">
        <w:rPr>
          <w:rFonts w:ascii="Arial" w:eastAsia="Cambria" w:hAnsi="Arial" w:cs="Arial"/>
          <w:sz w:val="20"/>
          <w:szCs w:val="20"/>
        </w:rPr>
        <w:t>The roles of the UNDP Istanbul Regional Hub and Global Team in quality assurance and evaluation coordination are explicitly tied to the IE fee.</w:t>
      </w:r>
    </w:p>
    <w:p w14:paraId="2E88AC7C" w14:textId="77777777" w:rsidR="002D5457" w:rsidRPr="00306F4D" w:rsidRDefault="7D71E4BE" w:rsidP="00413459">
      <w:pPr>
        <w:pStyle w:val="ListParagraph"/>
        <w:numPr>
          <w:ilvl w:val="0"/>
          <w:numId w:val="111"/>
        </w:numPr>
        <w:spacing w:after="200" w:line="276" w:lineRule="auto"/>
        <w:jc w:val="both"/>
        <w:rPr>
          <w:rFonts w:ascii="Arial" w:eastAsia="Cambria" w:hAnsi="Arial" w:cs="Arial"/>
          <w:sz w:val="20"/>
          <w:szCs w:val="20"/>
        </w:rPr>
      </w:pPr>
      <w:r w:rsidRPr="00306F4D">
        <w:rPr>
          <w:rFonts w:ascii="Arial" w:eastAsia="Cambria" w:hAnsi="Arial" w:cs="Arial"/>
          <w:sz w:val="20"/>
          <w:szCs w:val="20"/>
        </w:rPr>
        <w:t>The roles of the Project Management Unit (PMU) and Project Coordinators in day-to-day monitoring and reporting are tied to EE costs.</w:t>
      </w:r>
    </w:p>
    <w:p w14:paraId="7A82B63C" w14:textId="4C4DD2FC" w:rsidR="000B646F" w:rsidRPr="00306F4D" w:rsidRDefault="000B646F" w:rsidP="002D5457">
      <w:pPr>
        <w:pStyle w:val="ListParagraph"/>
        <w:spacing w:after="200" w:line="276" w:lineRule="auto"/>
        <w:jc w:val="both"/>
        <w:rPr>
          <w:rFonts w:ascii="Arial" w:eastAsia="Cambria" w:hAnsi="Arial" w:cs="Arial"/>
          <w:sz w:val="20"/>
          <w:szCs w:val="20"/>
        </w:rPr>
      </w:pPr>
    </w:p>
    <w:p w14:paraId="3D1D0004" w14:textId="1A233AD7" w:rsidR="00E60D8F" w:rsidRPr="00306F4D" w:rsidRDefault="000B646F" w:rsidP="00413459">
      <w:pPr>
        <w:spacing w:after="200" w:line="276" w:lineRule="auto"/>
        <w:jc w:val="both"/>
        <w:rPr>
          <w:rFonts w:ascii="Arial" w:eastAsia="Cambria" w:hAnsi="Arial" w:cs="Arial"/>
          <w:sz w:val="20"/>
          <w:szCs w:val="20"/>
        </w:rPr>
      </w:pPr>
      <w:r w:rsidRPr="00306F4D">
        <w:rPr>
          <w:rFonts w:ascii="Arial" w:eastAsia="Cambria" w:hAnsi="Arial" w:cs="Arial"/>
          <w:sz w:val="20"/>
          <w:szCs w:val="20"/>
        </w:rPr>
        <w:t>The following table presents the reallocation of M&amp;E activities and associated costs in alignment with Adaptation Fund guidelines:</w:t>
      </w:r>
    </w:p>
    <w:tbl>
      <w:tblPr>
        <w:tblpPr w:leftFromText="180" w:rightFromText="180" w:vertAnchor="text" w:tblpY="1"/>
        <w:tblOverlap w:val="never"/>
        <w:tblW w:w="9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8"/>
        <w:gridCol w:w="2359"/>
        <w:gridCol w:w="2248"/>
        <w:gridCol w:w="1800"/>
        <w:gridCol w:w="1618"/>
      </w:tblGrid>
      <w:tr w:rsidR="00413E4C" w:rsidRPr="00306F4D" w14:paraId="4A4A8283" w14:textId="71EE32B7" w:rsidTr="00AD41F0">
        <w:trPr>
          <w:trHeight w:val="300"/>
          <w:tblHeader/>
        </w:trPr>
        <w:tc>
          <w:tcPr>
            <w:tcW w:w="1598" w:type="dxa"/>
          </w:tcPr>
          <w:p w14:paraId="6AAD0F65" w14:textId="6F70BFE6" w:rsidR="00413E4C" w:rsidRPr="00306F4D" w:rsidRDefault="00413E4C" w:rsidP="338C5E83">
            <w:pPr>
              <w:spacing w:after="0" w:line="240" w:lineRule="auto"/>
              <w:contextualSpacing/>
              <w:rPr>
                <w:rFonts w:ascii="Arial" w:eastAsia="SimSun" w:hAnsi="Arial" w:cs="Arial"/>
                <w:b/>
                <w:bCs/>
                <w:sz w:val="18"/>
                <w:szCs w:val="18"/>
              </w:rPr>
            </w:pPr>
            <w:r w:rsidRPr="00306F4D">
              <w:rPr>
                <w:rFonts w:ascii="Arial" w:eastAsia="SimSun" w:hAnsi="Arial" w:cs="Arial"/>
                <w:b/>
                <w:bCs/>
                <w:sz w:val="18"/>
                <w:szCs w:val="18"/>
              </w:rPr>
              <w:t>Monitoring Activity</w:t>
            </w:r>
          </w:p>
        </w:tc>
        <w:tc>
          <w:tcPr>
            <w:tcW w:w="2359" w:type="dxa"/>
          </w:tcPr>
          <w:p w14:paraId="0C34736E" w14:textId="77777777" w:rsidR="00413E4C" w:rsidRPr="00306F4D" w:rsidRDefault="00413E4C" w:rsidP="338C5E83">
            <w:pPr>
              <w:spacing w:after="0" w:line="240" w:lineRule="auto"/>
              <w:contextualSpacing/>
              <w:rPr>
                <w:rFonts w:ascii="Arial" w:eastAsia="SimSun" w:hAnsi="Arial" w:cs="Arial"/>
                <w:b/>
                <w:bCs/>
                <w:sz w:val="18"/>
                <w:szCs w:val="18"/>
              </w:rPr>
            </w:pPr>
          </w:p>
        </w:tc>
        <w:tc>
          <w:tcPr>
            <w:tcW w:w="2248" w:type="dxa"/>
          </w:tcPr>
          <w:p w14:paraId="533CFF5A" w14:textId="77777777" w:rsidR="00413E4C" w:rsidRPr="00306F4D" w:rsidRDefault="00413E4C" w:rsidP="338C5E83">
            <w:pPr>
              <w:spacing w:after="0" w:line="240" w:lineRule="auto"/>
              <w:contextualSpacing/>
              <w:rPr>
                <w:rFonts w:ascii="Arial" w:eastAsia="SimSun" w:hAnsi="Arial" w:cs="Arial"/>
                <w:b/>
                <w:bCs/>
                <w:sz w:val="18"/>
                <w:szCs w:val="18"/>
              </w:rPr>
            </w:pPr>
          </w:p>
        </w:tc>
        <w:tc>
          <w:tcPr>
            <w:tcW w:w="1800" w:type="dxa"/>
          </w:tcPr>
          <w:p w14:paraId="661D08F8" w14:textId="77777777" w:rsidR="00413E4C" w:rsidRPr="00306F4D" w:rsidRDefault="00413E4C" w:rsidP="338C5E83">
            <w:pPr>
              <w:spacing w:after="0" w:line="240" w:lineRule="auto"/>
              <w:contextualSpacing/>
              <w:rPr>
                <w:rFonts w:ascii="Arial" w:eastAsia="SimSun" w:hAnsi="Arial" w:cs="Arial"/>
                <w:b/>
                <w:bCs/>
                <w:sz w:val="18"/>
                <w:szCs w:val="18"/>
              </w:rPr>
            </w:pPr>
          </w:p>
        </w:tc>
        <w:tc>
          <w:tcPr>
            <w:tcW w:w="1618" w:type="dxa"/>
          </w:tcPr>
          <w:p w14:paraId="5DA6D32A" w14:textId="77777777" w:rsidR="00413E4C" w:rsidRPr="00306F4D" w:rsidRDefault="00413E4C" w:rsidP="338C5E83">
            <w:pPr>
              <w:spacing w:after="0" w:line="240" w:lineRule="auto"/>
              <w:contextualSpacing/>
              <w:rPr>
                <w:rFonts w:ascii="Arial" w:eastAsia="SimSun" w:hAnsi="Arial" w:cs="Arial"/>
                <w:b/>
                <w:bCs/>
                <w:sz w:val="18"/>
                <w:szCs w:val="18"/>
              </w:rPr>
            </w:pPr>
          </w:p>
        </w:tc>
      </w:tr>
      <w:tr w:rsidR="004D174C" w:rsidRPr="00306F4D" w14:paraId="296E2A01" w14:textId="7F216C57" w:rsidTr="00AD41F0">
        <w:trPr>
          <w:trHeight w:val="300"/>
          <w:tblHeader/>
        </w:trPr>
        <w:tc>
          <w:tcPr>
            <w:tcW w:w="1598" w:type="dxa"/>
            <w:shd w:val="clear" w:color="auto" w:fill="D9D9D9" w:themeFill="background1" w:themeFillShade="D9"/>
            <w:vAlign w:val="center"/>
          </w:tcPr>
          <w:p w14:paraId="7DAED3EA" w14:textId="74A226F8" w:rsidR="00413E4C" w:rsidRPr="00306F4D" w:rsidRDefault="00413E4C" w:rsidP="338C5E83">
            <w:pPr>
              <w:spacing w:after="0" w:line="240" w:lineRule="auto"/>
              <w:contextualSpacing/>
              <w:jc w:val="center"/>
              <w:rPr>
                <w:rFonts w:ascii="Arial" w:eastAsia="SimSun" w:hAnsi="Arial" w:cs="Arial"/>
                <w:b/>
                <w:bCs/>
                <w:sz w:val="18"/>
                <w:szCs w:val="18"/>
              </w:rPr>
            </w:pPr>
          </w:p>
        </w:tc>
        <w:tc>
          <w:tcPr>
            <w:tcW w:w="2359" w:type="dxa"/>
            <w:shd w:val="clear" w:color="auto" w:fill="D9D9D9" w:themeFill="background1" w:themeFillShade="D9"/>
            <w:vAlign w:val="center"/>
          </w:tcPr>
          <w:p w14:paraId="3704AD0D" w14:textId="77777777" w:rsidR="00413E4C" w:rsidRPr="00306F4D" w:rsidRDefault="00413E4C" w:rsidP="338C5E83">
            <w:pPr>
              <w:spacing w:after="0" w:line="240" w:lineRule="auto"/>
              <w:contextualSpacing/>
              <w:jc w:val="center"/>
              <w:rPr>
                <w:rFonts w:ascii="Arial" w:eastAsia="SimSun" w:hAnsi="Arial" w:cs="Arial"/>
                <w:b/>
                <w:bCs/>
                <w:sz w:val="18"/>
                <w:szCs w:val="18"/>
              </w:rPr>
            </w:pPr>
            <w:r w:rsidRPr="00306F4D">
              <w:rPr>
                <w:rFonts w:ascii="Arial" w:eastAsia="SimSun" w:hAnsi="Arial" w:cs="Arial"/>
                <w:b/>
                <w:bCs/>
                <w:sz w:val="18"/>
                <w:szCs w:val="18"/>
              </w:rPr>
              <w:t>Frequency/Timeframe</w:t>
            </w:r>
          </w:p>
        </w:tc>
        <w:tc>
          <w:tcPr>
            <w:tcW w:w="2248" w:type="dxa"/>
            <w:shd w:val="clear" w:color="auto" w:fill="D9D9D9" w:themeFill="background1" w:themeFillShade="D9"/>
            <w:vAlign w:val="center"/>
          </w:tcPr>
          <w:p w14:paraId="496F8BA3" w14:textId="77777777" w:rsidR="00413E4C" w:rsidRPr="00306F4D" w:rsidRDefault="00413E4C" w:rsidP="338C5E83">
            <w:pPr>
              <w:spacing w:after="0" w:line="240" w:lineRule="auto"/>
              <w:contextualSpacing/>
              <w:jc w:val="center"/>
              <w:rPr>
                <w:rFonts w:ascii="Arial" w:eastAsia="SimSun" w:hAnsi="Arial" w:cs="Arial"/>
                <w:b/>
                <w:bCs/>
                <w:sz w:val="18"/>
                <w:szCs w:val="18"/>
              </w:rPr>
            </w:pPr>
            <w:r w:rsidRPr="00306F4D">
              <w:rPr>
                <w:rFonts w:ascii="Arial" w:eastAsia="SimSun" w:hAnsi="Arial" w:cs="Arial"/>
                <w:b/>
                <w:bCs/>
                <w:sz w:val="18"/>
                <w:szCs w:val="18"/>
              </w:rPr>
              <w:t>Expected Action</w:t>
            </w:r>
          </w:p>
        </w:tc>
        <w:tc>
          <w:tcPr>
            <w:tcW w:w="1800" w:type="dxa"/>
            <w:shd w:val="clear" w:color="auto" w:fill="D9D9D9" w:themeFill="background1" w:themeFillShade="D9"/>
            <w:vAlign w:val="center"/>
          </w:tcPr>
          <w:p w14:paraId="36FDBCC5" w14:textId="7979610C" w:rsidR="00413E4C" w:rsidRPr="00306F4D" w:rsidRDefault="00413E4C" w:rsidP="338C5E83">
            <w:pPr>
              <w:spacing w:after="0" w:line="240" w:lineRule="auto"/>
              <w:contextualSpacing/>
              <w:jc w:val="center"/>
              <w:rPr>
                <w:rFonts w:ascii="Arial" w:eastAsia="SimSun" w:hAnsi="Arial" w:cs="Arial"/>
                <w:b/>
                <w:bCs/>
                <w:sz w:val="18"/>
                <w:szCs w:val="18"/>
              </w:rPr>
            </w:pPr>
            <w:r w:rsidRPr="00306F4D">
              <w:rPr>
                <w:rFonts w:ascii="Arial" w:eastAsia="SimSun" w:hAnsi="Arial" w:cs="Arial"/>
                <w:b/>
                <w:bCs/>
                <w:sz w:val="18"/>
                <w:szCs w:val="18"/>
              </w:rPr>
              <w:t>Responsible Parties</w:t>
            </w:r>
          </w:p>
        </w:tc>
        <w:tc>
          <w:tcPr>
            <w:tcW w:w="1618" w:type="dxa"/>
            <w:shd w:val="clear" w:color="auto" w:fill="D9D9D9" w:themeFill="background1" w:themeFillShade="D9"/>
          </w:tcPr>
          <w:p w14:paraId="2046D076" w14:textId="2103EA42" w:rsidR="00413E4C" w:rsidRPr="00306F4D" w:rsidRDefault="00413E4C" w:rsidP="338C5E83">
            <w:pPr>
              <w:spacing w:after="0" w:line="240" w:lineRule="auto"/>
              <w:contextualSpacing/>
              <w:jc w:val="center"/>
              <w:rPr>
                <w:rFonts w:ascii="Arial" w:eastAsia="SimSun" w:hAnsi="Arial" w:cs="Arial"/>
                <w:b/>
                <w:bCs/>
                <w:sz w:val="18"/>
                <w:szCs w:val="18"/>
              </w:rPr>
            </w:pPr>
            <w:r w:rsidRPr="00306F4D">
              <w:rPr>
                <w:rFonts w:ascii="Arial" w:eastAsia="Arial" w:hAnsi="Arial" w:cs="Arial"/>
                <w:b/>
                <w:bCs/>
                <w:color w:val="000000" w:themeColor="text1"/>
                <w:sz w:val="18"/>
                <w:szCs w:val="18"/>
              </w:rPr>
              <w:t>Indicative Cost (USD) (for the 4 years)</w:t>
            </w:r>
            <w:r w:rsidR="002F4A6C" w:rsidRPr="00306F4D">
              <w:rPr>
                <w:rFonts w:ascii="Arial" w:eastAsia="Arial" w:hAnsi="Arial" w:cs="Arial"/>
                <w:b/>
                <w:bCs/>
                <w:color w:val="000000" w:themeColor="text1"/>
                <w:sz w:val="18"/>
                <w:szCs w:val="18"/>
              </w:rPr>
              <w:t xml:space="preserve"> </w:t>
            </w:r>
          </w:p>
        </w:tc>
      </w:tr>
      <w:tr w:rsidR="00413E4C" w:rsidRPr="00306F4D" w14:paraId="63748F4A" w14:textId="0CE8B265" w:rsidTr="00AD41F0">
        <w:trPr>
          <w:trHeight w:val="300"/>
        </w:trPr>
        <w:tc>
          <w:tcPr>
            <w:tcW w:w="1598" w:type="dxa"/>
            <w:vAlign w:val="center"/>
          </w:tcPr>
          <w:p w14:paraId="04B45397" w14:textId="5DDB9DCA" w:rsidR="00413E4C" w:rsidRPr="00306F4D" w:rsidRDefault="00413E4C" w:rsidP="338C5E83">
            <w:pPr>
              <w:spacing w:after="0" w:line="240" w:lineRule="auto"/>
              <w:contextualSpacing/>
              <w:rPr>
                <w:rFonts w:ascii="Arial" w:eastAsia="SimSun" w:hAnsi="Arial" w:cs="Arial"/>
                <w:b/>
                <w:bCs/>
                <w:sz w:val="18"/>
                <w:szCs w:val="18"/>
              </w:rPr>
            </w:pPr>
            <w:r w:rsidRPr="00306F4D">
              <w:rPr>
                <w:rFonts w:ascii="Arial" w:eastAsia="SimSun" w:hAnsi="Arial" w:cs="Arial"/>
                <w:b/>
                <w:bCs/>
                <w:sz w:val="18"/>
                <w:szCs w:val="18"/>
              </w:rPr>
              <w:t>Inception Workshop and Report</w:t>
            </w:r>
          </w:p>
        </w:tc>
        <w:tc>
          <w:tcPr>
            <w:tcW w:w="2359" w:type="dxa"/>
            <w:vAlign w:val="center"/>
          </w:tcPr>
          <w:p w14:paraId="14F78DB1" w14:textId="77777777" w:rsidR="00413E4C" w:rsidRPr="00306F4D" w:rsidRDefault="00413E4C">
            <w:pPr>
              <w:spacing w:after="0" w:line="240" w:lineRule="auto"/>
              <w:contextualSpacing/>
              <w:jc w:val="center"/>
              <w:rPr>
                <w:rFonts w:ascii="Arial" w:eastAsia="SimSun" w:hAnsi="Arial" w:cs="Arial"/>
                <w:sz w:val="18"/>
                <w:szCs w:val="18"/>
              </w:rPr>
            </w:pPr>
            <w:r w:rsidRPr="00306F4D">
              <w:rPr>
                <w:rFonts w:ascii="Arial" w:eastAsia="SimSun" w:hAnsi="Arial" w:cs="Arial"/>
                <w:sz w:val="18"/>
                <w:szCs w:val="18"/>
              </w:rPr>
              <w:t>Inception Workshop within 2 months of the First Disbursement</w:t>
            </w:r>
          </w:p>
        </w:tc>
        <w:tc>
          <w:tcPr>
            <w:tcW w:w="2248" w:type="dxa"/>
          </w:tcPr>
          <w:p w14:paraId="443448CA" w14:textId="77777777" w:rsidR="00413E4C" w:rsidRPr="00306F4D" w:rsidRDefault="00413E4C">
            <w:pPr>
              <w:spacing w:after="0" w:line="240" w:lineRule="auto"/>
              <w:contextualSpacing/>
              <w:rPr>
                <w:rFonts w:ascii="Arial" w:eastAsia="SimSun" w:hAnsi="Arial" w:cs="Arial"/>
                <w:sz w:val="18"/>
                <w:szCs w:val="18"/>
              </w:rPr>
            </w:pPr>
          </w:p>
          <w:p w14:paraId="78037DDD" w14:textId="34372FDF" w:rsidR="00413E4C" w:rsidRPr="00306F4D" w:rsidRDefault="00413E4C">
            <w:pPr>
              <w:spacing w:after="0" w:line="240" w:lineRule="auto"/>
              <w:contextualSpacing/>
              <w:rPr>
                <w:rFonts w:ascii="Arial" w:eastAsia="SimSun" w:hAnsi="Arial" w:cs="Arial"/>
                <w:sz w:val="18"/>
                <w:szCs w:val="18"/>
              </w:rPr>
            </w:pPr>
            <w:r w:rsidRPr="00306F4D">
              <w:rPr>
                <w:rFonts w:ascii="Arial" w:eastAsia="SimSun" w:hAnsi="Arial" w:cs="Arial"/>
                <w:sz w:val="18"/>
                <w:szCs w:val="18"/>
              </w:rPr>
              <w:t>As per above description</w:t>
            </w:r>
          </w:p>
        </w:tc>
        <w:tc>
          <w:tcPr>
            <w:tcW w:w="1800" w:type="dxa"/>
          </w:tcPr>
          <w:p w14:paraId="195599ED" w14:textId="2FAF6D2B" w:rsidR="00413E4C" w:rsidRPr="00306F4D" w:rsidRDefault="00413E4C" w:rsidP="6C5776C4">
            <w:pPr>
              <w:spacing w:after="0" w:line="240" w:lineRule="auto"/>
              <w:contextualSpacing/>
              <w:rPr>
                <w:rFonts w:ascii="Arial" w:eastAsia="SimSun" w:hAnsi="Arial" w:cs="Arial"/>
                <w:sz w:val="18"/>
                <w:szCs w:val="18"/>
              </w:rPr>
            </w:pPr>
            <w:r w:rsidRPr="00306F4D">
              <w:rPr>
                <w:rFonts w:ascii="Arial" w:eastAsia="SimSun" w:hAnsi="Arial" w:cs="Arial"/>
                <w:sz w:val="18"/>
                <w:szCs w:val="18"/>
              </w:rPr>
              <w:t>Executing Entity (EE)</w:t>
            </w:r>
          </w:p>
          <w:p w14:paraId="76C86A2E" w14:textId="77777777" w:rsidR="00413E4C" w:rsidRPr="00306F4D" w:rsidRDefault="00413E4C" w:rsidP="6C5776C4">
            <w:pPr>
              <w:spacing w:after="0" w:line="240" w:lineRule="auto"/>
              <w:contextualSpacing/>
              <w:rPr>
                <w:rFonts w:ascii="Arial" w:eastAsia="SimSun" w:hAnsi="Arial" w:cs="Arial"/>
                <w:sz w:val="18"/>
                <w:szCs w:val="18"/>
              </w:rPr>
            </w:pPr>
          </w:p>
          <w:p w14:paraId="39007AD3" w14:textId="2A4292FF" w:rsidR="00413E4C" w:rsidRPr="00306F4D" w:rsidRDefault="00413E4C">
            <w:pPr>
              <w:spacing w:after="0" w:line="240" w:lineRule="auto"/>
              <w:contextualSpacing/>
              <w:jc w:val="both"/>
              <w:rPr>
                <w:rFonts w:ascii="Arial" w:eastAsia="SimSun" w:hAnsi="Arial" w:cs="Arial"/>
                <w:sz w:val="18"/>
                <w:szCs w:val="18"/>
              </w:rPr>
            </w:pPr>
            <w:r w:rsidRPr="00306F4D">
              <w:rPr>
                <w:rFonts w:ascii="Arial" w:eastAsia="SimSun" w:hAnsi="Arial" w:cs="Arial"/>
                <w:sz w:val="18"/>
                <w:szCs w:val="18"/>
              </w:rPr>
              <w:t xml:space="preserve">PMU, Regional Hub, </w:t>
            </w:r>
            <w:r w:rsidRPr="00306F4D">
              <w:rPr>
                <w:rFonts w:ascii="Arial" w:eastAsia="Cambria" w:hAnsi="Arial" w:cs="Arial"/>
                <w:sz w:val="20"/>
                <w:szCs w:val="20"/>
              </w:rPr>
              <w:t>Performance and Data Analyst</w:t>
            </w:r>
          </w:p>
        </w:tc>
        <w:tc>
          <w:tcPr>
            <w:tcW w:w="1618" w:type="dxa"/>
          </w:tcPr>
          <w:p w14:paraId="5217ADA7" w14:textId="6A12F08B" w:rsidR="00413E4C" w:rsidRPr="00306F4D" w:rsidRDefault="00413E4C" w:rsidP="2E205A65">
            <w:pPr>
              <w:spacing w:after="0" w:line="240" w:lineRule="auto"/>
              <w:contextualSpacing/>
              <w:jc w:val="both"/>
              <w:rPr>
                <w:rFonts w:ascii="Arial" w:eastAsia="SimSun" w:hAnsi="Arial" w:cs="Arial"/>
                <w:sz w:val="18"/>
                <w:szCs w:val="18"/>
              </w:rPr>
            </w:pPr>
            <w:r w:rsidRPr="00306F4D">
              <w:rPr>
                <w:rFonts w:ascii="Arial" w:eastAsia="SimSun" w:hAnsi="Arial" w:cs="Arial"/>
                <w:sz w:val="18"/>
                <w:szCs w:val="18"/>
              </w:rPr>
              <w:t>3,000</w:t>
            </w:r>
          </w:p>
          <w:p w14:paraId="4D0437B9" w14:textId="34DD4DEA" w:rsidR="00413E4C" w:rsidRPr="00306F4D" w:rsidRDefault="00413E4C" w:rsidP="2E205A65">
            <w:pPr>
              <w:spacing w:after="0" w:line="240" w:lineRule="auto"/>
              <w:contextualSpacing/>
              <w:jc w:val="both"/>
              <w:rPr>
                <w:rFonts w:ascii="Arial" w:eastAsia="SimSun" w:hAnsi="Arial" w:cs="Arial"/>
                <w:sz w:val="18"/>
                <w:szCs w:val="18"/>
              </w:rPr>
            </w:pPr>
          </w:p>
          <w:p w14:paraId="2E47F760" w14:textId="1CA9AE3D" w:rsidR="00413E4C" w:rsidRPr="00306F4D" w:rsidRDefault="00413E4C" w:rsidP="2E205A65">
            <w:pPr>
              <w:spacing w:after="0" w:line="240" w:lineRule="auto"/>
              <w:contextualSpacing/>
              <w:jc w:val="both"/>
              <w:rPr>
                <w:rFonts w:ascii="Arial" w:eastAsia="SimSun" w:hAnsi="Arial" w:cs="Arial"/>
                <w:sz w:val="18"/>
                <w:szCs w:val="18"/>
              </w:rPr>
            </w:pPr>
            <w:r w:rsidRPr="00306F4D">
              <w:rPr>
                <w:rFonts w:ascii="Arial" w:eastAsia="SimSun" w:hAnsi="Arial" w:cs="Arial"/>
                <w:sz w:val="18"/>
                <w:szCs w:val="18"/>
              </w:rPr>
              <w:t xml:space="preserve">(See </w:t>
            </w:r>
            <w:r w:rsidR="008364C6" w:rsidRPr="00306F4D">
              <w:rPr>
                <w:rFonts w:ascii="Arial" w:eastAsia="SimSun" w:hAnsi="Arial" w:cs="Arial"/>
                <w:sz w:val="18"/>
                <w:szCs w:val="18"/>
              </w:rPr>
              <w:t xml:space="preserve">Detailed Budget, </w:t>
            </w:r>
            <w:r w:rsidRPr="00306F4D">
              <w:rPr>
                <w:rFonts w:ascii="Arial" w:eastAsia="SimSun" w:hAnsi="Arial" w:cs="Arial"/>
                <w:sz w:val="18"/>
                <w:szCs w:val="18"/>
              </w:rPr>
              <w:t>Budget Note 4)</w:t>
            </w:r>
          </w:p>
        </w:tc>
      </w:tr>
      <w:tr w:rsidR="00413E4C" w:rsidRPr="00306F4D" w14:paraId="0DD28AF0" w14:textId="31CB83A1" w:rsidTr="00AD41F0">
        <w:trPr>
          <w:trHeight w:val="300"/>
        </w:trPr>
        <w:tc>
          <w:tcPr>
            <w:tcW w:w="1598" w:type="dxa"/>
            <w:tcBorders>
              <w:top w:val="single" w:sz="4" w:space="0" w:color="auto"/>
              <w:left w:val="single" w:sz="4" w:space="0" w:color="auto"/>
              <w:bottom w:val="single" w:sz="4" w:space="0" w:color="auto"/>
              <w:right w:val="single" w:sz="4" w:space="0" w:color="auto"/>
            </w:tcBorders>
            <w:vAlign w:val="center"/>
          </w:tcPr>
          <w:p w14:paraId="68EA1CA7" w14:textId="32F3DB8D" w:rsidR="00413E4C" w:rsidRPr="00306F4D" w:rsidRDefault="00413E4C" w:rsidP="338C5E83">
            <w:pPr>
              <w:spacing w:after="0" w:line="240" w:lineRule="auto"/>
              <w:contextualSpacing/>
              <w:rPr>
                <w:rFonts w:ascii="Arial" w:eastAsia="SimSun" w:hAnsi="Arial" w:cs="Arial"/>
                <w:b/>
                <w:sz w:val="18"/>
                <w:szCs w:val="18"/>
              </w:rPr>
            </w:pPr>
            <w:r w:rsidRPr="00306F4D">
              <w:rPr>
                <w:rFonts w:ascii="Arial" w:eastAsia="SimSun" w:hAnsi="Arial" w:cs="Arial"/>
                <w:b/>
                <w:sz w:val="18"/>
                <w:szCs w:val="18"/>
              </w:rPr>
              <w:t>Project Baseline Report</w:t>
            </w:r>
          </w:p>
        </w:tc>
        <w:tc>
          <w:tcPr>
            <w:tcW w:w="2359" w:type="dxa"/>
            <w:tcBorders>
              <w:top w:val="single" w:sz="4" w:space="0" w:color="auto"/>
              <w:left w:val="single" w:sz="4" w:space="0" w:color="auto"/>
              <w:bottom w:val="single" w:sz="4" w:space="0" w:color="auto"/>
              <w:right w:val="single" w:sz="4" w:space="0" w:color="auto"/>
            </w:tcBorders>
            <w:vAlign w:val="center"/>
          </w:tcPr>
          <w:p w14:paraId="785A1B31" w14:textId="10A34659" w:rsidR="00413E4C" w:rsidRPr="00306F4D" w:rsidRDefault="00413E4C">
            <w:pPr>
              <w:spacing w:after="0" w:line="240" w:lineRule="auto"/>
              <w:contextualSpacing/>
              <w:jc w:val="center"/>
              <w:rPr>
                <w:rFonts w:ascii="Arial" w:eastAsia="SimSun" w:hAnsi="Arial" w:cs="Arial"/>
                <w:sz w:val="18"/>
                <w:szCs w:val="18"/>
              </w:rPr>
            </w:pPr>
            <w:r w:rsidRPr="00306F4D">
              <w:rPr>
                <w:rFonts w:ascii="Arial" w:eastAsia="SimSun" w:hAnsi="Arial" w:cs="Arial"/>
                <w:sz w:val="18"/>
                <w:szCs w:val="18"/>
              </w:rPr>
              <w:t xml:space="preserve">Baseline report with in first year of implementation </w:t>
            </w:r>
            <w:r w:rsidR="00720651" w:rsidRPr="00306F4D">
              <w:rPr>
                <w:rFonts w:ascii="Arial" w:eastAsia="SimSun" w:hAnsi="Arial" w:cs="Arial"/>
                <w:sz w:val="18"/>
                <w:szCs w:val="18"/>
              </w:rPr>
              <w:t>not later than</w:t>
            </w:r>
            <w:r w:rsidRPr="00306F4D">
              <w:rPr>
                <w:rFonts w:ascii="Arial" w:eastAsia="SimSun" w:hAnsi="Arial" w:cs="Arial"/>
                <w:sz w:val="18"/>
                <w:szCs w:val="18"/>
              </w:rPr>
              <w:t xml:space="preserve"> submission of annual PPR</w:t>
            </w:r>
          </w:p>
        </w:tc>
        <w:tc>
          <w:tcPr>
            <w:tcW w:w="2248" w:type="dxa"/>
            <w:tcBorders>
              <w:top w:val="single" w:sz="4" w:space="0" w:color="auto"/>
              <w:left w:val="single" w:sz="4" w:space="0" w:color="auto"/>
              <w:bottom w:val="single" w:sz="4" w:space="0" w:color="auto"/>
              <w:right w:val="single" w:sz="4" w:space="0" w:color="auto"/>
            </w:tcBorders>
          </w:tcPr>
          <w:p w14:paraId="33D20F8D" w14:textId="0C3EAB17" w:rsidR="00413E4C" w:rsidRPr="00306F4D" w:rsidRDefault="00413E4C">
            <w:pPr>
              <w:spacing w:after="0" w:line="240" w:lineRule="auto"/>
              <w:contextualSpacing/>
              <w:rPr>
                <w:rFonts w:ascii="Arial" w:eastAsia="SimSun" w:hAnsi="Arial" w:cs="Arial"/>
                <w:sz w:val="18"/>
                <w:szCs w:val="18"/>
              </w:rPr>
            </w:pPr>
            <w:r w:rsidRPr="00306F4D">
              <w:rPr>
                <w:rFonts w:ascii="Arial" w:eastAsia="SimSun" w:hAnsi="Arial" w:cs="Arial"/>
                <w:sz w:val="18"/>
                <w:szCs w:val="18"/>
              </w:rPr>
              <w:t>As per above Baseline assessment description</w:t>
            </w:r>
          </w:p>
        </w:tc>
        <w:tc>
          <w:tcPr>
            <w:tcW w:w="1800" w:type="dxa"/>
            <w:tcBorders>
              <w:top w:val="single" w:sz="4" w:space="0" w:color="auto"/>
              <w:left w:val="single" w:sz="4" w:space="0" w:color="auto"/>
              <w:bottom w:val="single" w:sz="4" w:space="0" w:color="auto"/>
              <w:right w:val="single" w:sz="4" w:space="0" w:color="auto"/>
            </w:tcBorders>
          </w:tcPr>
          <w:p w14:paraId="6FEFD77D" w14:textId="77777777" w:rsidR="00413E4C" w:rsidRPr="00306F4D" w:rsidRDefault="00413E4C" w:rsidP="009006E1">
            <w:pPr>
              <w:spacing w:after="0" w:line="240" w:lineRule="auto"/>
              <w:contextualSpacing/>
              <w:rPr>
                <w:rFonts w:ascii="Arial" w:eastAsia="SimSun" w:hAnsi="Arial" w:cs="Arial"/>
                <w:sz w:val="18"/>
                <w:szCs w:val="18"/>
              </w:rPr>
            </w:pPr>
            <w:r w:rsidRPr="00306F4D">
              <w:rPr>
                <w:rFonts w:ascii="Arial" w:eastAsia="SimSun" w:hAnsi="Arial" w:cs="Arial"/>
                <w:sz w:val="18"/>
                <w:szCs w:val="18"/>
              </w:rPr>
              <w:t>Executing Entity (EE)</w:t>
            </w:r>
          </w:p>
          <w:p w14:paraId="5F2AC7C6" w14:textId="77777777" w:rsidR="00413E4C" w:rsidRPr="00306F4D" w:rsidRDefault="00413E4C" w:rsidP="009006E1">
            <w:pPr>
              <w:spacing w:after="0" w:line="240" w:lineRule="auto"/>
              <w:contextualSpacing/>
              <w:rPr>
                <w:rFonts w:ascii="Arial" w:eastAsia="SimSun" w:hAnsi="Arial" w:cs="Arial"/>
                <w:sz w:val="18"/>
                <w:szCs w:val="18"/>
              </w:rPr>
            </w:pPr>
          </w:p>
          <w:p w14:paraId="1CAB6BAB" w14:textId="073EF064" w:rsidR="00413E4C" w:rsidRPr="00306F4D" w:rsidRDefault="00413E4C" w:rsidP="009006E1">
            <w:pPr>
              <w:spacing w:after="0" w:line="240" w:lineRule="auto"/>
              <w:contextualSpacing/>
              <w:rPr>
                <w:rFonts w:ascii="Arial" w:eastAsia="SimSun" w:hAnsi="Arial" w:cs="Arial"/>
                <w:sz w:val="18"/>
                <w:szCs w:val="18"/>
              </w:rPr>
            </w:pPr>
            <w:r w:rsidRPr="00306F4D">
              <w:rPr>
                <w:rFonts w:ascii="Arial" w:eastAsia="SimSun" w:hAnsi="Arial" w:cs="Arial"/>
                <w:sz w:val="18"/>
                <w:szCs w:val="18"/>
              </w:rPr>
              <w:t>PMU, Regional Hub, Performance and Data Analyst</w:t>
            </w:r>
          </w:p>
        </w:tc>
        <w:tc>
          <w:tcPr>
            <w:tcW w:w="1618" w:type="dxa"/>
            <w:tcBorders>
              <w:top w:val="single" w:sz="4" w:space="0" w:color="auto"/>
              <w:left w:val="single" w:sz="4" w:space="0" w:color="auto"/>
              <w:bottom w:val="single" w:sz="4" w:space="0" w:color="auto"/>
              <w:right w:val="single" w:sz="4" w:space="0" w:color="auto"/>
            </w:tcBorders>
          </w:tcPr>
          <w:p w14:paraId="33E6E3CE" w14:textId="58910443" w:rsidR="00413E4C" w:rsidRPr="00306F4D" w:rsidRDefault="00152DCB" w:rsidP="2E205A65">
            <w:pPr>
              <w:spacing w:after="0" w:line="240" w:lineRule="auto"/>
              <w:contextualSpacing/>
              <w:jc w:val="both"/>
              <w:rPr>
                <w:rFonts w:ascii="Arial" w:eastAsia="SimSun" w:hAnsi="Arial" w:cs="Arial"/>
                <w:sz w:val="18"/>
                <w:szCs w:val="18"/>
              </w:rPr>
            </w:pPr>
            <w:r w:rsidRPr="00306F4D">
              <w:rPr>
                <w:rFonts w:ascii="Arial" w:eastAsia="SimSun" w:hAnsi="Arial" w:cs="Arial"/>
                <w:sz w:val="18"/>
                <w:szCs w:val="18"/>
              </w:rPr>
              <w:t>3</w:t>
            </w:r>
            <w:r w:rsidR="00C64C47" w:rsidRPr="00306F4D">
              <w:rPr>
                <w:rFonts w:ascii="Arial" w:eastAsia="SimSun" w:hAnsi="Arial" w:cs="Arial"/>
                <w:sz w:val="18"/>
                <w:szCs w:val="18"/>
              </w:rPr>
              <w:t>,</w:t>
            </w:r>
            <w:r w:rsidRPr="00306F4D">
              <w:rPr>
                <w:rFonts w:ascii="Arial" w:eastAsia="SimSun" w:hAnsi="Arial" w:cs="Arial"/>
                <w:sz w:val="18"/>
                <w:szCs w:val="18"/>
              </w:rPr>
              <w:t>000</w:t>
            </w:r>
          </w:p>
          <w:p w14:paraId="07E7AC2A" w14:textId="77777777" w:rsidR="00413E4C" w:rsidRPr="00306F4D" w:rsidRDefault="00413E4C" w:rsidP="2E205A65">
            <w:pPr>
              <w:spacing w:after="0" w:line="240" w:lineRule="auto"/>
              <w:contextualSpacing/>
              <w:jc w:val="both"/>
              <w:rPr>
                <w:rFonts w:ascii="Arial" w:eastAsia="SimSun" w:hAnsi="Arial" w:cs="Arial"/>
                <w:sz w:val="18"/>
                <w:szCs w:val="18"/>
              </w:rPr>
            </w:pPr>
          </w:p>
          <w:p w14:paraId="08AE187C" w14:textId="77777777" w:rsidR="00413E4C" w:rsidRPr="00306F4D" w:rsidRDefault="00413E4C" w:rsidP="2E205A65">
            <w:pPr>
              <w:spacing w:after="0" w:line="240" w:lineRule="auto"/>
              <w:contextualSpacing/>
              <w:jc w:val="both"/>
              <w:rPr>
                <w:rFonts w:ascii="Arial" w:eastAsia="SimSun" w:hAnsi="Arial" w:cs="Arial"/>
                <w:sz w:val="18"/>
                <w:szCs w:val="18"/>
              </w:rPr>
            </w:pPr>
          </w:p>
          <w:p w14:paraId="77DE6C46" w14:textId="54C8D115" w:rsidR="00413E4C" w:rsidRPr="00306F4D" w:rsidRDefault="004D7241" w:rsidP="2E205A65">
            <w:pPr>
              <w:spacing w:after="0" w:line="240" w:lineRule="auto"/>
              <w:contextualSpacing/>
              <w:jc w:val="both"/>
              <w:rPr>
                <w:rFonts w:ascii="Arial" w:eastAsia="SimSun" w:hAnsi="Arial" w:cs="Arial"/>
                <w:sz w:val="18"/>
                <w:szCs w:val="18"/>
              </w:rPr>
            </w:pPr>
            <w:r w:rsidRPr="00306F4D">
              <w:rPr>
                <w:rFonts w:ascii="Arial" w:eastAsia="SimSun" w:hAnsi="Arial" w:cs="Arial"/>
                <w:sz w:val="18"/>
                <w:szCs w:val="18"/>
              </w:rPr>
              <w:t>(IE Fee)</w:t>
            </w:r>
          </w:p>
          <w:p w14:paraId="774E319F" w14:textId="07C95615" w:rsidR="00413E4C" w:rsidRPr="00306F4D" w:rsidRDefault="00413E4C" w:rsidP="2E205A65">
            <w:pPr>
              <w:spacing w:after="0" w:line="240" w:lineRule="auto"/>
              <w:contextualSpacing/>
              <w:jc w:val="both"/>
              <w:rPr>
                <w:rFonts w:ascii="Arial" w:eastAsia="SimSun" w:hAnsi="Arial" w:cs="Arial"/>
                <w:sz w:val="18"/>
                <w:szCs w:val="18"/>
              </w:rPr>
            </w:pPr>
          </w:p>
        </w:tc>
      </w:tr>
      <w:tr w:rsidR="00413E4C" w:rsidRPr="00306F4D" w14:paraId="44BFE2D7" w14:textId="1AFC7DA5" w:rsidTr="00AD41F0">
        <w:trPr>
          <w:trHeight w:val="300"/>
        </w:trPr>
        <w:tc>
          <w:tcPr>
            <w:tcW w:w="1598" w:type="dxa"/>
            <w:vAlign w:val="center"/>
          </w:tcPr>
          <w:p w14:paraId="36130F3D" w14:textId="30ACA181" w:rsidR="00413E4C" w:rsidRPr="00306F4D" w:rsidRDefault="00413E4C" w:rsidP="338C5E83">
            <w:pPr>
              <w:spacing w:after="0" w:line="240" w:lineRule="auto"/>
              <w:contextualSpacing/>
              <w:rPr>
                <w:rFonts w:ascii="Arial" w:eastAsia="SimSun" w:hAnsi="Arial" w:cs="Arial"/>
                <w:b/>
                <w:bCs/>
                <w:sz w:val="18"/>
                <w:szCs w:val="18"/>
              </w:rPr>
            </w:pPr>
            <w:r w:rsidRPr="00306F4D">
              <w:rPr>
                <w:rFonts w:ascii="Arial" w:eastAsia="SimSun" w:hAnsi="Arial" w:cs="Arial"/>
                <w:b/>
                <w:bCs/>
                <w:sz w:val="18"/>
                <w:szCs w:val="18"/>
              </w:rPr>
              <w:t xml:space="preserve">Track results progress (see above Results Framework for details) </w:t>
            </w:r>
          </w:p>
        </w:tc>
        <w:tc>
          <w:tcPr>
            <w:tcW w:w="2359" w:type="dxa"/>
            <w:vAlign w:val="center"/>
          </w:tcPr>
          <w:p w14:paraId="143C6A8F" w14:textId="77777777" w:rsidR="00413E4C" w:rsidRPr="00306F4D" w:rsidRDefault="00413E4C">
            <w:pPr>
              <w:spacing w:after="0" w:line="240" w:lineRule="auto"/>
              <w:contextualSpacing/>
              <w:jc w:val="center"/>
              <w:rPr>
                <w:rFonts w:ascii="Arial" w:eastAsia="SimSun" w:hAnsi="Arial" w:cs="Arial"/>
                <w:sz w:val="18"/>
                <w:szCs w:val="18"/>
              </w:rPr>
            </w:pPr>
            <w:r w:rsidRPr="00306F4D">
              <w:rPr>
                <w:rFonts w:ascii="Arial" w:eastAsia="SimSun" w:hAnsi="Arial" w:cs="Arial"/>
                <w:sz w:val="18"/>
                <w:szCs w:val="18"/>
              </w:rPr>
              <w:t>Annually and at mid-point and closure</w:t>
            </w:r>
          </w:p>
        </w:tc>
        <w:tc>
          <w:tcPr>
            <w:tcW w:w="2248" w:type="dxa"/>
          </w:tcPr>
          <w:p w14:paraId="6CD0A9CB" w14:textId="77777777" w:rsidR="00413E4C" w:rsidRPr="00306F4D" w:rsidRDefault="00413E4C">
            <w:pPr>
              <w:spacing w:after="0" w:line="240" w:lineRule="auto"/>
              <w:contextualSpacing/>
              <w:rPr>
                <w:rFonts w:ascii="Arial" w:eastAsia="SimSun" w:hAnsi="Arial" w:cs="Arial"/>
                <w:sz w:val="18"/>
                <w:szCs w:val="18"/>
              </w:rPr>
            </w:pPr>
            <w:r w:rsidRPr="00306F4D">
              <w:rPr>
                <w:rFonts w:ascii="Arial" w:eastAsia="SimSun" w:hAnsi="Arial" w:cs="Arial"/>
                <w:sz w:val="18"/>
                <w:szCs w:val="18"/>
              </w:rPr>
              <w:t>Slower than expected progress will be addressed by project management.</w:t>
            </w:r>
          </w:p>
        </w:tc>
        <w:tc>
          <w:tcPr>
            <w:tcW w:w="1800" w:type="dxa"/>
          </w:tcPr>
          <w:p w14:paraId="7CCDF549" w14:textId="77777777" w:rsidR="00413E4C" w:rsidRPr="00306F4D" w:rsidRDefault="00413E4C" w:rsidP="00A96975">
            <w:pPr>
              <w:spacing w:after="0" w:line="240" w:lineRule="auto"/>
              <w:contextualSpacing/>
              <w:rPr>
                <w:rFonts w:ascii="Arial" w:eastAsia="SimSun" w:hAnsi="Arial" w:cs="Arial"/>
                <w:sz w:val="18"/>
                <w:szCs w:val="18"/>
              </w:rPr>
            </w:pPr>
            <w:r w:rsidRPr="00306F4D">
              <w:rPr>
                <w:rFonts w:ascii="Arial" w:eastAsia="SimSun" w:hAnsi="Arial" w:cs="Arial"/>
                <w:sz w:val="18"/>
                <w:szCs w:val="18"/>
              </w:rPr>
              <w:t>Executing Entity (EE)</w:t>
            </w:r>
          </w:p>
          <w:p w14:paraId="6EDC01D1" w14:textId="77777777" w:rsidR="00413E4C" w:rsidRPr="00306F4D" w:rsidRDefault="00413E4C">
            <w:pPr>
              <w:spacing w:after="0" w:line="240" w:lineRule="auto"/>
              <w:contextualSpacing/>
              <w:jc w:val="both"/>
              <w:rPr>
                <w:rFonts w:ascii="Arial" w:eastAsiaTheme="minorEastAsia" w:hAnsi="Arial" w:cs="Arial"/>
                <w:color w:val="000000" w:themeColor="text1"/>
                <w:sz w:val="18"/>
                <w:szCs w:val="18"/>
              </w:rPr>
            </w:pPr>
          </w:p>
          <w:p w14:paraId="1C0EB348" w14:textId="73A32D8D" w:rsidR="00413E4C" w:rsidRPr="00306F4D" w:rsidRDefault="00413E4C">
            <w:pPr>
              <w:spacing w:after="0" w:line="240" w:lineRule="auto"/>
              <w:contextualSpacing/>
              <w:jc w:val="both"/>
              <w:rPr>
                <w:rFonts w:asciiTheme="minorHAnsi" w:eastAsiaTheme="minorEastAsia" w:hAnsiTheme="minorHAnsi" w:cstheme="minorBidi"/>
                <w:color w:val="000000" w:themeColor="text1"/>
                <w:sz w:val="18"/>
                <w:szCs w:val="18"/>
              </w:rPr>
            </w:pPr>
            <w:r w:rsidRPr="00306F4D">
              <w:rPr>
                <w:rFonts w:ascii="Arial" w:eastAsiaTheme="minorEastAsia" w:hAnsi="Arial" w:cs="Arial"/>
                <w:color w:val="000000" w:themeColor="text1"/>
                <w:sz w:val="18"/>
                <w:szCs w:val="18"/>
              </w:rPr>
              <w:t>Performance and Data Analyst, Regional PM</w:t>
            </w:r>
          </w:p>
        </w:tc>
        <w:tc>
          <w:tcPr>
            <w:tcW w:w="1618" w:type="dxa"/>
          </w:tcPr>
          <w:p w14:paraId="027CD60C" w14:textId="408F7F35" w:rsidR="00413E4C" w:rsidRPr="00306F4D" w:rsidRDefault="00413E4C" w:rsidP="2E205A65">
            <w:pPr>
              <w:spacing w:after="0" w:line="240" w:lineRule="auto"/>
              <w:contextualSpacing/>
              <w:jc w:val="both"/>
              <w:rPr>
                <w:rFonts w:ascii="Arial" w:eastAsia="SimSun" w:hAnsi="Arial" w:cs="Arial"/>
                <w:sz w:val="18"/>
                <w:szCs w:val="18"/>
              </w:rPr>
            </w:pPr>
            <w:r w:rsidRPr="00306F4D">
              <w:rPr>
                <w:rFonts w:ascii="Arial" w:eastAsia="SimSun" w:hAnsi="Arial" w:cs="Arial"/>
                <w:sz w:val="18"/>
                <w:szCs w:val="18"/>
              </w:rPr>
              <w:t>20,000</w:t>
            </w:r>
          </w:p>
          <w:p w14:paraId="1A1579C0" w14:textId="40DDA4D8" w:rsidR="00413E4C" w:rsidRPr="00306F4D" w:rsidRDefault="00413E4C" w:rsidP="2E205A65">
            <w:pPr>
              <w:spacing w:after="0" w:line="240" w:lineRule="auto"/>
              <w:contextualSpacing/>
              <w:jc w:val="both"/>
              <w:rPr>
                <w:rFonts w:ascii="Arial" w:eastAsia="SimSun" w:hAnsi="Arial" w:cs="Arial"/>
                <w:sz w:val="18"/>
                <w:szCs w:val="18"/>
              </w:rPr>
            </w:pPr>
          </w:p>
          <w:p w14:paraId="11534D67" w14:textId="0BB595D2" w:rsidR="00413E4C" w:rsidRPr="00306F4D" w:rsidRDefault="00413E4C">
            <w:pPr>
              <w:spacing w:after="0" w:line="240" w:lineRule="auto"/>
              <w:contextualSpacing/>
              <w:jc w:val="both"/>
              <w:rPr>
                <w:rFonts w:ascii="Arial" w:eastAsia="SimSun" w:hAnsi="Arial" w:cs="Arial"/>
                <w:sz w:val="18"/>
                <w:szCs w:val="18"/>
              </w:rPr>
            </w:pPr>
            <w:r w:rsidRPr="00306F4D">
              <w:rPr>
                <w:rFonts w:ascii="Arial" w:eastAsia="SimSun" w:hAnsi="Arial" w:cs="Arial"/>
                <w:sz w:val="18"/>
                <w:szCs w:val="18"/>
              </w:rPr>
              <w:t>(See Budget Note 1)</w:t>
            </w:r>
          </w:p>
        </w:tc>
      </w:tr>
      <w:tr w:rsidR="00413E4C" w:rsidRPr="00306F4D" w14:paraId="153E818A" w14:textId="68749BBA" w:rsidTr="00AD41F0">
        <w:trPr>
          <w:trHeight w:val="300"/>
        </w:trPr>
        <w:tc>
          <w:tcPr>
            <w:tcW w:w="1598" w:type="dxa"/>
            <w:vAlign w:val="center"/>
          </w:tcPr>
          <w:p w14:paraId="5D1E15D5" w14:textId="7145D968" w:rsidR="00413E4C" w:rsidRPr="00306F4D" w:rsidRDefault="00413E4C" w:rsidP="338C5E83">
            <w:pPr>
              <w:spacing w:after="0" w:line="240" w:lineRule="auto"/>
              <w:contextualSpacing/>
              <w:rPr>
                <w:rFonts w:ascii="Arial" w:eastAsia="SimSun" w:hAnsi="Arial" w:cs="Arial"/>
                <w:b/>
                <w:bCs/>
                <w:sz w:val="18"/>
                <w:szCs w:val="18"/>
              </w:rPr>
            </w:pPr>
            <w:r w:rsidRPr="00306F4D">
              <w:rPr>
                <w:rFonts w:ascii="Arial" w:eastAsia="SimSun" w:hAnsi="Arial" w:cs="Arial"/>
                <w:b/>
                <w:bCs/>
                <w:sz w:val="18"/>
                <w:szCs w:val="18"/>
              </w:rPr>
              <w:t>Monitor and Manage Risk</w:t>
            </w:r>
          </w:p>
        </w:tc>
        <w:tc>
          <w:tcPr>
            <w:tcW w:w="2359" w:type="dxa"/>
            <w:vAlign w:val="center"/>
          </w:tcPr>
          <w:p w14:paraId="66388217" w14:textId="77777777" w:rsidR="00413E4C" w:rsidRPr="00306F4D" w:rsidRDefault="00413E4C">
            <w:pPr>
              <w:spacing w:after="0" w:line="240" w:lineRule="auto"/>
              <w:contextualSpacing/>
              <w:jc w:val="center"/>
              <w:rPr>
                <w:rFonts w:ascii="Arial" w:eastAsia="SimSun" w:hAnsi="Arial" w:cs="Arial"/>
                <w:sz w:val="18"/>
                <w:szCs w:val="18"/>
              </w:rPr>
            </w:pPr>
            <w:r w:rsidRPr="00306F4D">
              <w:rPr>
                <w:rFonts w:ascii="Arial" w:eastAsia="SimSun" w:hAnsi="Arial" w:cs="Arial"/>
                <w:sz w:val="18"/>
                <w:szCs w:val="18"/>
              </w:rPr>
              <w:t>Quarterly</w:t>
            </w:r>
          </w:p>
        </w:tc>
        <w:tc>
          <w:tcPr>
            <w:tcW w:w="2248" w:type="dxa"/>
          </w:tcPr>
          <w:p w14:paraId="20E393E9" w14:textId="77777777" w:rsidR="00413E4C" w:rsidRPr="00306F4D" w:rsidRDefault="00413E4C">
            <w:pPr>
              <w:spacing w:after="0" w:line="240" w:lineRule="auto"/>
              <w:contextualSpacing/>
              <w:rPr>
                <w:rFonts w:ascii="Arial" w:eastAsia="SimSun" w:hAnsi="Arial" w:cs="Arial"/>
                <w:sz w:val="18"/>
                <w:szCs w:val="18"/>
              </w:rPr>
            </w:pPr>
            <w:r w:rsidRPr="00306F4D">
              <w:rPr>
                <w:rFonts w:ascii="Arial" w:eastAsia="SimSun" w:hAnsi="Arial" w:cs="Arial"/>
                <w:sz w:val="18"/>
                <w:szCs w:val="18"/>
              </w:rPr>
              <w:t>Risks are identified by project management and actions are taken to manage risk. The risk log is actively maintained to keep track of identified risks and actions taken.</w:t>
            </w:r>
          </w:p>
        </w:tc>
        <w:tc>
          <w:tcPr>
            <w:tcW w:w="1800" w:type="dxa"/>
          </w:tcPr>
          <w:p w14:paraId="55AE062B" w14:textId="44FFE4DE" w:rsidR="00413E4C" w:rsidRPr="00306F4D" w:rsidRDefault="00413E4C">
            <w:pPr>
              <w:spacing w:after="0" w:line="240" w:lineRule="auto"/>
              <w:contextualSpacing/>
              <w:jc w:val="both"/>
              <w:rPr>
                <w:rFonts w:ascii="Arial" w:eastAsia="SimSun" w:hAnsi="Arial" w:cs="Arial"/>
                <w:color w:val="FF0000"/>
                <w:sz w:val="18"/>
                <w:szCs w:val="18"/>
              </w:rPr>
            </w:pPr>
            <w:r w:rsidRPr="00306F4D">
              <w:rPr>
                <w:rFonts w:ascii="Arial" w:eastAsia="SimSun" w:hAnsi="Arial" w:cs="Arial"/>
                <w:color w:val="auto"/>
                <w:sz w:val="18"/>
                <w:szCs w:val="18"/>
              </w:rPr>
              <w:t>Steering Committee, Regional Project Manager, IRH</w:t>
            </w:r>
          </w:p>
        </w:tc>
        <w:tc>
          <w:tcPr>
            <w:tcW w:w="1618" w:type="dxa"/>
          </w:tcPr>
          <w:p w14:paraId="5F376A43" w14:textId="236FA103" w:rsidR="00413E4C" w:rsidRPr="00306F4D" w:rsidRDefault="00413E4C">
            <w:pPr>
              <w:spacing w:after="0" w:line="240" w:lineRule="auto"/>
              <w:contextualSpacing/>
              <w:jc w:val="both"/>
              <w:rPr>
                <w:rFonts w:ascii="Arial" w:eastAsia="SimSun" w:hAnsi="Arial" w:cs="Arial"/>
                <w:color w:val="FF0000"/>
                <w:sz w:val="18"/>
                <w:szCs w:val="18"/>
              </w:rPr>
            </w:pPr>
            <w:r w:rsidRPr="00306F4D">
              <w:rPr>
                <w:rFonts w:ascii="Arial" w:eastAsia="SimSun" w:hAnsi="Arial" w:cs="Arial"/>
                <w:color w:val="auto"/>
                <w:sz w:val="18"/>
                <w:szCs w:val="18"/>
              </w:rPr>
              <w:t>IRH staff, PMU</w:t>
            </w:r>
          </w:p>
        </w:tc>
      </w:tr>
      <w:tr w:rsidR="00413E4C" w:rsidRPr="00306F4D" w14:paraId="1F30C023" w14:textId="2F60DA91" w:rsidTr="00AD41F0">
        <w:trPr>
          <w:trHeight w:val="300"/>
        </w:trPr>
        <w:tc>
          <w:tcPr>
            <w:tcW w:w="1598" w:type="dxa"/>
          </w:tcPr>
          <w:p w14:paraId="0A393FB0" w14:textId="5513FCB2" w:rsidR="00413E4C" w:rsidRPr="00306F4D" w:rsidRDefault="00413E4C" w:rsidP="338C5E83">
            <w:pPr>
              <w:spacing w:after="0" w:line="240" w:lineRule="auto"/>
              <w:contextualSpacing/>
              <w:rPr>
                <w:rFonts w:ascii="Arial" w:eastAsia="SimSun" w:hAnsi="Arial" w:cs="Arial"/>
                <w:b/>
                <w:bCs/>
                <w:sz w:val="18"/>
                <w:szCs w:val="18"/>
              </w:rPr>
            </w:pPr>
            <w:r w:rsidRPr="00306F4D">
              <w:rPr>
                <w:rFonts w:ascii="Arial" w:eastAsia="SimSun" w:hAnsi="Arial" w:cs="Arial"/>
                <w:b/>
                <w:bCs/>
                <w:sz w:val="18"/>
                <w:szCs w:val="18"/>
              </w:rPr>
              <w:lastRenderedPageBreak/>
              <w:t xml:space="preserve">Monitor </w:t>
            </w:r>
            <w:r w:rsidRPr="00306F4D">
              <w:rPr>
                <w:rFonts w:ascii="Arial" w:eastAsia="SimSun" w:hAnsi="Arial" w:cs="Arial"/>
                <w:b/>
                <w:bCs/>
                <w:i/>
                <w:iCs/>
                <w:sz w:val="18"/>
                <w:szCs w:val="18"/>
              </w:rPr>
              <w:t>GAAP and ESMF</w:t>
            </w:r>
          </w:p>
        </w:tc>
        <w:tc>
          <w:tcPr>
            <w:tcW w:w="2359" w:type="dxa"/>
            <w:vAlign w:val="center"/>
          </w:tcPr>
          <w:p w14:paraId="514CF00B" w14:textId="77777777" w:rsidR="00413E4C" w:rsidRPr="00306F4D" w:rsidRDefault="00413E4C">
            <w:pPr>
              <w:spacing w:after="0" w:line="240" w:lineRule="auto"/>
              <w:contextualSpacing/>
              <w:jc w:val="center"/>
              <w:rPr>
                <w:rFonts w:ascii="Arial" w:eastAsia="SimSun" w:hAnsi="Arial" w:cs="Arial"/>
                <w:sz w:val="18"/>
                <w:szCs w:val="18"/>
              </w:rPr>
            </w:pPr>
            <w:r w:rsidRPr="00306F4D">
              <w:rPr>
                <w:rFonts w:ascii="Arial" w:eastAsia="SimSun" w:hAnsi="Arial" w:cs="Arial"/>
                <w:sz w:val="18"/>
                <w:szCs w:val="18"/>
              </w:rPr>
              <w:t>ongoing</w:t>
            </w:r>
          </w:p>
        </w:tc>
        <w:tc>
          <w:tcPr>
            <w:tcW w:w="2248" w:type="dxa"/>
            <w:vAlign w:val="center"/>
          </w:tcPr>
          <w:p w14:paraId="0FA1BD2D" w14:textId="77777777" w:rsidR="00413E4C" w:rsidRPr="00306F4D" w:rsidRDefault="00413E4C">
            <w:pPr>
              <w:spacing w:after="0" w:line="240" w:lineRule="auto"/>
              <w:contextualSpacing/>
              <w:rPr>
                <w:rFonts w:ascii="Arial" w:eastAsia="SimSun" w:hAnsi="Arial" w:cs="Arial"/>
                <w:sz w:val="18"/>
                <w:szCs w:val="18"/>
              </w:rPr>
            </w:pPr>
          </w:p>
        </w:tc>
        <w:tc>
          <w:tcPr>
            <w:tcW w:w="1800" w:type="dxa"/>
          </w:tcPr>
          <w:p w14:paraId="7E65D66B" w14:textId="77777777" w:rsidR="00413E4C" w:rsidRPr="00306F4D" w:rsidRDefault="00413E4C" w:rsidP="001312EE">
            <w:pPr>
              <w:spacing w:after="0" w:line="240" w:lineRule="auto"/>
              <w:contextualSpacing/>
              <w:rPr>
                <w:rFonts w:ascii="Arial" w:eastAsia="SimSun" w:hAnsi="Arial" w:cs="Arial"/>
                <w:sz w:val="18"/>
                <w:szCs w:val="18"/>
              </w:rPr>
            </w:pPr>
            <w:r w:rsidRPr="00306F4D">
              <w:rPr>
                <w:rFonts w:ascii="Arial" w:eastAsia="SimSun" w:hAnsi="Arial" w:cs="Arial"/>
                <w:sz w:val="18"/>
                <w:szCs w:val="18"/>
              </w:rPr>
              <w:t>Executing Entity (EE)</w:t>
            </w:r>
          </w:p>
          <w:p w14:paraId="6A68B007" w14:textId="77777777" w:rsidR="00413E4C" w:rsidRPr="00306F4D" w:rsidRDefault="00413E4C" w:rsidP="32606C5E">
            <w:pPr>
              <w:spacing w:after="0" w:line="240" w:lineRule="auto"/>
              <w:contextualSpacing/>
              <w:jc w:val="both"/>
              <w:rPr>
                <w:rFonts w:ascii="Arial" w:eastAsia="SimSun" w:hAnsi="Arial" w:cs="Arial"/>
                <w:sz w:val="18"/>
                <w:szCs w:val="18"/>
              </w:rPr>
            </w:pPr>
          </w:p>
          <w:p w14:paraId="1CA3F40C" w14:textId="77777777" w:rsidR="00413E4C" w:rsidRPr="00306F4D" w:rsidRDefault="00413E4C" w:rsidP="32606C5E">
            <w:pPr>
              <w:spacing w:after="0" w:line="240" w:lineRule="auto"/>
              <w:contextualSpacing/>
              <w:jc w:val="both"/>
              <w:rPr>
                <w:rFonts w:ascii="Arial" w:eastAsia="SimSun" w:hAnsi="Arial" w:cs="Arial"/>
                <w:sz w:val="18"/>
                <w:szCs w:val="18"/>
              </w:rPr>
            </w:pPr>
          </w:p>
          <w:p w14:paraId="24FFF7C1" w14:textId="1E609175" w:rsidR="00413E4C" w:rsidRPr="00306F4D" w:rsidRDefault="00413E4C" w:rsidP="32606C5E">
            <w:pPr>
              <w:spacing w:after="0" w:line="240" w:lineRule="auto"/>
              <w:contextualSpacing/>
              <w:jc w:val="both"/>
              <w:rPr>
                <w:rFonts w:ascii="Arial" w:eastAsia="SimSun" w:hAnsi="Arial" w:cs="Arial"/>
                <w:sz w:val="18"/>
                <w:szCs w:val="18"/>
              </w:rPr>
            </w:pPr>
            <w:r w:rsidRPr="00306F4D">
              <w:rPr>
                <w:rFonts w:ascii="Arial" w:eastAsia="SimSun" w:hAnsi="Arial" w:cs="Arial"/>
                <w:sz w:val="18"/>
                <w:szCs w:val="18"/>
              </w:rPr>
              <w:t xml:space="preserve">Safeguards Specialist, </w:t>
            </w:r>
          </w:p>
          <w:p w14:paraId="4AE31F65" w14:textId="20ABC980" w:rsidR="00413E4C" w:rsidRPr="00306F4D" w:rsidRDefault="00413E4C">
            <w:pPr>
              <w:spacing w:after="0" w:line="240" w:lineRule="auto"/>
              <w:contextualSpacing/>
              <w:jc w:val="both"/>
              <w:rPr>
                <w:rFonts w:ascii="Arial" w:eastAsia="SimSun" w:hAnsi="Arial" w:cs="Arial"/>
                <w:sz w:val="18"/>
                <w:szCs w:val="18"/>
              </w:rPr>
            </w:pPr>
            <w:r w:rsidRPr="00306F4D">
              <w:rPr>
                <w:rFonts w:ascii="Arial" w:eastAsia="SimSun" w:hAnsi="Arial" w:cs="Arial"/>
                <w:sz w:val="18"/>
                <w:szCs w:val="18"/>
              </w:rPr>
              <w:t xml:space="preserve">Gender Specialist </w:t>
            </w:r>
          </w:p>
        </w:tc>
        <w:tc>
          <w:tcPr>
            <w:tcW w:w="1618" w:type="dxa"/>
          </w:tcPr>
          <w:p w14:paraId="42427CB7" w14:textId="2047702E" w:rsidR="00413E4C" w:rsidRPr="00306F4D" w:rsidRDefault="00413E4C" w:rsidP="2E205A65">
            <w:pPr>
              <w:spacing w:after="0" w:line="240" w:lineRule="auto"/>
              <w:contextualSpacing/>
              <w:jc w:val="both"/>
              <w:rPr>
                <w:rFonts w:ascii="Arial" w:eastAsia="SimSun" w:hAnsi="Arial" w:cs="Arial"/>
                <w:sz w:val="18"/>
                <w:szCs w:val="18"/>
              </w:rPr>
            </w:pPr>
            <w:r w:rsidRPr="00306F4D">
              <w:rPr>
                <w:rFonts w:ascii="Arial" w:eastAsia="SimSun" w:hAnsi="Arial" w:cs="Arial"/>
                <w:sz w:val="18"/>
                <w:szCs w:val="18"/>
              </w:rPr>
              <w:t>16,000</w:t>
            </w:r>
          </w:p>
          <w:p w14:paraId="690C9186" w14:textId="25DFA45B" w:rsidR="00413E4C" w:rsidRPr="00306F4D" w:rsidRDefault="00413E4C" w:rsidP="2E205A65">
            <w:pPr>
              <w:spacing w:after="0" w:line="240" w:lineRule="auto"/>
              <w:contextualSpacing/>
              <w:jc w:val="both"/>
              <w:rPr>
                <w:rFonts w:ascii="Arial" w:eastAsia="SimSun" w:hAnsi="Arial" w:cs="Arial"/>
                <w:sz w:val="18"/>
                <w:szCs w:val="18"/>
              </w:rPr>
            </w:pPr>
          </w:p>
          <w:p w14:paraId="48ECE2AF" w14:textId="085D8901" w:rsidR="00413E4C" w:rsidRPr="00306F4D" w:rsidRDefault="00413E4C">
            <w:pPr>
              <w:spacing w:after="0" w:line="240" w:lineRule="auto"/>
              <w:contextualSpacing/>
              <w:jc w:val="both"/>
              <w:rPr>
                <w:rFonts w:ascii="Arial" w:eastAsia="SimSun" w:hAnsi="Arial" w:cs="Arial"/>
                <w:sz w:val="18"/>
                <w:szCs w:val="18"/>
              </w:rPr>
            </w:pPr>
            <w:r w:rsidRPr="00306F4D">
              <w:rPr>
                <w:rFonts w:ascii="Arial" w:eastAsia="SimSun" w:hAnsi="Arial" w:cs="Arial"/>
                <w:sz w:val="18"/>
                <w:szCs w:val="18"/>
              </w:rPr>
              <w:t xml:space="preserve">(See Budget Notes 5 </w:t>
            </w:r>
            <w:proofErr w:type="gramStart"/>
            <w:r w:rsidRPr="00306F4D">
              <w:rPr>
                <w:rFonts w:ascii="Arial" w:eastAsia="SimSun" w:hAnsi="Arial" w:cs="Arial"/>
                <w:sz w:val="18"/>
                <w:szCs w:val="18"/>
              </w:rPr>
              <w:t>and  10</w:t>
            </w:r>
            <w:proofErr w:type="gramEnd"/>
            <w:r w:rsidRPr="00306F4D">
              <w:rPr>
                <w:rFonts w:ascii="Arial" w:eastAsia="SimSun" w:hAnsi="Arial" w:cs="Arial"/>
                <w:sz w:val="18"/>
                <w:szCs w:val="18"/>
              </w:rPr>
              <w:t>)</w:t>
            </w:r>
          </w:p>
        </w:tc>
      </w:tr>
      <w:tr w:rsidR="00413E4C" w:rsidRPr="00306F4D" w14:paraId="60B415AE" w14:textId="23A86A3C" w:rsidTr="00AD41F0">
        <w:trPr>
          <w:trHeight w:val="300"/>
        </w:trPr>
        <w:tc>
          <w:tcPr>
            <w:tcW w:w="1598" w:type="dxa"/>
            <w:vAlign w:val="center"/>
          </w:tcPr>
          <w:p w14:paraId="36269EE0" w14:textId="06B98C62" w:rsidR="00413E4C" w:rsidRPr="00306F4D" w:rsidRDefault="00413E4C" w:rsidP="338C5E83">
            <w:pPr>
              <w:spacing w:after="0" w:line="240" w:lineRule="auto"/>
              <w:contextualSpacing/>
              <w:rPr>
                <w:rFonts w:ascii="Arial" w:eastAsia="SimSun" w:hAnsi="Arial" w:cs="Arial"/>
                <w:b/>
                <w:bCs/>
                <w:sz w:val="18"/>
                <w:szCs w:val="18"/>
              </w:rPr>
            </w:pPr>
            <w:r w:rsidRPr="00306F4D">
              <w:rPr>
                <w:rFonts w:ascii="Arial" w:eastAsia="SimSun" w:hAnsi="Arial" w:cs="Arial"/>
                <w:b/>
                <w:bCs/>
                <w:sz w:val="18"/>
                <w:szCs w:val="18"/>
              </w:rPr>
              <w:t xml:space="preserve">Supervision Missions </w:t>
            </w:r>
          </w:p>
        </w:tc>
        <w:tc>
          <w:tcPr>
            <w:tcW w:w="2359" w:type="dxa"/>
            <w:vAlign w:val="center"/>
          </w:tcPr>
          <w:p w14:paraId="02A9B618" w14:textId="77777777" w:rsidR="00413E4C" w:rsidRPr="00306F4D" w:rsidRDefault="00413E4C">
            <w:pPr>
              <w:spacing w:after="0" w:line="240" w:lineRule="auto"/>
              <w:contextualSpacing/>
              <w:jc w:val="center"/>
              <w:rPr>
                <w:rFonts w:ascii="Arial" w:eastAsia="SimSun" w:hAnsi="Arial" w:cs="Arial"/>
                <w:sz w:val="18"/>
                <w:szCs w:val="18"/>
              </w:rPr>
            </w:pPr>
            <w:r w:rsidRPr="00306F4D">
              <w:rPr>
                <w:rFonts w:ascii="Arial" w:eastAsia="SimSun" w:hAnsi="Arial" w:cs="Arial"/>
                <w:sz w:val="18"/>
                <w:szCs w:val="18"/>
              </w:rPr>
              <w:t>Annually</w:t>
            </w:r>
          </w:p>
        </w:tc>
        <w:tc>
          <w:tcPr>
            <w:tcW w:w="2248" w:type="dxa"/>
            <w:vAlign w:val="center"/>
          </w:tcPr>
          <w:p w14:paraId="43BB6B78" w14:textId="77777777" w:rsidR="00413E4C" w:rsidRPr="00306F4D" w:rsidRDefault="00413E4C">
            <w:pPr>
              <w:spacing w:after="0" w:line="240" w:lineRule="auto"/>
              <w:contextualSpacing/>
              <w:rPr>
                <w:rFonts w:ascii="Arial" w:eastAsia="SimSun" w:hAnsi="Arial" w:cs="Arial"/>
                <w:sz w:val="18"/>
                <w:szCs w:val="18"/>
              </w:rPr>
            </w:pPr>
          </w:p>
        </w:tc>
        <w:tc>
          <w:tcPr>
            <w:tcW w:w="1800" w:type="dxa"/>
          </w:tcPr>
          <w:p w14:paraId="3CDAB310" w14:textId="186DCFC4" w:rsidR="00413E4C" w:rsidRPr="00306F4D" w:rsidRDefault="00413E4C">
            <w:pPr>
              <w:spacing w:after="0" w:line="240" w:lineRule="auto"/>
              <w:contextualSpacing/>
              <w:jc w:val="both"/>
              <w:rPr>
                <w:rFonts w:ascii="Arial" w:eastAsia="SimSun" w:hAnsi="Arial" w:cs="Arial"/>
                <w:sz w:val="18"/>
                <w:szCs w:val="18"/>
              </w:rPr>
            </w:pPr>
            <w:r w:rsidRPr="00306F4D">
              <w:rPr>
                <w:rFonts w:ascii="Arial" w:eastAsia="SimSun" w:hAnsi="Arial" w:cs="Arial"/>
                <w:sz w:val="18"/>
                <w:szCs w:val="18"/>
              </w:rPr>
              <w:t>Implementing Entity (IE)</w:t>
            </w:r>
          </w:p>
          <w:p w14:paraId="063EFC5E" w14:textId="77777777" w:rsidR="00413E4C" w:rsidRPr="00306F4D" w:rsidRDefault="00413E4C">
            <w:pPr>
              <w:spacing w:after="0" w:line="240" w:lineRule="auto"/>
              <w:contextualSpacing/>
              <w:jc w:val="both"/>
              <w:rPr>
                <w:rFonts w:ascii="Arial" w:eastAsia="SimSun" w:hAnsi="Arial" w:cs="Arial"/>
                <w:sz w:val="18"/>
                <w:szCs w:val="18"/>
              </w:rPr>
            </w:pPr>
          </w:p>
          <w:p w14:paraId="0816AFA5" w14:textId="2D373950" w:rsidR="00413E4C" w:rsidRPr="00306F4D" w:rsidRDefault="00413E4C">
            <w:pPr>
              <w:spacing w:after="0" w:line="240" w:lineRule="auto"/>
              <w:contextualSpacing/>
              <w:jc w:val="both"/>
              <w:rPr>
                <w:rFonts w:ascii="Arial" w:eastAsia="SimSun" w:hAnsi="Arial" w:cs="Arial"/>
                <w:sz w:val="18"/>
                <w:szCs w:val="18"/>
              </w:rPr>
            </w:pPr>
            <w:r w:rsidRPr="00306F4D">
              <w:rPr>
                <w:rFonts w:ascii="Arial" w:eastAsia="SimSun" w:hAnsi="Arial" w:cs="Arial"/>
                <w:sz w:val="18"/>
                <w:szCs w:val="18"/>
              </w:rPr>
              <w:t xml:space="preserve">PMU, Performance and Data Analyst </w:t>
            </w:r>
          </w:p>
        </w:tc>
        <w:tc>
          <w:tcPr>
            <w:tcW w:w="1618" w:type="dxa"/>
          </w:tcPr>
          <w:p w14:paraId="4636BC5B" w14:textId="77777777" w:rsidR="00413E4C" w:rsidRPr="00306F4D" w:rsidRDefault="00413E4C" w:rsidP="2E205A65">
            <w:pPr>
              <w:spacing w:after="0" w:line="240" w:lineRule="auto"/>
              <w:contextualSpacing/>
              <w:jc w:val="both"/>
              <w:rPr>
                <w:rFonts w:ascii="Arial" w:eastAsia="SimSun" w:hAnsi="Arial" w:cs="Arial"/>
                <w:sz w:val="18"/>
                <w:szCs w:val="18"/>
              </w:rPr>
            </w:pPr>
            <w:r w:rsidRPr="00306F4D">
              <w:rPr>
                <w:rFonts w:ascii="Arial" w:eastAsia="SimSun" w:hAnsi="Arial" w:cs="Arial"/>
                <w:sz w:val="18"/>
                <w:szCs w:val="18"/>
              </w:rPr>
              <w:t>4,000</w:t>
            </w:r>
          </w:p>
          <w:p w14:paraId="2E722E69" w14:textId="77777777" w:rsidR="00413E4C" w:rsidRPr="00306F4D" w:rsidRDefault="00413E4C" w:rsidP="2E205A65">
            <w:pPr>
              <w:spacing w:after="0" w:line="240" w:lineRule="auto"/>
              <w:contextualSpacing/>
              <w:jc w:val="both"/>
              <w:rPr>
                <w:rFonts w:ascii="Arial" w:eastAsia="SimSun" w:hAnsi="Arial" w:cs="Arial"/>
                <w:sz w:val="18"/>
                <w:szCs w:val="18"/>
              </w:rPr>
            </w:pPr>
          </w:p>
          <w:p w14:paraId="70FD8852" w14:textId="77777777" w:rsidR="00413E4C" w:rsidRPr="00306F4D" w:rsidRDefault="00413E4C" w:rsidP="0053486E">
            <w:pPr>
              <w:spacing w:after="0" w:line="240" w:lineRule="auto"/>
              <w:contextualSpacing/>
              <w:jc w:val="both"/>
              <w:rPr>
                <w:rFonts w:ascii="Arial" w:eastAsia="SimSun" w:hAnsi="Arial" w:cs="Arial"/>
                <w:sz w:val="18"/>
                <w:szCs w:val="18"/>
              </w:rPr>
            </w:pPr>
          </w:p>
          <w:p w14:paraId="636DB5EE" w14:textId="4311C992" w:rsidR="00413E4C" w:rsidRPr="00306F4D" w:rsidRDefault="00413E4C" w:rsidP="0053486E">
            <w:pPr>
              <w:spacing w:after="0" w:line="240" w:lineRule="auto"/>
              <w:contextualSpacing/>
              <w:jc w:val="both"/>
              <w:rPr>
                <w:rFonts w:ascii="Arial" w:eastAsia="SimSun" w:hAnsi="Arial" w:cs="Arial"/>
                <w:sz w:val="18"/>
                <w:szCs w:val="18"/>
              </w:rPr>
            </w:pPr>
            <w:r w:rsidRPr="00306F4D">
              <w:rPr>
                <w:rFonts w:ascii="Arial" w:eastAsia="SimSun" w:hAnsi="Arial" w:cs="Arial"/>
                <w:sz w:val="18"/>
                <w:szCs w:val="18"/>
              </w:rPr>
              <w:t>(</w:t>
            </w:r>
            <w:r w:rsidR="00AB4AF3" w:rsidRPr="00306F4D">
              <w:rPr>
                <w:rFonts w:ascii="Arial" w:eastAsia="SimSun" w:hAnsi="Arial" w:cs="Arial"/>
                <w:sz w:val="18"/>
                <w:szCs w:val="18"/>
              </w:rPr>
              <w:t xml:space="preserve">EE fee - </w:t>
            </w:r>
            <w:r w:rsidRPr="00306F4D">
              <w:rPr>
                <w:rFonts w:ascii="Arial" w:eastAsia="SimSun" w:hAnsi="Arial" w:cs="Arial"/>
                <w:sz w:val="18"/>
                <w:szCs w:val="18"/>
              </w:rPr>
              <w:t xml:space="preserve">See </w:t>
            </w:r>
            <w:r w:rsidR="005D461D" w:rsidRPr="00306F4D">
              <w:rPr>
                <w:rFonts w:ascii="Arial" w:eastAsia="SimSun" w:hAnsi="Arial" w:cs="Arial"/>
                <w:sz w:val="18"/>
                <w:szCs w:val="18"/>
              </w:rPr>
              <w:t xml:space="preserve">Detailed budget, </w:t>
            </w:r>
            <w:r w:rsidRPr="00306F4D">
              <w:rPr>
                <w:rFonts w:ascii="Arial" w:eastAsia="SimSun" w:hAnsi="Arial" w:cs="Arial"/>
                <w:sz w:val="18"/>
                <w:szCs w:val="18"/>
              </w:rPr>
              <w:t>Budget Note 21)</w:t>
            </w:r>
          </w:p>
        </w:tc>
      </w:tr>
      <w:tr w:rsidR="00413E4C" w:rsidRPr="00306F4D" w14:paraId="133A502A" w14:textId="033DEBC0" w:rsidTr="00AD41F0">
        <w:trPr>
          <w:trHeight w:val="300"/>
        </w:trPr>
        <w:tc>
          <w:tcPr>
            <w:tcW w:w="1598" w:type="dxa"/>
            <w:vAlign w:val="center"/>
          </w:tcPr>
          <w:p w14:paraId="2E872A52" w14:textId="3F1637E5" w:rsidR="00413E4C" w:rsidRPr="00306F4D" w:rsidRDefault="00413E4C" w:rsidP="02E2BB75">
            <w:pPr>
              <w:spacing w:after="0" w:line="240" w:lineRule="auto"/>
              <w:contextualSpacing/>
              <w:rPr>
                <w:rFonts w:ascii="Arial" w:eastAsia="SimSun" w:hAnsi="Arial" w:cs="Arial"/>
                <w:b/>
                <w:bCs/>
                <w:sz w:val="18"/>
                <w:szCs w:val="18"/>
              </w:rPr>
            </w:pPr>
            <w:r w:rsidRPr="00306F4D">
              <w:rPr>
                <w:rFonts w:ascii="Arial" w:eastAsia="SimSun" w:hAnsi="Arial" w:cs="Arial"/>
                <w:b/>
                <w:bCs/>
                <w:sz w:val="18"/>
                <w:szCs w:val="18"/>
              </w:rPr>
              <w:t xml:space="preserve">Learning briefs and Learning Missions </w:t>
            </w:r>
          </w:p>
        </w:tc>
        <w:tc>
          <w:tcPr>
            <w:tcW w:w="2359" w:type="dxa"/>
            <w:vAlign w:val="center"/>
          </w:tcPr>
          <w:p w14:paraId="126F693A" w14:textId="77777777" w:rsidR="00413E4C" w:rsidRPr="00306F4D" w:rsidRDefault="00413E4C">
            <w:pPr>
              <w:spacing w:after="0" w:line="240" w:lineRule="auto"/>
              <w:contextualSpacing/>
              <w:jc w:val="center"/>
              <w:rPr>
                <w:rFonts w:ascii="Arial" w:eastAsia="SimSun" w:hAnsi="Arial" w:cs="Arial"/>
                <w:sz w:val="18"/>
                <w:szCs w:val="18"/>
              </w:rPr>
            </w:pPr>
            <w:r w:rsidRPr="00306F4D">
              <w:rPr>
                <w:rFonts w:ascii="Arial" w:eastAsia="SimSun" w:hAnsi="Arial" w:cs="Arial"/>
                <w:sz w:val="18"/>
                <w:szCs w:val="18"/>
              </w:rPr>
              <w:t>As needed</w:t>
            </w:r>
          </w:p>
        </w:tc>
        <w:tc>
          <w:tcPr>
            <w:tcW w:w="2248" w:type="dxa"/>
            <w:vAlign w:val="center"/>
          </w:tcPr>
          <w:p w14:paraId="06E8BCD1" w14:textId="77777777" w:rsidR="00413E4C" w:rsidRPr="00306F4D" w:rsidRDefault="00413E4C">
            <w:pPr>
              <w:spacing w:after="0" w:line="240" w:lineRule="auto"/>
              <w:contextualSpacing/>
              <w:rPr>
                <w:rFonts w:ascii="Arial" w:eastAsia="SimSun" w:hAnsi="Arial" w:cs="Arial"/>
                <w:sz w:val="18"/>
                <w:szCs w:val="18"/>
              </w:rPr>
            </w:pPr>
            <w:r w:rsidRPr="00306F4D">
              <w:rPr>
                <w:rFonts w:ascii="Arial" w:eastAsia="SimSun" w:hAnsi="Arial" w:cs="Arial"/>
                <w:sz w:val="18"/>
                <w:szCs w:val="18"/>
              </w:rPr>
              <w:t>Relevant lessons are captured by the project team and used to inform management decisions.</w:t>
            </w:r>
          </w:p>
          <w:p w14:paraId="23D75482" w14:textId="77777777" w:rsidR="00413E4C" w:rsidRPr="00306F4D" w:rsidRDefault="00413E4C">
            <w:pPr>
              <w:spacing w:after="0" w:line="240" w:lineRule="auto"/>
              <w:contextualSpacing/>
              <w:rPr>
                <w:rFonts w:ascii="Arial" w:eastAsia="SimSun" w:hAnsi="Arial" w:cs="Arial"/>
                <w:sz w:val="18"/>
                <w:szCs w:val="18"/>
              </w:rPr>
            </w:pPr>
          </w:p>
          <w:p w14:paraId="57249CF4" w14:textId="3D999AA3" w:rsidR="00413E4C" w:rsidRPr="00306F4D" w:rsidRDefault="00413E4C">
            <w:pPr>
              <w:spacing w:after="0" w:line="240" w:lineRule="auto"/>
              <w:contextualSpacing/>
              <w:rPr>
                <w:rFonts w:ascii="Arial" w:eastAsia="SimSun" w:hAnsi="Arial" w:cs="Arial"/>
                <w:sz w:val="18"/>
                <w:szCs w:val="18"/>
              </w:rPr>
            </w:pPr>
            <w:r w:rsidRPr="00306F4D">
              <w:rPr>
                <w:rFonts w:ascii="Arial" w:eastAsia="SimSun" w:hAnsi="Arial" w:cs="Arial"/>
                <w:sz w:val="18"/>
                <w:szCs w:val="18"/>
              </w:rPr>
              <w:t>Show and Tell Event: in-person peer networking &amp; learning event for grantees to network and showcase their results</w:t>
            </w:r>
          </w:p>
        </w:tc>
        <w:tc>
          <w:tcPr>
            <w:tcW w:w="1800" w:type="dxa"/>
          </w:tcPr>
          <w:p w14:paraId="4A0A688E" w14:textId="77777777" w:rsidR="00413E4C" w:rsidRPr="00306F4D" w:rsidRDefault="00413E4C" w:rsidP="00E3706C">
            <w:pPr>
              <w:spacing w:after="0" w:line="240" w:lineRule="auto"/>
              <w:contextualSpacing/>
              <w:rPr>
                <w:rFonts w:ascii="Arial" w:eastAsia="SimSun" w:hAnsi="Arial" w:cs="Arial"/>
                <w:sz w:val="18"/>
                <w:szCs w:val="18"/>
              </w:rPr>
            </w:pPr>
            <w:r w:rsidRPr="00306F4D">
              <w:rPr>
                <w:rFonts w:ascii="Arial" w:eastAsia="SimSun" w:hAnsi="Arial" w:cs="Arial"/>
                <w:sz w:val="18"/>
                <w:szCs w:val="18"/>
              </w:rPr>
              <w:t>Executing Entity (EE)</w:t>
            </w:r>
          </w:p>
          <w:p w14:paraId="49BC2F5A" w14:textId="77777777" w:rsidR="00413E4C" w:rsidRPr="00306F4D" w:rsidRDefault="00413E4C" w:rsidP="2E205A65">
            <w:pPr>
              <w:spacing w:after="0" w:line="240" w:lineRule="auto"/>
              <w:contextualSpacing/>
              <w:jc w:val="both"/>
              <w:rPr>
                <w:rFonts w:ascii="Arial" w:eastAsia="SimSun" w:hAnsi="Arial" w:cs="Arial"/>
                <w:sz w:val="18"/>
                <w:szCs w:val="18"/>
              </w:rPr>
            </w:pPr>
          </w:p>
          <w:p w14:paraId="5D626934" w14:textId="77777777" w:rsidR="00413E4C" w:rsidRPr="00306F4D" w:rsidRDefault="00413E4C" w:rsidP="2E205A65">
            <w:pPr>
              <w:spacing w:after="0" w:line="240" w:lineRule="auto"/>
              <w:contextualSpacing/>
              <w:jc w:val="both"/>
              <w:rPr>
                <w:rFonts w:ascii="Arial" w:eastAsia="SimSun" w:hAnsi="Arial" w:cs="Arial"/>
                <w:sz w:val="18"/>
                <w:szCs w:val="18"/>
              </w:rPr>
            </w:pPr>
          </w:p>
          <w:p w14:paraId="32A61009" w14:textId="1B2420CC" w:rsidR="00413E4C" w:rsidRPr="00306F4D" w:rsidRDefault="00413E4C" w:rsidP="2E205A65">
            <w:pPr>
              <w:spacing w:after="0" w:line="240" w:lineRule="auto"/>
              <w:contextualSpacing/>
              <w:jc w:val="both"/>
              <w:rPr>
                <w:rFonts w:ascii="Arial" w:eastAsia="SimSun" w:hAnsi="Arial" w:cs="Arial"/>
                <w:sz w:val="18"/>
                <w:szCs w:val="18"/>
              </w:rPr>
            </w:pPr>
            <w:r w:rsidRPr="00306F4D">
              <w:rPr>
                <w:rFonts w:ascii="Arial" w:eastAsia="SimSun" w:hAnsi="Arial" w:cs="Arial"/>
                <w:sz w:val="18"/>
                <w:szCs w:val="18"/>
              </w:rPr>
              <w:t xml:space="preserve"> Performance and Data Analyst, KM Specialist</w:t>
            </w:r>
          </w:p>
        </w:tc>
        <w:tc>
          <w:tcPr>
            <w:tcW w:w="1618" w:type="dxa"/>
          </w:tcPr>
          <w:p w14:paraId="0AD6CD40" w14:textId="28E44A83" w:rsidR="00413E4C" w:rsidRPr="00306F4D" w:rsidRDefault="00413E4C" w:rsidP="2E205A65">
            <w:pPr>
              <w:spacing w:after="0" w:line="240" w:lineRule="auto"/>
              <w:contextualSpacing/>
              <w:jc w:val="both"/>
              <w:rPr>
                <w:rFonts w:ascii="Arial" w:eastAsia="SimSun" w:hAnsi="Arial" w:cs="Arial"/>
                <w:sz w:val="18"/>
                <w:szCs w:val="18"/>
              </w:rPr>
            </w:pPr>
            <w:r w:rsidRPr="00306F4D">
              <w:rPr>
                <w:rFonts w:ascii="Arial" w:eastAsia="SimSun" w:hAnsi="Arial" w:cs="Arial"/>
                <w:sz w:val="18"/>
                <w:szCs w:val="18"/>
              </w:rPr>
              <w:t>50,000</w:t>
            </w:r>
          </w:p>
          <w:p w14:paraId="45D49F6C" w14:textId="156C51F5" w:rsidR="00413E4C" w:rsidRPr="00306F4D" w:rsidRDefault="00413E4C" w:rsidP="2E205A65">
            <w:pPr>
              <w:spacing w:after="0" w:line="240" w:lineRule="auto"/>
              <w:contextualSpacing/>
              <w:jc w:val="both"/>
              <w:rPr>
                <w:rFonts w:ascii="Arial" w:eastAsia="SimSun" w:hAnsi="Arial" w:cs="Arial"/>
                <w:sz w:val="18"/>
                <w:szCs w:val="18"/>
              </w:rPr>
            </w:pPr>
          </w:p>
          <w:p w14:paraId="18C84833" w14:textId="051F90F8" w:rsidR="00413E4C" w:rsidRPr="00306F4D" w:rsidRDefault="00413E4C" w:rsidP="2E205A65">
            <w:pPr>
              <w:spacing w:after="0" w:line="240" w:lineRule="auto"/>
              <w:contextualSpacing/>
              <w:jc w:val="both"/>
              <w:rPr>
                <w:rFonts w:ascii="Arial" w:eastAsia="SimSun" w:hAnsi="Arial" w:cs="Arial"/>
                <w:sz w:val="18"/>
                <w:szCs w:val="18"/>
              </w:rPr>
            </w:pPr>
          </w:p>
          <w:p w14:paraId="37A624C6" w14:textId="005342E4" w:rsidR="00413E4C" w:rsidRPr="00306F4D" w:rsidRDefault="00413E4C" w:rsidP="2E205A65">
            <w:pPr>
              <w:spacing w:after="0" w:line="240" w:lineRule="auto"/>
              <w:contextualSpacing/>
              <w:jc w:val="both"/>
              <w:rPr>
                <w:rFonts w:ascii="Arial" w:eastAsia="SimSun" w:hAnsi="Arial" w:cs="Arial"/>
                <w:sz w:val="18"/>
                <w:szCs w:val="18"/>
              </w:rPr>
            </w:pPr>
          </w:p>
          <w:p w14:paraId="39B80BB8" w14:textId="5043C2CA" w:rsidR="00413E4C" w:rsidRPr="00306F4D" w:rsidRDefault="00413E4C" w:rsidP="2E205A65">
            <w:pPr>
              <w:spacing w:after="0" w:line="240" w:lineRule="auto"/>
              <w:jc w:val="both"/>
              <w:rPr>
                <w:rFonts w:ascii="Arial" w:eastAsia="SimSun" w:hAnsi="Arial" w:cs="Arial"/>
                <w:sz w:val="18"/>
                <w:szCs w:val="18"/>
              </w:rPr>
            </w:pPr>
            <w:r w:rsidRPr="00306F4D">
              <w:rPr>
                <w:rFonts w:ascii="Arial" w:eastAsia="SimSun" w:hAnsi="Arial" w:cs="Arial"/>
                <w:sz w:val="18"/>
                <w:szCs w:val="18"/>
              </w:rPr>
              <w:t>(See Budget Notes 1, 4, 12, 19)</w:t>
            </w:r>
          </w:p>
          <w:p w14:paraId="5A544B7C" w14:textId="0435FCF5" w:rsidR="00413E4C" w:rsidRPr="00306F4D" w:rsidRDefault="00413E4C" w:rsidP="2E205A65">
            <w:pPr>
              <w:spacing w:after="0" w:line="240" w:lineRule="auto"/>
              <w:contextualSpacing/>
              <w:jc w:val="both"/>
              <w:rPr>
                <w:rFonts w:ascii="Arial" w:eastAsia="SimSun" w:hAnsi="Arial" w:cs="Arial"/>
                <w:sz w:val="18"/>
                <w:szCs w:val="18"/>
              </w:rPr>
            </w:pPr>
          </w:p>
        </w:tc>
      </w:tr>
      <w:tr w:rsidR="00413E4C" w:rsidRPr="00306F4D" w14:paraId="08D13455" w14:textId="3B3AD1E3" w:rsidTr="00AD41F0">
        <w:trPr>
          <w:trHeight w:val="300"/>
        </w:trPr>
        <w:tc>
          <w:tcPr>
            <w:tcW w:w="1598" w:type="dxa"/>
            <w:vAlign w:val="center"/>
          </w:tcPr>
          <w:p w14:paraId="59F26FDA" w14:textId="03B2789A" w:rsidR="00413E4C" w:rsidRPr="00306F4D" w:rsidRDefault="00413E4C" w:rsidP="338C5E83">
            <w:pPr>
              <w:spacing w:after="0" w:line="240" w:lineRule="auto"/>
              <w:contextualSpacing/>
              <w:rPr>
                <w:rFonts w:ascii="Arial" w:eastAsia="SimSun" w:hAnsi="Arial" w:cs="Arial"/>
                <w:b/>
                <w:bCs/>
                <w:sz w:val="18"/>
                <w:szCs w:val="18"/>
              </w:rPr>
            </w:pPr>
            <w:r w:rsidRPr="00306F4D">
              <w:rPr>
                <w:rFonts w:ascii="Arial" w:eastAsia="SimSun" w:hAnsi="Arial" w:cs="Arial"/>
                <w:b/>
                <w:bCs/>
                <w:sz w:val="18"/>
                <w:szCs w:val="18"/>
              </w:rPr>
              <w:t>Annual Project Quality Assurance</w:t>
            </w:r>
          </w:p>
        </w:tc>
        <w:tc>
          <w:tcPr>
            <w:tcW w:w="2359" w:type="dxa"/>
            <w:vAlign w:val="center"/>
          </w:tcPr>
          <w:p w14:paraId="44B9D291" w14:textId="77777777" w:rsidR="00413E4C" w:rsidRPr="00306F4D" w:rsidRDefault="00413E4C">
            <w:pPr>
              <w:spacing w:after="0" w:line="240" w:lineRule="auto"/>
              <w:contextualSpacing/>
              <w:jc w:val="center"/>
              <w:rPr>
                <w:rFonts w:ascii="Arial" w:eastAsia="SimSun" w:hAnsi="Arial" w:cs="Arial"/>
                <w:sz w:val="18"/>
                <w:szCs w:val="18"/>
              </w:rPr>
            </w:pPr>
            <w:r w:rsidRPr="00306F4D">
              <w:rPr>
                <w:rFonts w:ascii="Arial" w:eastAsia="SimSun" w:hAnsi="Arial" w:cs="Arial"/>
                <w:sz w:val="18"/>
                <w:szCs w:val="18"/>
              </w:rPr>
              <w:t>Annually</w:t>
            </w:r>
          </w:p>
        </w:tc>
        <w:tc>
          <w:tcPr>
            <w:tcW w:w="2248" w:type="dxa"/>
            <w:vAlign w:val="center"/>
          </w:tcPr>
          <w:p w14:paraId="27CFCC62" w14:textId="77777777" w:rsidR="00413E4C" w:rsidRPr="00306F4D" w:rsidRDefault="00413E4C">
            <w:pPr>
              <w:spacing w:after="0" w:line="240" w:lineRule="auto"/>
              <w:contextualSpacing/>
              <w:rPr>
                <w:rFonts w:ascii="Arial" w:eastAsia="SimSun" w:hAnsi="Arial" w:cs="Arial"/>
                <w:sz w:val="18"/>
                <w:szCs w:val="18"/>
              </w:rPr>
            </w:pPr>
            <w:r w:rsidRPr="00306F4D">
              <w:rPr>
                <w:rFonts w:ascii="Arial" w:eastAsia="SimSun" w:hAnsi="Arial" w:cs="Arial"/>
                <w:sz w:val="18"/>
                <w:szCs w:val="18"/>
              </w:rPr>
              <w:t>Areas of strength and weakness will be reviewed by project management and used to inform decisions to improve project performance.</w:t>
            </w:r>
          </w:p>
        </w:tc>
        <w:tc>
          <w:tcPr>
            <w:tcW w:w="1800" w:type="dxa"/>
          </w:tcPr>
          <w:p w14:paraId="3E60389C" w14:textId="77777777" w:rsidR="00413E4C" w:rsidRPr="00306F4D" w:rsidRDefault="00413E4C" w:rsidP="0014494F">
            <w:pPr>
              <w:spacing w:after="0" w:line="240" w:lineRule="auto"/>
              <w:contextualSpacing/>
              <w:rPr>
                <w:rFonts w:ascii="Arial" w:eastAsia="SimSun" w:hAnsi="Arial" w:cs="Arial"/>
                <w:sz w:val="18"/>
                <w:szCs w:val="18"/>
              </w:rPr>
            </w:pPr>
            <w:r w:rsidRPr="00306F4D">
              <w:rPr>
                <w:rFonts w:ascii="Arial" w:eastAsia="SimSun" w:hAnsi="Arial" w:cs="Arial"/>
                <w:sz w:val="18"/>
                <w:szCs w:val="18"/>
              </w:rPr>
              <w:t>Executing Entity (EE)</w:t>
            </w:r>
          </w:p>
          <w:p w14:paraId="1E2809D0" w14:textId="77777777" w:rsidR="00413E4C" w:rsidRPr="00306F4D" w:rsidRDefault="00413E4C">
            <w:pPr>
              <w:spacing w:after="0" w:line="240" w:lineRule="auto"/>
              <w:contextualSpacing/>
              <w:jc w:val="both"/>
              <w:rPr>
                <w:rFonts w:ascii="Arial" w:eastAsia="SimSun" w:hAnsi="Arial" w:cs="Arial"/>
                <w:sz w:val="18"/>
                <w:szCs w:val="18"/>
              </w:rPr>
            </w:pPr>
          </w:p>
          <w:p w14:paraId="62D19C78" w14:textId="77777777" w:rsidR="00413E4C" w:rsidRPr="00306F4D" w:rsidRDefault="00413E4C">
            <w:pPr>
              <w:spacing w:after="0" w:line="240" w:lineRule="auto"/>
              <w:contextualSpacing/>
              <w:jc w:val="both"/>
              <w:rPr>
                <w:rFonts w:ascii="Arial" w:eastAsia="SimSun" w:hAnsi="Arial" w:cs="Arial"/>
                <w:sz w:val="18"/>
                <w:szCs w:val="18"/>
              </w:rPr>
            </w:pPr>
          </w:p>
          <w:p w14:paraId="69E09EEB" w14:textId="6AE35D5B" w:rsidR="00413E4C" w:rsidRPr="00306F4D" w:rsidRDefault="00413E4C">
            <w:pPr>
              <w:spacing w:after="0" w:line="240" w:lineRule="auto"/>
              <w:contextualSpacing/>
              <w:jc w:val="both"/>
              <w:rPr>
                <w:rFonts w:ascii="Arial" w:eastAsia="SimSun" w:hAnsi="Arial" w:cs="Arial"/>
                <w:sz w:val="18"/>
                <w:szCs w:val="18"/>
              </w:rPr>
            </w:pPr>
            <w:r w:rsidRPr="00306F4D">
              <w:rPr>
                <w:rFonts w:ascii="Arial" w:eastAsia="SimSun" w:hAnsi="Arial" w:cs="Arial"/>
                <w:sz w:val="18"/>
                <w:szCs w:val="18"/>
              </w:rPr>
              <w:t>IRH</w:t>
            </w:r>
          </w:p>
        </w:tc>
        <w:tc>
          <w:tcPr>
            <w:tcW w:w="1618" w:type="dxa"/>
          </w:tcPr>
          <w:p w14:paraId="4D3A0095" w14:textId="708C6E27" w:rsidR="00413E4C" w:rsidRPr="00306F4D" w:rsidRDefault="00413E4C">
            <w:pPr>
              <w:spacing w:after="0" w:line="240" w:lineRule="auto"/>
              <w:contextualSpacing/>
              <w:jc w:val="both"/>
              <w:rPr>
                <w:rFonts w:ascii="Arial" w:eastAsia="SimSun" w:hAnsi="Arial" w:cs="Arial"/>
                <w:sz w:val="18"/>
                <w:szCs w:val="18"/>
              </w:rPr>
            </w:pPr>
            <w:r w:rsidRPr="00306F4D">
              <w:rPr>
                <w:rFonts w:ascii="Arial" w:eastAsia="SimSun" w:hAnsi="Arial" w:cs="Arial"/>
                <w:sz w:val="18"/>
                <w:szCs w:val="18"/>
              </w:rPr>
              <w:t>4,000</w:t>
            </w:r>
          </w:p>
          <w:p w14:paraId="2C189E60" w14:textId="77777777" w:rsidR="00413E4C" w:rsidRPr="00306F4D" w:rsidRDefault="00413E4C">
            <w:pPr>
              <w:spacing w:after="0" w:line="240" w:lineRule="auto"/>
              <w:contextualSpacing/>
              <w:jc w:val="both"/>
              <w:rPr>
                <w:rFonts w:ascii="Arial" w:eastAsia="SimSun" w:hAnsi="Arial" w:cs="Arial"/>
                <w:sz w:val="18"/>
                <w:szCs w:val="18"/>
              </w:rPr>
            </w:pPr>
          </w:p>
          <w:p w14:paraId="21293E41" w14:textId="77777777" w:rsidR="00413E4C" w:rsidRPr="00306F4D" w:rsidRDefault="00413E4C">
            <w:pPr>
              <w:spacing w:after="0" w:line="240" w:lineRule="auto"/>
              <w:contextualSpacing/>
              <w:jc w:val="both"/>
              <w:rPr>
                <w:rFonts w:ascii="Arial" w:eastAsia="SimSun" w:hAnsi="Arial" w:cs="Arial"/>
                <w:sz w:val="18"/>
                <w:szCs w:val="18"/>
              </w:rPr>
            </w:pPr>
            <w:r w:rsidRPr="00306F4D">
              <w:rPr>
                <w:rFonts w:ascii="Arial" w:eastAsia="SimSun" w:hAnsi="Arial" w:cs="Arial"/>
                <w:sz w:val="18"/>
                <w:szCs w:val="18"/>
              </w:rPr>
              <w:t>IRH staff</w:t>
            </w:r>
          </w:p>
          <w:p w14:paraId="07351D20" w14:textId="77777777" w:rsidR="00413E4C" w:rsidRPr="00306F4D" w:rsidRDefault="00413E4C">
            <w:pPr>
              <w:spacing w:after="0" w:line="240" w:lineRule="auto"/>
              <w:contextualSpacing/>
              <w:jc w:val="both"/>
              <w:rPr>
                <w:rFonts w:ascii="Arial" w:eastAsia="SimSun" w:hAnsi="Arial" w:cs="Arial"/>
                <w:sz w:val="18"/>
                <w:szCs w:val="18"/>
              </w:rPr>
            </w:pPr>
          </w:p>
          <w:p w14:paraId="69F0871D" w14:textId="0F9E1A02" w:rsidR="00413E4C" w:rsidRPr="00306F4D" w:rsidRDefault="00413E4C">
            <w:pPr>
              <w:spacing w:after="0" w:line="240" w:lineRule="auto"/>
              <w:contextualSpacing/>
              <w:jc w:val="both"/>
              <w:rPr>
                <w:rFonts w:ascii="Arial" w:eastAsia="SimSun" w:hAnsi="Arial" w:cs="Arial"/>
                <w:sz w:val="18"/>
                <w:szCs w:val="18"/>
              </w:rPr>
            </w:pPr>
            <w:r w:rsidRPr="00306F4D">
              <w:rPr>
                <w:rFonts w:ascii="Arial" w:eastAsia="SimSun" w:hAnsi="Arial" w:cs="Arial"/>
                <w:sz w:val="18"/>
                <w:szCs w:val="18"/>
              </w:rPr>
              <w:t>(See Budget Note 21)</w:t>
            </w:r>
          </w:p>
        </w:tc>
      </w:tr>
      <w:tr w:rsidR="00413E4C" w:rsidRPr="00306F4D" w14:paraId="02005BAD" w14:textId="35EB8D6A" w:rsidTr="00AD41F0">
        <w:trPr>
          <w:trHeight w:val="300"/>
        </w:trPr>
        <w:tc>
          <w:tcPr>
            <w:tcW w:w="1598" w:type="dxa"/>
            <w:vAlign w:val="center"/>
          </w:tcPr>
          <w:p w14:paraId="7BBBE31B" w14:textId="47F91DB3" w:rsidR="00413E4C" w:rsidRPr="00306F4D" w:rsidRDefault="00413E4C" w:rsidP="338C5E83">
            <w:pPr>
              <w:spacing w:after="0" w:line="240" w:lineRule="auto"/>
              <w:contextualSpacing/>
              <w:rPr>
                <w:rFonts w:ascii="Arial" w:eastAsia="SimSun" w:hAnsi="Arial" w:cs="Arial"/>
                <w:b/>
                <w:bCs/>
                <w:sz w:val="18"/>
                <w:szCs w:val="18"/>
              </w:rPr>
            </w:pPr>
            <w:r w:rsidRPr="00306F4D">
              <w:rPr>
                <w:rFonts w:ascii="Arial" w:eastAsia="SimSun" w:hAnsi="Arial" w:cs="Arial"/>
                <w:b/>
                <w:bCs/>
                <w:sz w:val="18"/>
                <w:szCs w:val="18"/>
              </w:rPr>
              <w:t>Review and Make Course Corrections</w:t>
            </w:r>
          </w:p>
        </w:tc>
        <w:tc>
          <w:tcPr>
            <w:tcW w:w="2359" w:type="dxa"/>
            <w:vAlign w:val="center"/>
          </w:tcPr>
          <w:p w14:paraId="72047D2A" w14:textId="77777777" w:rsidR="00413E4C" w:rsidRPr="00306F4D" w:rsidRDefault="00413E4C">
            <w:pPr>
              <w:spacing w:after="0" w:line="240" w:lineRule="auto"/>
              <w:contextualSpacing/>
              <w:jc w:val="center"/>
              <w:rPr>
                <w:rFonts w:ascii="Arial" w:eastAsia="SimSun" w:hAnsi="Arial" w:cs="Arial"/>
                <w:sz w:val="18"/>
                <w:szCs w:val="18"/>
              </w:rPr>
            </w:pPr>
            <w:r w:rsidRPr="00306F4D">
              <w:rPr>
                <w:rFonts w:ascii="Arial" w:eastAsia="SimSun" w:hAnsi="Arial" w:cs="Arial"/>
                <w:sz w:val="18"/>
                <w:szCs w:val="18"/>
              </w:rPr>
              <w:t>At least annually</w:t>
            </w:r>
          </w:p>
        </w:tc>
        <w:tc>
          <w:tcPr>
            <w:tcW w:w="2248" w:type="dxa"/>
          </w:tcPr>
          <w:p w14:paraId="3142A5ED" w14:textId="77777777" w:rsidR="00413E4C" w:rsidRPr="00306F4D" w:rsidRDefault="00413E4C">
            <w:pPr>
              <w:spacing w:after="0" w:line="240" w:lineRule="auto"/>
              <w:contextualSpacing/>
              <w:rPr>
                <w:rFonts w:ascii="Arial" w:eastAsia="SimSun" w:hAnsi="Arial" w:cs="Arial"/>
                <w:sz w:val="18"/>
                <w:szCs w:val="18"/>
              </w:rPr>
            </w:pPr>
            <w:r w:rsidRPr="00306F4D">
              <w:rPr>
                <w:rFonts w:ascii="Arial" w:eastAsia="SimSun" w:hAnsi="Arial" w:cs="Arial"/>
                <w:sz w:val="18"/>
                <w:szCs w:val="18"/>
              </w:rPr>
              <w:t>Performance data, risks, lessons and quality will be discussed by the project board and used to make course corrections.</w:t>
            </w:r>
          </w:p>
        </w:tc>
        <w:tc>
          <w:tcPr>
            <w:tcW w:w="1800" w:type="dxa"/>
          </w:tcPr>
          <w:p w14:paraId="6F49BE2F" w14:textId="5F7ED751" w:rsidR="00413E4C" w:rsidRPr="00306F4D" w:rsidRDefault="00413E4C">
            <w:pPr>
              <w:spacing w:after="0" w:line="240" w:lineRule="auto"/>
              <w:contextualSpacing/>
              <w:jc w:val="both"/>
              <w:rPr>
                <w:rFonts w:ascii="Arial" w:eastAsia="SimSun" w:hAnsi="Arial" w:cs="Arial"/>
                <w:sz w:val="18"/>
                <w:szCs w:val="18"/>
              </w:rPr>
            </w:pPr>
            <w:r w:rsidRPr="00306F4D">
              <w:rPr>
                <w:rFonts w:ascii="Arial" w:eastAsia="SimSun" w:hAnsi="Arial" w:cs="Arial"/>
                <w:sz w:val="18"/>
                <w:szCs w:val="18"/>
              </w:rPr>
              <w:t>Implementing Entity (IE)</w:t>
            </w:r>
          </w:p>
          <w:p w14:paraId="352E740A" w14:textId="77777777" w:rsidR="00413E4C" w:rsidRPr="00306F4D" w:rsidRDefault="00413E4C">
            <w:pPr>
              <w:spacing w:after="0" w:line="240" w:lineRule="auto"/>
              <w:contextualSpacing/>
              <w:jc w:val="both"/>
              <w:rPr>
                <w:rFonts w:ascii="Arial" w:eastAsia="SimSun" w:hAnsi="Arial" w:cs="Arial"/>
                <w:sz w:val="18"/>
                <w:szCs w:val="18"/>
              </w:rPr>
            </w:pPr>
          </w:p>
          <w:p w14:paraId="64E43DB4" w14:textId="47B26717" w:rsidR="00413E4C" w:rsidRPr="00306F4D" w:rsidRDefault="00413E4C">
            <w:pPr>
              <w:spacing w:after="0" w:line="240" w:lineRule="auto"/>
              <w:contextualSpacing/>
              <w:jc w:val="both"/>
              <w:rPr>
                <w:rFonts w:ascii="Arial" w:eastAsia="SimSun" w:hAnsi="Arial" w:cs="Arial"/>
                <w:sz w:val="18"/>
                <w:szCs w:val="18"/>
              </w:rPr>
            </w:pPr>
            <w:r w:rsidRPr="00306F4D">
              <w:rPr>
                <w:rFonts w:ascii="Arial" w:eastAsia="SimSun" w:hAnsi="Arial" w:cs="Arial"/>
                <w:sz w:val="18"/>
                <w:szCs w:val="18"/>
              </w:rPr>
              <w:t>PMU, IRH</w:t>
            </w:r>
          </w:p>
        </w:tc>
        <w:tc>
          <w:tcPr>
            <w:tcW w:w="1618" w:type="dxa"/>
          </w:tcPr>
          <w:p w14:paraId="0D0D668E" w14:textId="135262F0" w:rsidR="00413E4C" w:rsidRPr="00306F4D" w:rsidRDefault="00413E4C">
            <w:pPr>
              <w:spacing w:after="0" w:line="240" w:lineRule="auto"/>
              <w:contextualSpacing/>
              <w:jc w:val="both"/>
              <w:rPr>
                <w:rFonts w:ascii="Arial" w:eastAsia="SimSun" w:hAnsi="Arial" w:cs="Arial"/>
                <w:sz w:val="18"/>
                <w:szCs w:val="18"/>
              </w:rPr>
            </w:pPr>
            <w:r w:rsidRPr="00306F4D">
              <w:rPr>
                <w:rFonts w:ascii="Arial" w:eastAsia="SimSun" w:hAnsi="Arial" w:cs="Arial"/>
                <w:sz w:val="18"/>
                <w:szCs w:val="18"/>
              </w:rPr>
              <w:t>IRH staff, PMU</w:t>
            </w:r>
          </w:p>
        </w:tc>
      </w:tr>
      <w:tr w:rsidR="00413E4C" w:rsidRPr="00306F4D" w14:paraId="159E2D33" w14:textId="49D1DC15" w:rsidTr="00AD41F0">
        <w:trPr>
          <w:trHeight w:val="300"/>
        </w:trPr>
        <w:tc>
          <w:tcPr>
            <w:tcW w:w="1598" w:type="dxa"/>
            <w:vAlign w:val="center"/>
          </w:tcPr>
          <w:p w14:paraId="1D2A9476" w14:textId="760578E9" w:rsidR="00413E4C" w:rsidRPr="00306F4D" w:rsidRDefault="00413E4C" w:rsidP="338C5E83">
            <w:pPr>
              <w:spacing w:after="0" w:line="240" w:lineRule="auto"/>
              <w:contextualSpacing/>
              <w:rPr>
                <w:rFonts w:ascii="Arial" w:eastAsia="SimSun" w:hAnsi="Arial" w:cs="Arial"/>
                <w:b/>
                <w:bCs/>
                <w:sz w:val="18"/>
                <w:szCs w:val="18"/>
              </w:rPr>
            </w:pPr>
            <w:r w:rsidRPr="00306F4D">
              <w:rPr>
                <w:rFonts w:ascii="Arial" w:eastAsia="SimSun" w:hAnsi="Arial" w:cs="Arial"/>
                <w:b/>
                <w:bCs/>
                <w:sz w:val="18"/>
                <w:szCs w:val="18"/>
              </w:rPr>
              <w:t>Annual AF Project Performance Report (PPR)</w:t>
            </w:r>
          </w:p>
        </w:tc>
        <w:tc>
          <w:tcPr>
            <w:tcW w:w="2359" w:type="dxa"/>
            <w:vAlign w:val="center"/>
          </w:tcPr>
          <w:p w14:paraId="058E37A8" w14:textId="3350082D" w:rsidR="00413E4C" w:rsidRPr="00306F4D" w:rsidRDefault="00413E4C">
            <w:pPr>
              <w:spacing w:after="0" w:line="240" w:lineRule="auto"/>
              <w:contextualSpacing/>
              <w:jc w:val="center"/>
              <w:rPr>
                <w:rFonts w:ascii="Arial" w:eastAsia="SimSun" w:hAnsi="Arial" w:cs="Arial"/>
                <w:sz w:val="18"/>
                <w:szCs w:val="18"/>
              </w:rPr>
            </w:pPr>
            <w:r w:rsidRPr="00306F4D">
              <w:rPr>
                <w:rFonts w:ascii="Arial" w:eastAsia="SimSun" w:hAnsi="Arial" w:cs="Arial"/>
                <w:sz w:val="18"/>
                <w:szCs w:val="18"/>
              </w:rPr>
              <w:t xml:space="preserve">Annually </w:t>
            </w:r>
          </w:p>
        </w:tc>
        <w:tc>
          <w:tcPr>
            <w:tcW w:w="2248" w:type="dxa"/>
          </w:tcPr>
          <w:p w14:paraId="3BF9D1C4" w14:textId="77777777" w:rsidR="00413E4C" w:rsidRPr="00306F4D" w:rsidRDefault="00413E4C">
            <w:pPr>
              <w:spacing w:after="0" w:line="240" w:lineRule="auto"/>
              <w:contextualSpacing/>
              <w:rPr>
                <w:rFonts w:ascii="Arial" w:eastAsia="SimSun" w:hAnsi="Arial" w:cs="Arial"/>
                <w:sz w:val="18"/>
                <w:szCs w:val="18"/>
              </w:rPr>
            </w:pPr>
            <w:r w:rsidRPr="00306F4D">
              <w:rPr>
                <w:rFonts w:ascii="Arial" w:eastAsia="SimSun" w:hAnsi="Arial" w:cs="Arial"/>
                <w:sz w:val="18"/>
                <w:szCs w:val="18"/>
              </w:rPr>
              <w:t>Mandatory contribution by Project Team, CO and RTA. Strengths and weaknesses will be reviewed by project management and used to inform decisions to improve project performance</w:t>
            </w:r>
          </w:p>
        </w:tc>
        <w:tc>
          <w:tcPr>
            <w:tcW w:w="1800" w:type="dxa"/>
          </w:tcPr>
          <w:p w14:paraId="17937AF7" w14:textId="77777777" w:rsidR="00413E4C" w:rsidRPr="00306F4D" w:rsidRDefault="00413E4C" w:rsidP="00032295">
            <w:pPr>
              <w:spacing w:after="0" w:line="240" w:lineRule="auto"/>
              <w:contextualSpacing/>
              <w:rPr>
                <w:rFonts w:ascii="Arial" w:eastAsia="SimSun" w:hAnsi="Arial" w:cs="Arial"/>
                <w:sz w:val="18"/>
                <w:szCs w:val="18"/>
              </w:rPr>
            </w:pPr>
            <w:r w:rsidRPr="00306F4D">
              <w:rPr>
                <w:rFonts w:ascii="Arial" w:eastAsia="SimSun" w:hAnsi="Arial" w:cs="Arial"/>
                <w:sz w:val="18"/>
                <w:szCs w:val="18"/>
              </w:rPr>
              <w:t>Executing Entity (EE)</w:t>
            </w:r>
          </w:p>
          <w:p w14:paraId="55E06B58" w14:textId="77777777" w:rsidR="00413E4C" w:rsidRPr="00306F4D" w:rsidRDefault="00413E4C">
            <w:pPr>
              <w:spacing w:after="0" w:line="240" w:lineRule="auto"/>
              <w:contextualSpacing/>
              <w:jc w:val="both"/>
              <w:rPr>
                <w:rFonts w:ascii="Arial" w:eastAsia="SimSun" w:hAnsi="Arial" w:cs="Arial"/>
                <w:sz w:val="18"/>
                <w:szCs w:val="18"/>
              </w:rPr>
            </w:pPr>
          </w:p>
          <w:p w14:paraId="4282ECA3" w14:textId="77777777" w:rsidR="00413E4C" w:rsidRPr="00306F4D" w:rsidRDefault="00413E4C">
            <w:pPr>
              <w:spacing w:after="0" w:line="240" w:lineRule="auto"/>
              <w:contextualSpacing/>
              <w:jc w:val="both"/>
              <w:rPr>
                <w:rFonts w:ascii="Arial" w:eastAsia="SimSun" w:hAnsi="Arial" w:cs="Arial"/>
                <w:sz w:val="18"/>
                <w:szCs w:val="18"/>
              </w:rPr>
            </w:pPr>
          </w:p>
          <w:p w14:paraId="79F12CB5" w14:textId="2BCBBF9E" w:rsidR="00413E4C" w:rsidRPr="00306F4D" w:rsidRDefault="00413E4C">
            <w:pPr>
              <w:spacing w:after="0" w:line="240" w:lineRule="auto"/>
              <w:contextualSpacing/>
              <w:jc w:val="both"/>
              <w:rPr>
                <w:rFonts w:ascii="Arial" w:eastAsia="SimSun" w:hAnsi="Arial" w:cs="Arial"/>
                <w:sz w:val="18"/>
                <w:szCs w:val="18"/>
              </w:rPr>
            </w:pPr>
            <w:r w:rsidRPr="00306F4D">
              <w:rPr>
                <w:rFonts w:ascii="Arial" w:eastAsia="SimSun" w:hAnsi="Arial" w:cs="Arial"/>
                <w:sz w:val="18"/>
                <w:szCs w:val="18"/>
              </w:rPr>
              <w:t>PMU, Performance and Data Analyst, IRH, RTA</w:t>
            </w:r>
          </w:p>
        </w:tc>
        <w:tc>
          <w:tcPr>
            <w:tcW w:w="1618" w:type="dxa"/>
          </w:tcPr>
          <w:p w14:paraId="0407BE56" w14:textId="572FE1DD" w:rsidR="00413E4C" w:rsidRPr="00306F4D" w:rsidRDefault="00413E4C" w:rsidP="2E205A65">
            <w:pPr>
              <w:spacing w:after="0" w:line="240" w:lineRule="auto"/>
              <w:contextualSpacing/>
              <w:jc w:val="both"/>
              <w:rPr>
                <w:rFonts w:ascii="Arial" w:eastAsia="SimSun" w:hAnsi="Arial" w:cs="Arial"/>
                <w:sz w:val="18"/>
                <w:szCs w:val="18"/>
              </w:rPr>
            </w:pPr>
            <w:r w:rsidRPr="00306F4D">
              <w:rPr>
                <w:rFonts w:ascii="Arial" w:eastAsia="SimSun" w:hAnsi="Arial" w:cs="Arial"/>
                <w:sz w:val="18"/>
                <w:szCs w:val="18"/>
              </w:rPr>
              <w:t>4,000</w:t>
            </w:r>
          </w:p>
          <w:p w14:paraId="715E48D3" w14:textId="44DF0F94" w:rsidR="00413E4C" w:rsidRPr="00306F4D" w:rsidRDefault="00413E4C" w:rsidP="2E205A65">
            <w:pPr>
              <w:spacing w:after="0" w:line="240" w:lineRule="auto"/>
              <w:contextualSpacing/>
              <w:jc w:val="both"/>
              <w:rPr>
                <w:rFonts w:ascii="Arial" w:eastAsia="SimSun" w:hAnsi="Arial" w:cs="Arial"/>
                <w:sz w:val="18"/>
                <w:szCs w:val="18"/>
              </w:rPr>
            </w:pPr>
          </w:p>
          <w:p w14:paraId="0933C2C0" w14:textId="285C169E" w:rsidR="00413E4C" w:rsidRPr="00306F4D" w:rsidRDefault="00413E4C" w:rsidP="2E205A65">
            <w:pPr>
              <w:spacing w:after="0" w:line="240" w:lineRule="auto"/>
              <w:contextualSpacing/>
              <w:jc w:val="both"/>
              <w:rPr>
                <w:rFonts w:ascii="Arial" w:eastAsia="SimSun" w:hAnsi="Arial" w:cs="Arial"/>
                <w:sz w:val="18"/>
                <w:szCs w:val="18"/>
              </w:rPr>
            </w:pPr>
          </w:p>
          <w:p w14:paraId="3C92267B" w14:textId="606A98B1" w:rsidR="00413E4C" w:rsidRPr="00306F4D" w:rsidRDefault="00413E4C" w:rsidP="2E205A65">
            <w:pPr>
              <w:spacing w:after="0" w:line="240" w:lineRule="auto"/>
              <w:contextualSpacing/>
              <w:jc w:val="both"/>
              <w:rPr>
                <w:rFonts w:ascii="Arial" w:eastAsia="SimSun" w:hAnsi="Arial" w:cs="Arial"/>
                <w:sz w:val="18"/>
                <w:szCs w:val="18"/>
              </w:rPr>
            </w:pPr>
            <w:r w:rsidRPr="00306F4D">
              <w:rPr>
                <w:rFonts w:ascii="Arial" w:eastAsia="SimSun" w:hAnsi="Arial" w:cs="Arial"/>
                <w:sz w:val="18"/>
                <w:szCs w:val="18"/>
              </w:rPr>
              <w:t>(See Budget Note 21)</w:t>
            </w:r>
          </w:p>
        </w:tc>
      </w:tr>
      <w:tr w:rsidR="00413E4C" w:rsidRPr="00306F4D" w14:paraId="73CE5B3C" w14:textId="1E7D677C" w:rsidTr="00AD41F0">
        <w:trPr>
          <w:trHeight w:val="300"/>
        </w:trPr>
        <w:tc>
          <w:tcPr>
            <w:tcW w:w="1598" w:type="dxa"/>
            <w:vAlign w:val="center"/>
          </w:tcPr>
          <w:p w14:paraId="0CF15ADC" w14:textId="35CBA25D" w:rsidR="00413E4C" w:rsidRPr="00306F4D" w:rsidRDefault="00413E4C" w:rsidP="338C5E83">
            <w:pPr>
              <w:spacing w:after="0" w:line="240" w:lineRule="auto"/>
              <w:contextualSpacing/>
              <w:rPr>
                <w:rFonts w:ascii="Arial" w:eastAsia="SimSun" w:hAnsi="Arial" w:cs="Arial"/>
                <w:b/>
                <w:bCs/>
                <w:sz w:val="18"/>
                <w:szCs w:val="18"/>
              </w:rPr>
            </w:pPr>
            <w:r w:rsidRPr="00306F4D">
              <w:rPr>
                <w:rFonts w:ascii="Arial" w:eastAsia="SimSun" w:hAnsi="Arial" w:cs="Arial"/>
                <w:b/>
                <w:bCs/>
                <w:sz w:val="18"/>
                <w:szCs w:val="18"/>
              </w:rPr>
              <w:t>Project Review (Steering Committee)</w:t>
            </w:r>
          </w:p>
        </w:tc>
        <w:tc>
          <w:tcPr>
            <w:tcW w:w="2359" w:type="dxa"/>
            <w:vAlign w:val="center"/>
          </w:tcPr>
          <w:p w14:paraId="223753BC" w14:textId="3FDD413F" w:rsidR="00413E4C" w:rsidRPr="00306F4D" w:rsidRDefault="00413E4C" w:rsidP="338C5E83">
            <w:pPr>
              <w:spacing w:after="0" w:line="240" w:lineRule="auto"/>
              <w:contextualSpacing/>
              <w:jc w:val="center"/>
              <w:rPr>
                <w:rFonts w:ascii="Arial" w:eastAsia="SimSun" w:hAnsi="Arial" w:cs="Arial"/>
                <w:i/>
                <w:iCs/>
                <w:sz w:val="18"/>
                <w:szCs w:val="18"/>
              </w:rPr>
            </w:pPr>
            <w:r w:rsidRPr="00306F4D">
              <w:rPr>
                <w:rFonts w:ascii="Arial" w:eastAsia="SimSun" w:hAnsi="Arial" w:cs="Arial"/>
                <w:i/>
                <w:iCs/>
                <w:sz w:val="18"/>
                <w:szCs w:val="18"/>
              </w:rPr>
              <w:t>At least annually</w:t>
            </w:r>
          </w:p>
        </w:tc>
        <w:tc>
          <w:tcPr>
            <w:tcW w:w="2248" w:type="dxa"/>
            <w:vAlign w:val="center"/>
          </w:tcPr>
          <w:p w14:paraId="3F941469" w14:textId="77777777" w:rsidR="00413E4C" w:rsidRPr="00306F4D" w:rsidRDefault="00413E4C" w:rsidP="338C5E83">
            <w:pPr>
              <w:spacing w:after="60" w:line="240" w:lineRule="auto"/>
              <w:contextualSpacing/>
              <w:rPr>
                <w:rFonts w:ascii="Arial" w:eastAsia="SimSun" w:hAnsi="Arial" w:cs="Arial"/>
                <w:b/>
                <w:bCs/>
                <w:sz w:val="18"/>
                <w:szCs w:val="18"/>
              </w:rPr>
            </w:pPr>
            <w:r w:rsidRPr="00306F4D">
              <w:rPr>
                <w:rFonts w:ascii="Arial" w:eastAsia="SimSun" w:hAnsi="Arial" w:cs="Arial"/>
                <w:sz w:val="18"/>
                <w:szCs w:val="18"/>
              </w:rPr>
              <w:t xml:space="preserve">Any quality concerns or slower than expected progress should be discussed by the project board and management actions agreed to address the issues identified. </w:t>
            </w:r>
          </w:p>
        </w:tc>
        <w:tc>
          <w:tcPr>
            <w:tcW w:w="1800" w:type="dxa"/>
          </w:tcPr>
          <w:p w14:paraId="65026BB6" w14:textId="6DA3370E" w:rsidR="00413E4C" w:rsidRPr="00306F4D" w:rsidRDefault="00413E4C">
            <w:pPr>
              <w:spacing w:after="0" w:line="240" w:lineRule="auto"/>
              <w:contextualSpacing/>
              <w:jc w:val="both"/>
              <w:rPr>
                <w:rFonts w:ascii="Arial" w:eastAsia="SimSun" w:hAnsi="Arial" w:cs="Arial"/>
                <w:sz w:val="18"/>
                <w:szCs w:val="18"/>
              </w:rPr>
            </w:pPr>
            <w:r w:rsidRPr="00306F4D">
              <w:rPr>
                <w:rFonts w:ascii="Arial" w:eastAsia="SimSun" w:hAnsi="Arial" w:cs="Arial"/>
                <w:sz w:val="18"/>
                <w:szCs w:val="18"/>
              </w:rPr>
              <w:t>Implementing Entity (IE)</w:t>
            </w:r>
          </w:p>
          <w:p w14:paraId="3E0CA83D" w14:textId="77777777" w:rsidR="00413E4C" w:rsidRPr="00306F4D" w:rsidRDefault="00413E4C">
            <w:pPr>
              <w:spacing w:after="0" w:line="240" w:lineRule="auto"/>
              <w:contextualSpacing/>
              <w:jc w:val="both"/>
              <w:rPr>
                <w:rFonts w:ascii="Arial" w:eastAsia="SimSun" w:hAnsi="Arial" w:cs="Arial"/>
                <w:sz w:val="18"/>
                <w:szCs w:val="18"/>
              </w:rPr>
            </w:pPr>
          </w:p>
          <w:p w14:paraId="2EDFD411" w14:textId="0B8D0107" w:rsidR="00413E4C" w:rsidRPr="00306F4D" w:rsidRDefault="00413E4C">
            <w:pPr>
              <w:spacing w:after="0" w:line="240" w:lineRule="auto"/>
              <w:contextualSpacing/>
              <w:jc w:val="both"/>
              <w:rPr>
                <w:rFonts w:ascii="Arial" w:eastAsia="SimSun" w:hAnsi="Arial" w:cs="Arial"/>
                <w:sz w:val="18"/>
                <w:szCs w:val="18"/>
              </w:rPr>
            </w:pPr>
            <w:r w:rsidRPr="00306F4D">
              <w:rPr>
                <w:rFonts w:ascii="Arial" w:eastAsia="SimSun" w:hAnsi="Arial" w:cs="Arial"/>
                <w:sz w:val="18"/>
                <w:szCs w:val="18"/>
              </w:rPr>
              <w:t>Steering Committee</w:t>
            </w:r>
          </w:p>
        </w:tc>
        <w:tc>
          <w:tcPr>
            <w:tcW w:w="1618" w:type="dxa"/>
          </w:tcPr>
          <w:p w14:paraId="1755D728" w14:textId="3F53A359" w:rsidR="00413E4C" w:rsidRPr="00306F4D" w:rsidRDefault="00413E4C" w:rsidP="2E205A65">
            <w:pPr>
              <w:spacing w:after="0" w:line="240" w:lineRule="auto"/>
              <w:contextualSpacing/>
              <w:jc w:val="both"/>
              <w:rPr>
                <w:rFonts w:ascii="Arial" w:eastAsia="SimSun" w:hAnsi="Arial" w:cs="Arial"/>
                <w:sz w:val="18"/>
                <w:szCs w:val="18"/>
              </w:rPr>
            </w:pPr>
          </w:p>
          <w:p w14:paraId="1CA62B50" w14:textId="47F9DE4A" w:rsidR="00413E4C" w:rsidRPr="00306F4D" w:rsidRDefault="00413E4C" w:rsidP="2E205A65">
            <w:pPr>
              <w:spacing w:after="0" w:line="240" w:lineRule="auto"/>
              <w:contextualSpacing/>
              <w:jc w:val="both"/>
              <w:rPr>
                <w:rFonts w:ascii="Arial" w:eastAsia="SimSun" w:hAnsi="Arial" w:cs="Arial"/>
                <w:sz w:val="18"/>
                <w:szCs w:val="18"/>
              </w:rPr>
            </w:pPr>
          </w:p>
          <w:p w14:paraId="52823286" w14:textId="33D9C31A" w:rsidR="00413E4C" w:rsidRPr="00306F4D" w:rsidRDefault="00413E4C" w:rsidP="2E205A65">
            <w:pPr>
              <w:spacing w:after="0" w:line="240" w:lineRule="auto"/>
              <w:contextualSpacing/>
              <w:jc w:val="both"/>
              <w:rPr>
                <w:rFonts w:ascii="Arial" w:eastAsia="SimSun" w:hAnsi="Arial" w:cs="Arial"/>
                <w:sz w:val="18"/>
                <w:szCs w:val="18"/>
              </w:rPr>
            </w:pPr>
          </w:p>
          <w:p w14:paraId="1CF4C0A5" w14:textId="48DF5AFA" w:rsidR="00413E4C" w:rsidRPr="00306F4D" w:rsidRDefault="00413E4C" w:rsidP="2E205A65">
            <w:pPr>
              <w:spacing w:after="0" w:line="240" w:lineRule="auto"/>
              <w:contextualSpacing/>
              <w:jc w:val="both"/>
              <w:rPr>
                <w:rFonts w:ascii="Arial" w:eastAsia="SimSun" w:hAnsi="Arial" w:cs="Arial"/>
                <w:sz w:val="18"/>
                <w:szCs w:val="18"/>
              </w:rPr>
            </w:pPr>
          </w:p>
        </w:tc>
      </w:tr>
      <w:tr w:rsidR="00413E4C" w:rsidRPr="00306F4D" w14:paraId="51589382" w14:textId="5368D78A" w:rsidTr="00AD41F0">
        <w:trPr>
          <w:trHeight w:val="300"/>
        </w:trPr>
        <w:tc>
          <w:tcPr>
            <w:tcW w:w="1598" w:type="dxa"/>
            <w:vAlign w:val="center"/>
          </w:tcPr>
          <w:p w14:paraId="255B45FB" w14:textId="0B23BC32" w:rsidR="00413E4C" w:rsidRPr="00306F4D" w:rsidRDefault="000538F0" w:rsidP="338C5E83">
            <w:pPr>
              <w:spacing w:after="0" w:line="240" w:lineRule="auto"/>
              <w:contextualSpacing/>
              <w:rPr>
                <w:rFonts w:ascii="Arial" w:eastAsia="SimSun" w:hAnsi="Arial" w:cs="Arial"/>
                <w:b/>
                <w:sz w:val="18"/>
                <w:szCs w:val="18"/>
              </w:rPr>
            </w:pPr>
            <w:r w:rsidRPr="00306F4D">
              <w:rPr>
                <w:rFonts w:ascii="Arial" w:eastAsia="SimSun" w:hAnsi="Arial" w:cs="Arial"/>
                <w:b/>
                <w:sz w:val="18"/>
                <w:szCs w:val="18"/>
              </w:rPr>
              <w:t>Mid-Term Review (MTR)</w:t>
            </w:r>
          </w:p>
        </w:tc>
        <w:tc>
          <w:tcPr>
            <w:tcW w:w="2359" w:type="dxa"/>
            <w:vAlign w:val="center"/>
          </w:tcPr>
          <w:p w14:paraId="0F942550" w14:textId="71474EEA" w:rsidR="000538F0" w:rsidRPr="00306F4D" w:rsidRDefault="00F6581C" w:rsidP="000538F0">
            <w:pPr>
              <w:pStyle w:val="Footer"/>
              <w:tabs>
                <w:tab w:val="num" w:pos="360"/>
              </w:tabs>
              <w:spacing w:line="276" w:lineRule="auto"/>
              <w:rPr>
                <w:rFonts w:ascii="Arial" w:eastAsia="SimSun" w:hAnsi="Arial" w:cs="Arial"/>
                <w:i/>
                <w:sz w:val="18"/>
                <w:szCs w:val="18"/>
              </w:rPr>
            </w:pPr>
            <w:r w:rsidRPr="00306F4D">
              <w:rPr>
                <w:rFonts w:ascii="Arial" w:eastAsia="Arial" w:hAnsi="Arial" w:cs="Arial"/>
                <w:color w:val="000000" w:themeColor="text1"/>
                <w:sz w:val="18"/>
                <w:szCs w:val="18"/>
              </w:rPr>
              <w:t>End of Year 2</w:t>
            </w:r>
          </w:p>
          <w:p w14:paraId="39986E9F" w14:textId="1FCBA38E" w:rsidR="00413E4C" w:rsidRPr="00306F4D" w:rsidRDefault="00413E4C" w:rsidP="000538F0">
            <w:pPr>
              <w:spacing w:after="0" w:line="240" w:lineRule="auto"/>
              <w:contextualSpacing/>
              <w:jc w:val="center"/>
              <w:rPr>
                <w:rFonts w:ascii="Arial" w:eastAsia="SimSun" w:hAnsi="Arial" w:cs="Arial"/>
                <w:i/>
                <w:sz w:val="18"/>
                <w:szCs w:val="18"/>
              </w:rPr>
            </w:pPr>
          </w:p>
        </w:tc>
        <w:tc>
          <w:tcPr>
            <w:tcW w:w="2248" w:type="dxa"/>
            <w:vAlign w:val="center"/>
          </w:tcPr>
          <w:p w14:paraId="27D8ABB2" w14:textId="2B511B93" w:rsidR="00413E4C" w:rsidRPr="00306F4D" w:rsidRDefault="00A609C7" w:rsidP="338C5E83">
            <w:pPr>
              <w:spacing w:after="60" w:line="240" w:lineRule="auto"/>
              <w:contextualSpacing/>
              <w:rPr>
                <w:rFonts w:ascii="Arial" w:eastAsia="SimSun" w:hAnsi="Arial" w:cs="Arial"/>
                <w:sz w:val="18"/>
                <w:szCs w:val="18"/>
              </w:rPr>
            </w:pPr>
            <w:r w:rsidRPr="00306F4D">
              <w:rPr>
                <w:rFonts w:ascii="Arial" w:eastAsia="Arial" w:hAnsi="Arial" w:cs="Arial"/>
                <w:color w:val="000000" w:themeColor="text1"/>
                <w:sz w:val="18"/>
                <w:szCs w:val="18"/>
              </w:rPr>
              <w:t xml:space="preserve">An independent mid-term review will assess </w:t>
            </w:r>
            <w:r w:rsidRPr="00306F4D">
              <w:rPr>
                <w:rFonts w:ascii="Arial" w:eastAsia="Arial" w:hAnsi="Arial" w:cs="Arial"/>
                <w:color w:val="000000" w:themeColor="text1"/>
                <w:sz w:val="18"/>
                <w:szCs w:val="18"/>
              </w:rPr>
              <w:lastRenderedPageBreak/>
              <w:t>impact, sustainability and lessons learned.</w:t>
            </w:r>
          </w:p>
        </w:tc>
        <w:tc>
          <w:tcPr>
            <w:tcW w:w="1800" w:type="dxa"/>
          </w:tcPr>
          <w:p w14:paraId="7494FB49" w14:textId="74D2804F" w:rsidR="00584774" w:rsidRPr="00306F4D" w:rsidRDefault="00584774" w:rsidP="00584774">
            <w:pPr>
              <w:spacing w:after="0" w:line="240" w:lineRule="auto"/>
              <w:contextualSpacing/>
              <w:rPr>
                <w:rFonts w:ascii="Arial" w:eastAsia="SimSun" w:hAnsi="Arial" w:cs="Arial"/>
                <w:sz w:val="18"/>
                <w:szCs w:val="18"/>
              </w:rPr>
            </w:pPr>
            <w:r w:rsidRPr="00306F4D">
              <w:rPr>
                <w:rFonts w:ascii="Arial" w:eastAsia="SimSun" w:hAnsi="Arial" w:cs="Arial"/>
                <w:sz w:val="18"/>
                <w:szCs w:val="18"/>
              </w:rPr>
              <w:lastRenderedPageBreak/>
              <w:t>Executing Entity (EE) - IRH</w:t>
            </w:r>
          </w:p>
          <w:p w14:paraId="3D18E66E" w14:textId="77777777" w:rsidR="00152DCB" w:rsidRPr="00306F4D" w:rsidRDefault="00152DCB">
            <w:pPr>
              <w:spacing w:after="0" w:line="240" w:lineRule="auto"/>
              <w:contextualSpacing/>
              <w:jc w:val="both"/>
              <w:rPr>
                <w:rFonts w:ascii="Arial" w:eastAsia="SimSun" w:hAnsi="Arial" w:cs="Arial"/>
                <w:sz w:val="18"/>
                <w:szCs w:val="18"/>
              </w:rPr>
            </w:pPr>
          </w:p>
          <w:p w14:paraId="3E3F8EA7" w14:textId="354FA762" w:rsidR="00413E4C" w:rsidRPr="00306F4D" w:rsidRDefault="00413E4C" w:rsidP="00A56964">
            <w:pPr>
              <w:spacing w:after="0" w:line="240" w:lineRule="auto"/>
              <w:contextualSpacing/>
              <w:jc w:val="both"/>
              <w:rPr>
                <w:rFonts w:ascii="Arial" w:eastAsia="SimSun" w:hAnsi="Arial" w:cs="Arial"/>
                <w:sz w:val="18"/>
                <w:szCs w:val="18"/>
              </w:rPr>
            </w:pPr>
          </w:p>
        </w:tc>
        <w:tc>
          <w:tcPr>
            <w:tcW w:w="1618" w:type="dxa"/>
          </w:tcPr>
          <w:p w14:paraId="5B194562" w14:textId="77777777" w:rsidR="00FF70CB" w:rsidRPr="00306F4D" w:rsidRDefault="00FF70CB" w:rsidP="2E205A65">
            <w:pPr>
              <w:spacing w:after="0" w:line="240" w:lineRule="auto"/>
              <w:contextualSpacing/>
              <w:jc w:val="both"/>
              <w:rPr>
                <w:rFonts w:ascii="Arial" w:eastAsia="SimSun" w:hAnsi="Arial" w:cs="Arial"/>
                <w:b/>
                <w:sz w:val="18"/>
                <w:szCs w:val="18"/>
              </w:rPr>
            </w:pPr>
          </w:p>
          <w:p w14:paraId="032877D9" w14:textId="77777777" w:rsidR="00FF70CB" w:rsidRPr="00306F4D" w:rsidRDefault="00FF70CB" w:rsidP="00FF70CB">
            <w:pPr>
              <w:spacing w:after="60" w:line="240" w:lineRule="auto"/>
              <w:contextualSpacing/>
              <w:jc w:val="center"/>
              <w:rPr>
                <w:rFonts w:ascii="Arial" w:eastAsia="SimSun" w:hAnsi="Arial" w:cs="Arial"/>
                <w:sz w:val="18"/>
                <w:szCs w:val="18"/>
              </w:rPr>
            </w:pPr>
            <w:r w:rsidRPr="00306F4D">
              <w:rPr>
                <w:rFonts w:ascii="Arial" w:eastAsia="SimSun" w:hAnsi="Arial" w:cs="Arial"/>
                <w:sz w:val="18"/>
                <w:szCs w:val="18"/>
              </w:rPr>
              <w:t>18,000</w:t>
            </w:r>
          </w:p>
          <w:p w14:paraId="3516AF7D" w14:textId="77777777" w:rsidR="00152DCB" w:rsidRPr="00306F4D" w:rsidRDefault="00152DCB" w:rsidP="2E205A65">
            <w:pPr>
              <w:spacing w:after="0" w:line="240" w:lineRule="auto"/>
              <w:contextualSpacing/>
              <w:jc w:val="both"/>
              <w:rPr>
                <w:rFonts w:ascii="Arial" w:eastAsia="SimSun" w:hAnsi="Arial" w:cs="Arial"/>
                <w:b/>
                <w:bCs/>
                <w:sz w:val="18"/>
                <w:szCs w:val="18"/>
              </w:rPr>
            </w:pPr>
          </w:p>
          <w:p w14:paraId="4D4533C3" w14:textId="77777777" w:rsidR="00565531" w:rsidRPr="00306F4D" w:rsidRDefault="00565531" w:rsidP="00565531">
            <w:pPr>
              <w:spacing w:after="0" w:line="240" w:lineRule="auto"/>
              <w:contextualSpacing/>
              <w:jc w:val="both"/>
              <w:rPr>
                <w:rFonts w:ascii="Arial" w:eastAsia="SimSun" w:hAnsi="Arial" w:cs="Arial"/>
                <w:sz w:val="18"/>
                <w:szCs w:val="18"/>
              </w:rPr>
            </w:pPr>
            <w:r w:rsidRPr="00306F4D">
              <w:rPr>
                <w:rFonts w:ascii="Arial" w:eastAsia="SimSun" w:hAnsi="Arial" w:cs="Arial"/>
                <w:sz w:val="18"/>
                <w:szCs w:val="18"/>
              </w:rPr>
              <w:lastRenderedPageBreak/>
              <w:t>(IE Fee)</w:t>
            </w:r>
          </w:p>
          <w:p w14:paraId="27505EFB" w14:textId="71C0876C" w:rsidR="00FF70CB" w:rsidRPr="00306F4D" w:rsidRDefault="00FF70CB" w:rsidP="2E205A65">
            <w:pPr>
              <w:spacing w:after="0" w:line="240" w:lineRule="auto"/>
              <w:contextualSpacing/>
              <w:jc w:val="both"/>
              <w:rPr>
                <w:rFonts w:ascii="Arial" w:eastAsia="SimSun" w:hAnsi="Arial" w:cs="Arial"/>
                <w:b/>
                <w:sz w:val="18"/>
                <w:szCs w:val="18"/>
              </w:rPr>
            </w:pPr>
          </w:p>
        </w:tc>
      </w:tr>
      <w:tr w:rsidR="000538F0" w:rsidRPr="00306F4D" w14:paraId="4DEF29EE" w14:textId="77777777" w:rsidTr="00AD41F0">
        <w:trPr>
          <w:trHeight w:val="300"/>
        </w:trPr>
        <w:tc>
          <w:tcPr>
            <w:tcW w:w="1598" w:type="dxa"/>
            <w:vAlign w:val="center"/>
          </w:tcPr>
          <w:p w14:paraId="5FE8D0AF" w14:textId="7587E85A" w:rsidR="000538F0" w:rsidRPr="00306F4D" w:rsidRDefault="00A56964" w:rsidP="338C5E83">
            <w:pPr>
              <w:spacing w:after="0" w:line="240" w:lineRule="auto"/>
              <w:contextualSpacing/>
              <w:rPr>
                <w:rFonts w:ascii="Arial" w:eastAsia="SimSun" w:hAnsi="Arial" w:cs="Arial"/>
                <w:b/>
                <w:sz w:val="18"/>
                <w:szCs w:val="18"/>
              </w:rPr>
            </w:pPr>
            <w:r w:rsidRPr="00306F4D">
              <w:rPr>
                <w:rFonts w:ascii="Arial" w:eastAsia="SimSun" w:hAnsi="Arial" w:cs="Arial"/>
                <w:b/>
                <w:sz w:val="18"/>
                <w:szCs w:val="18"/>
              </w:rPr>
              <w:lastRenderedPageBreak/>
              <w:t>Terminal Evaluation (TE)</w:t>
            </w:r>
          </w:p>
        </w:tc>
        <w:tc>
          <w:tcPr>
            <w:tcW w:w="2359" w:type="dxa"/>
            <w:vAlign w:val="center"/>
          </w:tcPr>
          <w:p w14:paraId="62C4DD80" w14:textId="21BB31C4" w:rsidR="00A56964" w:rsidRPr="00306F4D" w:rsidRDefault="008C2C6F" w:rsidP="00A56964">
            <w:pPr>
              <w:pStyle w:val="Footer"/>
              <w:tabs>
                <w:tab w:val="num" w:pos="360"/>
              </w:tabs>
              <w:spacing w:line="276" w:lineRule="auto"/>
              <w:rPr>
                <w:rFonts w:ascii="Arial" w:eastAsia="SimSun" w:hAnsi="Arial" w:cs="Arial"/>
                <w:i/>
                <w:sz w:val="18"/>
                <w:szCs w:val="18"/>
              </w:rPr>
            </w:pPr>
            <w:r w:rsidRPr="00306F4D">
              <w:rPr>
                <w:rFonts w:ascii="Arial" w:eastAsia="Arial" w:hAnsi="Arial" w:cs="Arial"/>
                <w:color w:val="000000" w:themeColor="text1"/>
                <w:sz w:val="18"/>
                <w:szCs w:val="18"/>
              </w:rPr>
              <w:t>End of Year 4</w:t>
            </w:r>
          </w:p>
          <w:p w14:paraId="019AACA2" w14:textId="12920D09" w:rsidR="000538F0" w:rsidRPr="00306F4D" w:rsidRDefault="000538F0" w:rsidP="00A56964">
            <w:pPr>
              <w:spacing w:after="0" w:line="240" w:lineRule="auto"/>
              <w:contextualSpacing/>
              <w:jc w:val="center"/>
              <w:rPr>
                <w:rFonts w:ascii="Arial" w:eastAsia="SimSun" w:hAnsi="Arial" w:cs="Arial"/>
                <w:i/>
                <w:sz w:val="18"/>
                <w:szCs w:val="18"/>
              </w:rPr>
            </w:pPr>
          </w:p>
        </w:tc>
        <w:tc>
          <w:tcPr>
            <w:tcW w:w="2248" w:type="dxa"/>
            <w:vAlign w:val="center"/>
          </w:tcPr>
          <w:p w14:paraId="643075F3" w14:textId="03A13F62" w:rsidR="00FC6E4E" w:rsidRPr="00306F4D" w:rsidRDefault="00FC6E4E" w:rsidP="00FC6E4E">
            <w:pPr>
              <w:pStyle w:val="Footer"/>
              <w:tabs>
                <w:tab w:val="num" w:pos="360"/>
              </w:tabs>
              <w:spacing w:line="276" w:lineRule="auto"/>
              <w:rPr>
                <w:rFonts w:ascii="Arial" w:eastAsia="Arial" w:hAnsi="Arial" w:cs="Arial"/>
                <w:color w:val="000000" w:themeColor="text1"/>
                <w:sz w:val="18"/>
                <w:szCs w:val="18"/>
              </w:rPr>
            </w:pPr>
            <w:r w:rsidRPr="00306F4D">
              <w:rPr>
                <w:rFonts w:ascii="Arial" w:eastAsia="Arial" w:hAnsi="Arial" w:cs="Arial"/>
                <w:color w:val="000000" w:themeColor="text1"/>
                <w:sz w:val="18"/>
                <w:szCs w:val="18"/>
              </w:rPr>
              <w:t>An independent evaluation at project end to assess impact, sustainability, and lessons learned.</w:t>
            </w:r>
          </w:p>
          <w:p w14:paraId="25DD7B46" w14:textId="552CDCCD" w:rsidR="000538F0" w:rsidRPr="00306F4D" w:rsidRDefault="000538F0" w:rsidP="338C5E83">
            <w:pPr>
              <w:spacing w:after="60" w:line="240" w:lineRule="auto"/>
              <w:contextualSpacing/>
              <w:rPr>
                <w:rFonts w:ascii="Arial" w:eastAsia="SimSun" w:hAnsi="Arial" w:cs="Arial"/>
                <w:sz w:val="18"/>
                <w:szCs w:val="18"/>
              </w:rPr>
            </w:pPr>
          </w:p>
        </w:tc>
        <w:tc>
          <w:tcPr>
            <w:tcW w:w="1800" w:type="dxa"/>
          </w:tcPr>
          <w:p w14:paraId="0CCA8E65" w14:textId="31AF2913" w:rsidR="00584774" w:rsidRPr="00306F4D" w:rsidRDefault="00584774" w:rsidP="00584774">
            <w:pPr>
              <w:spacing w:after="0" w:line="240" w:lineRule="auto"/>
              <w:contextualSpacing/>
              <w:rPr>
                <w:rFonts w:ascii="Arial" w:eastAsia="SimSun" w:hAnsi="Arial" w:cs="Arial"/>
                <w:sz w:val="18"/>
                <w:szCs w:val="18"/>
              </w:rPr>
            </w:pPr>
            <w:r w:rsidRPr="00306F4D">
              <w:rPr>
                <w:rFonts w:ascii="Arial" w:eastAsia="SimSun" w:hAnsi="Arial" w:cs="Arial"/>
                <w:sz w:val="18"/>
                <w:szCs w:val="18"/>
              </w:rPr>
              <w:t>Executing Entity (EE) - IRH</w:t>
            </w:r>
          </w:p>
          <w:p w14:paraId="3CCEFDA7" w14:textId="168988BE" w:rsidR="000538F0" w:rsidRPr="00306F4D" w:rsidRDefault="000538F0" w:rsidP="00A406FD">
            <w:pPr>
              <w:spacing w:after="0" w:line="240" w:lineRule="auto"/>
              <w:contextualSpacing/>
              <w:jc w:val="both"/>
              <w:rPr>
                <w:rFonts w:ascii="Arial" w:eastAsia="SimSun" w:hAnsi="Arial" w:cs="Arial"/>
                <w:sz w:val="18"/>
                <w:szCs w:val="18"/>
              </w:rPr>
            </w:pPr>
          </w:p>
        </w:tc>
        <w:tc>
          <w:tcPr>
            <w:tcW w:w="1618" w:type="dxa"/>
          </w:tcPr>
          <w:p w14:paraId="633D7B77" w14:textId="77777777" w:rsidR="006D03D1" w:rsidRPr="00306F4D" w:rsidRDefault="006D03D1" w:rsidP="006D03D1">
            <w:pPr>
              <w:spacing w:after="60" w:line="240" w:lineRule="auto"/>
              <w:contextualSpacing/>
              <w:jc w:val="center"/>
              <w:rPr>
                <w:rFonts w:ascii="Arial" w:eastAsia="Arial" w:hAnsi="Arial" w:cs="Arial"/>
                <w:color w:val="000000" w:themeColor="text1"/>
                <w:sz w:val="18"/>
                <w:szCs w:val="18"/>
              </w:rPr>
            </w:pPr>
            <w:r w:rsidRPr="00306F4D">
              <w:rPr>
                <w:rFonts w:ascii="Arial" w:eastAsia="Arial" w:hAnsi="Arial" w:cs="Arial"/>
                <w:color w:val="000000" w:themeColor="text1"/>
                <w:sz w:val="18"/>
                <w:szCs w:val="18"/>
              </w:rPr>
              <w:t>24,000</w:t>
            </w:r>
          </w:p>
          <w:p w14:paraId="48F3F65E" w14:textId="77777777" w:rsidR="00152DCB" w:rsidRPr="00306F4D" w:rsidRDefault="00152DCB" w:rsidP="2E205A65">
            <w:pPr>
              <w:spacing w:after="0" w:line="240" w:lineRule="auto"/>
              <w:contextualSpacing/>
              <w:jc w:val="both"/>
              <w:rPr>
                <w:rFonts w:ascii="Arial" w:eastAsia="SimSun" w:hAnsi="Arial" w:cs="Arial"/>
                <w:b/>
                <w:bCs/>
                <w:sz w:val="18"/>
                <w:szCs w:val="18"/>
              </w:rPr>
            </w:pPr>
          </w:p>
          <w:p w14:paraId="48BCA9A0" w14:textId="77777777" w:rsidR="00565531" w:rsidRPr="00306F4D" w:rsidRDefault="00565531" w:rsidP="00565531">
            <w:pPr>
              <w:spacing w:after="0" w:line="240" w:lineRule="auto"/>
              <w:contextualSpacing/>
              <w:jc w:val="both"/>
              <w:rPr>
                <w:rFonts w:ascii="Arial" w:eastAsia="SimSun" w:hAnsi="Arial" w:cs="Arial"/>
                <w:sz w:val="18"/>
                <w:szCs w:val="18"/>
              </w:rPr>
            </w:pPr>
            <w:r w:rsidRPr="00306F4D">
              <w:rPr>
                <w:rFonts w:ascii="Arial" w:eastAsia="SimSun" w:hAnsi="Arial" w:cs="Arial"/>
                <w:sz w:val="18"/>
                <w:szCs w:val="18"/>
              </w:rPr>
              <w:t>(IE Fee)</w:t>
            </w:r>
          </w:p>
          <w:p w14:paraId="6BE5D11C" w14:textId="77777777" w:rsidR="000538F0" w:rsidRPr="00306F4D" w:rsidRDefault="000538F0" w:rsidP="2E205A65">
            <w:pPr>
              <w:spacing w:after="0" w:line="240" w:lineRule="auto"/>
              <w:contextualSpacing/>
              <w:jc w:val="both"/>
              <w:rPr>
                <w:rFonts w:ascii="Arial" w:eastAsia="SimSun" w:hAnsi="Arial" w:cs="Arial"/>
                <w:b/>
                <w:sz w:val="18"/>
                <w:szCs w:val="18"/>
              </w:rPr>
            </w:pPr>
          </w:p>
        </w:tc>
      </w:tr>
      <w:tr w:rsidR="000538F0" w:rsidRPr="00306F4D" w14:paraId="655BCEDF" w14:textId="77777777" w:rsidTr="00AD41F0">
        <w:trPr>
          <w:trHeight w:val="300"/>
        </w:trPr>
        <w:tc>
          <w:tcPr>
            <w:tcW w:w="1598" w:type="dxa"/>
            <w:vAlign w:val="center"/>
          </w:tcPr>
          <w:p w14:paraId="2CA626FD" w14:textId="26B5DC8C" w:rsidR="000538F0" w:rsidRPr="00306F4D" w:rsidRDefault="000538F0" w:rsidP="000538F0">
            <w:pPr>
              <w:spacing w:after="0" w:line="240" w:lineRule="auto"/>
              <w:contextualSpacing/>
              <w:rPr>
                <w:rFonts w:ascii="Arial" w:eastAsia="SimSun" w:hAnsi="Arial" w:cs="Arial"/>
                <w:b/>
                <w:bCs/>
                <w:sz w:val="18"/>
                <w:szCs w:val="18"/>
              </w:rPr>
            </w:pPr>
            <w:r w:rsidRPr="00306F4D">
              <w:rPr>
                <w:rFonts w:ascii="Arial" w:eastAsia="SimSun" w:hAnsi="Arial" w:cs="Arial"/>
                <w:b/>
                <w:bCs/>
                <w:sz w:val="18"/>
                <w:szCs w:val="18"/>
              </w:rPr>
              <w:t>TOTAL</w:t>
            </w:r>
          </w:p>
        </w:tc>
        <w:tc>
          <w:tcPr>
            <w:tcW w:w="2359" w:type="dxa"/>
            <w:vAlign w:val="center"/>
          </w:tcPr>
          <w:p w14:paraId="7D327CFE" w14:textId="77777777" w:rsidR="000538F0" w:rsidRPr="00306F4D" w:rsidRDefault="000538F0" w:rsidP="000538F0">
            <w:pPr>
              <w:spacing w:after="0" w:line="240" w:lineRule="auto"/>
              <w:contextualSpacing/>
              <w:jc w:val="center"/>
              <w:rPr>
                <w:rFonts w:ascii="Arial" w:eastAsia="SimSun" w:hAnsi="Arial" w:cs="Arial"/>
                <w:i/>
                <w:iCs/>
                <w:sz w:val="18"/>
                <w:szCs w:val="18"/>
              </w:rPr>
            </w:pPr>
          </w:p>
        </w:tc>
        <w:tc>
          <w:tcPr>
            <w:tcW w:w="2248" w:type="dxa"/>
            <w:vAlign w:val="center"/>
          </w:tcPr>
          <w:p w14:paraId="14F20840" w14:textId="77777777" w:rsidR="000538F0" w:rsidRPr="00306F4D" w:rsidRDefault="000538F0" w:rsidP="000538F0">
            <w:pPr>
              <w:spacing w:after="60" w:line="240" w:lineRule="auto"/>
              <w:contextualSpacing/>
              <w:rPr>
                <w:rFonts w:ascii="Arial" w:eastAsia="SimSun" w:hAnsi="Arial" w:cs="Arial"/>
                <w:sz w:val="18"/>
                <w:szCs w:val="18"/>
              </w:rPr>
            </w:pPr>
          </w:p>
        </w:tc>
        <w:tc>
          <w:tcPr>
            <w:tcW w:w="1800" w:type="dxa"/>
          </w:tcPr>
          <w:p w14:paraId="243328FD" w14:textId="77777777" w:rsidR="000538F0" w:rsidRPr="00306F4D" w:rsidRDefault="000538F0" w:rsidP="000538F0">
            <w:pPr>
              <w:spacing w:after="0" w:line="240" w:lineRule="auto"/>
              <w:contextualSpacing/>
              <w:jc w:val="both"/>
              <w:rPr>
                <w:rFonts w:ascii="Arial" w:eastAsia="SimSun" w:hAnsi="Arial" w:cs="Arial"/>
                <w:sz w:val="18"/>
                <w:szCs w:val="18"/>
              </w:rPr>
            </w:pPr>
          </w:p>
        </w:tc>
        <w:tc>
          <w:tcPr>
            <w:tcW w:w="1618" w:type="dxa"/>
          </w:tcPr>
          <w:p w14:paraId="59B82C0E" w14:textId="2EAFE508" w:rsidR="000538F0" w:rsidRPr="00306F4D" w:rsidRDefault="00F06E5A" w:rsidP="000538F0">
            <w:pPr>
              <w:spacing w:after="0" w:line="240" w:lineRule="auto"/>
              <w:contextualSpacing/>
              <w:jc w:val="both"/>
              <w:rPr>
                <w:rFonts w:ascii="Arial" w:eastAsia="SimSun" w:hAnsi="Arial" w:cs="Arial"/>
                <w:b/>
                <w:bCs/>
                <w:sz w:val="18"/>
                <w:szCs w:val="18"/>
              </w:rPr>
            </w:pPr>
            <w:r w:rsidRPr="00306F4D">
              <w:rPr>
                <w:rFonts w:ascii="Arial" w:eastAsia="SimSun" w:hAnsi="Arial" w:cs="Arial"/>
                <w:b/>
                <w:bCs/>
                <w:sz w:val="18"/>
                <w:szCs w:val="18"/>
              </w:rPr>
              <w:t>1</w:t>
            </w:r>
            <w:r w:rsidR="00904FF8" w:rsidRPr="00306F4D">
              <w:rPr>
                <w:rFonts w:ascii="Arial" w:eastAsia="SimSun" w:hAnsi="Arial" w:cs="Arial"/>
                <w:b/>
                <w:bCs/>
                <w:sz w:val="18"/>
                <w:szCs w:val="18"/>
              </w:rPr>
              <w:t>4</w:t>
            </w:r>
            <w:r w:rsidR="000D1582" w:rsidRPr="00306F4D">
              <w:rPr>
                <w:rFonts w:ascii="Arial" w:eastAsia="SimSun" w:hAnsi="Arial" w:cs="Arial"/>
                <w:b/>
                <w:bCs/>
                <w:sz w:val="18"/>
                <w:szCs w:val="18"/>
              </w:rPr>
              <w:t>6</w:t>
            </w:r>
            <w:r w:rsidRPr="00306F4D">
              <w:rPr>
                <w:rFonts w:ascii="Arial" w:eastAsia="SimSun" w:hAnsi="Arial" w:cs="Arial"/>
                <w:b/>
                <w:bCs/>
                <w:sz w:val="18"/>
                <w:szCs w:val="18"/>
              </w:rPr>
              <w:t>,000</w:t>
            </w:r>
          </w:p>
        </w:tc>
      </w:tr>
    </w:tbl>
    <w:p w14:paraId="453D385D" w14:textId="77777777" w:rsidR="005F53F2" w:rsidRPr="00306F4D" w:rsidRDefault="005F53F2"/>
    <w:p w14:paraId="53915EB2" w14:textId="77777777" w:rsidR="005F53F2" w:rsidRPr="00306F4D" w:rsidRDefault="005F53F2" w:rsidP="005F53F2">
      <w:pPr>
        <w:pStyle w:val="Heading2"/>
        <w:spacing w:before="0" w:line="276" w:lineRule="auto"/>
        <w:rPr>
          <w:rFonts w:ascii="Arial" w:eastAsia="Arial" w:hAnsi="Arial" w:cs="Arial"/>
          <w:sz w:val="20"/>
          <w:szCs w:val="20"/>
          <w:lang w:val="en-GB"/>
        </w:rPr>
      </w:pPr>
    </w:p>
    <w:p w14:paraId="349BDCF0" w14:textId="2C40CA24" w:rsidR="00B228CA" w:rsidRPr="00306F4D" w:rsidRDefault="00B228CA" w:rsidP="00B228CA">
      <w:pPr>
        <w:pStyle w:val="Footer"/>
        <w:tabs>
          <w:tab w:val="clear" w:pos="4680"/>
          <w:tab w:val="clear" w:pos="9360"/>
        </w:tabs>
        <w:spacing w:line="276" w:lineRule="auto"/>
        <w:ind w:left="360"/>
        <w:rPr>
          <w:rFonts w:ascii="Arial" w:eastAsia="Arial" w:hAnsi="Arial" w:cs="Arial"/>
          <w:color w:val="AEAAAA" w:themeColor="background2" w:themeShade="BF"/>
          <w:lang w:val="en-GB"/>
        </w:rPr>
      </w:pPr>
      <w:bookmarkStart w:id="204" w:name="_Toc202893758"/>
    </w:p>
    <w:p w14:paraId="6A7839F0" w14:textId="77777777" w:rsidR="00B228CA" w:rsidRPr="00306F4D" w:rsidRDefault="00B228CA" w:rsidP="00B228CA">
      <w:pPr>
        <w:pStyle w:val="Footer"/>
        <w:tabs>
          <w:tab w:val="clear" w:pos="4680"/>
          <w:tab w:val="clear" w:pos="9360"/>
        </w:tabs>
        <w:spacing w:line="276" w:lineRule="auto"/>
        <w:ind w:left="360"/>
        <w:rPr>
          <w:lang w:val="en-GB"/>
        </w:rPr>
      </w:pPr>
    </w:p>
    <w:p w14:paraId="42A8AF56" w14:textId="2DF53FC9" w:rsidR="009D344B" w:rsidRPr="00306F4D" w:rsidRDefault="009D344B">
      <w:pPr>
        <w:pStyle w:val="Footer"/>
        <w:numPr>
          <w:ilvl w:val="0"/>
          <w:numId w:val="24"/>
        </w:numPr>
        <w:tabs>
          <w:tab w:val="clear" w:pos="720"/>
          <w:tab w:val="clear" w:pos="4680"/>
          <w:tab w:val="clear" w:pos="9360"/>
          <w:tab w:val="num" w:pos="360"/>
        </w:tabs>
        <w:spacing w:line="276" w:lineRule="auto"/>
        <w:ind w:left="360"/>
        <w:rPr>
          <w:lang w:val="en-GB"/>
        </w:rPr>
      </w:pPr>
      <w:r w:rsidRPr="00306F4D">
        <w:rPr>
          <w:rFonts w:ascii="Arial" w:eastAsia="Arial" w:hAnsi="Arial" w:cs="Arial"/>
          <w:color w:val="AEAAAA" w:themeColor="background2" w:themeShade="BF"/>
          <w:lang w:val="en-GB"/>
        </w:rPr>
        <w:t>Include a results framework for the project / programme proposal, including milestones, targets, and indicators</w:t>
      </w:r>
      <w:r w:rsidRPr="00306F4D">
        <w:rPr>
          <w:rFonts w:ascii="Arial" w:eastAsia="Arial" w:hAnsi="Arial" w:cs="Arial"/>
          <w:smallCaps/>
          <w:color w:val="AEAAAA" w:themeColor="background2" w:themeShade="BF"/>
          <w:lang w:val="en-GB"/>
        </w:rPr>
        <w:t>.</w:t>
      </w:r>
    </w:p>
    <w:p w14:paraId="23449302" w14:textId="643AE679" w:rsidR="581442F9" w:rsidRPr="00306F4D" w:rsidRDefault="0097496C" w:rsidP="00B228CA">
      <w:pPr>
        <w:pStyle w:val="Footer"/>
        <w:tabs>
          <w:tab w:val="clear" w:pos="4680"/>
          <w:tab w:val="clear" w:pos="9360"/>
        </w:tabs>
        <w:spacing w:line="276" w:lineRule="auto"/>
        <w:ind w:left="360"/>
      </w:pPr>
      <w:r w:rsidRPr="00306F4D">
        <w:t>Results Framework for the Project Proposal: Milestones, Targets, and Indicators</w:t>
      </w:r>
      <w:bookmarkEnd w:id="204"/>
    </w:p>
    <w:p w14:paraId="4FBEB524" w14:textId="77777777" w:rsidR="00EC5748" w:rsidRPr="00306F4D" w:rsidRDefault="00EC5748" w:rsidP="00B228CA">
      <w:pPr>
        <w:pStyle w:val="Footer"/>
        <w:tabs>
          <w:tab w:val="clear" w:pos="4680"/>
          <w:tab w:val="clear" w:pos="9360"/>
        </w:tabs>
        <w:spacing w:line="276" w:lineRule="auto"/>
        <w:ind w:left="360"/>
        <w:rPr>
          <w:lang w:val="en-GB"/>
        </w:rPr>
      </w:pPr>
    </w:p>
    <w:tbl>
      <w:tblPr>
        <w:tblStyle w:val="TableGrid"/>
        <w:tblpPr w:leftFromText="181" w:rightFromText="181" w:horzAnchor="margin" w:tblpY="1"/>
        <w:tblOverlap w:val="never"/>
        <w:tblW w:w="0" w:type="auto"/>
        <w:tblLayout w:type="fixed"/>
        <w:tblLook w:val="04A0" w:firstRow="1" w:lastRow="0" w:firstColumn="1" w:lastColumn="0" w:noHBand="0" w:noVBand="1"/>
      </w:tblPr>
      <w:tblGrid>
        <w:gridCol w:w="2547"/>
        <w:gridCol w:w="1984"/>
        <w:gridCol w:w="993"/>
        <w:gridCol w:w="1275"/>
        <w:gridCol w:w="1276"/>
        <w:gridCol w:w="1820"/>
      </w:tblGrid>
      <w:tr w:rsidR="00050FBD" w:rsidRPr="007634CA" w14:paraId="73A54747" w14:textId="77777777" w:rsidTr="00774A51">
        <w:tc>
          <w:tcPr>
            <w:tcW w:w="9895" w:type="dxa"/>
            <w:gridSpan w:val="6"/>
            <w:shd w:val="clear" w:color="auto" w:fill="E7E6E6" w:themeFill="background2"/>
          </w:tcPr>
          <w:p w14:paraId="483B5577" w14:textId="77777777" w:rsidR="00050FBD" w:rsidRPr="007634CA" w:rsidRDefault="14E1B1DF" w:rsidP="00774A51">
            <w:pPr>
              <w:spacing w:before="40" w:after="40" w:line="276" w:lineRule="auto"/>
              <w:jc w:val="both"/>
              <w:rPr>
                <w:rFonts w:ascii="Arial" w:eastAsia="Arial" w:hAnsi="Arial" w:cs="Arial"/>
                <w:color w:val="auto"/>
                <w:sz w:val="16"/>
                <w:szCs w:val="16"/>
                <w:lang w:val="en-GB"/>
              </w:rPr>
            </w:pPr>
            <w:r w:rsidRPr="007634CA">
              <w:rPr>
                <w:rFonts w:ascii="Arial" w:eastAsia="Arial" w:hAnsi="Arial" w:cs="Arial"/>
                <w:b/>
                <w:bCs/>
                <w:color w:val="auto"/>
                <w:sz w:val="16"/>
                <w:szCs w:val="16"/>
                <w:lang w:val="en-GB"/>
              </w:rPr>
              <w:lastRenderedPageBreak/>
              <w:t>Regional Project Objective</w:t>
            </w:r>
            <w:r w:rsidRPr="007634CA">
              <w:rPr>
                <w:rFonts w:ascii="Arial" w:eastAsia="Arial" w:hAnsi="Arial" w:cs="Arial"/>
                <w:color w:val="auto"/>
                <w:sz w:val="16"/>
                <w:szCs w:val="16"/>
                <w:lang w:val="en-GB"/>
              </w:rPr>
              <w:t xml:space="preserve">: </w:t>
            </w:r>
          </w:p>
          <w:p w14:paraId="274A9790" w14:textId="77777777" w:rsidR="00050FBD" w:rsidRPr="007634CA" w:rsidRDefault="14E1B1DF" w:rsidP="00774A51">
            <w:pPr>
              <w:spacing w:before="40" w:after="40" w:line="276" w:lineRule="auto"/>
              <w:jc w:val="both"/>
              <w:rPr>
                <w:rFonts w:ascii="Arial" w:eastAsia="Arial" w:hAnsi="Arial" w:cs="Arial"/>
                <w:color w:val="auto"/>
                <w:sz w:val="16"/>
                <w:szCs w:val="16"/>
                <w:lang w:val="en-GB"/>
              </w:rPr>
            </w:pPr>
            <w:r w:rsidRPr="007634CA">
              <w:rPr>
                <w:rFonts w:ascii="Arial" w:eastAsia="Arial" w:hAnsi="Arial" w:cs="Arial"/>
                <w:color w:val="auto"/>
                <w:sz w:val="16"/>
                <w:szCs w:val="16"/>
                <w:lang w:val="en-GB"/>
              </w:rPr>
              <w:t xml:space="preserve">To accelerate </w:t>
            </w:r>
            <w:proofErr w:type="gramStart"/>
            <w:r w:rsidRPr="007634CA">
              <w:rPr>
                <w:rFonts w:ascii="Arial" w:eastAsia="Arial" w:hAnsi="Arial" w:cs="Arial"/>
                <w:color w:val="auto"/>
                <w:sz w:val="16"/>
                <w:szCs w:val="16"/>
                <w:lang w:val="en-GB"/>
              </w:rPr>
              <w:t>locally-led</w:t>
            </w:r>
            <w:proofErr w:type="gramEnd"/>
            <w:r w:rsidRPr="007634CA">
              <w:rPr>
                <w:rFonts w:ascii="Arial" w:eastAsia="Arial" w:hAnsi="Arial" w:cs="Arial"/>
                <w:color w:val="auto"/>
                <w:sz w:val="16"/>
                <w:szCs w:val="16"/>
                <w:lang w:val="en-GB"/>
              </w:rPr>
              <w:t xml:space="preserve"> adaptation innovation in Bosnia and Herzegovina, Montenegro, North Macedonia, and Serbia by applying an enterprise development approach that strengthens regional collaboration, promotes gender equality and women’s empowerment, supports locally-led innovation in priority and inclusion, and enables knowledge exchange at both regional and global levels.</w:t>
            </w:r>
          </w:p>
        </w:tc>
      </w:tr>
      <w:tr w:rsidR="0097496C" w:rsidRPr="007634CA" w14:paraId="747F9FB6" w14:textId="77777777" w:rsidTr="00774A51">
        <w:tc>
          <w:tcPr>
            <w:tcW w:w="2547" w:type="dxa"/>
            <w:shd w:val="clear" w:color="auto" w:fill="E7E6E6" w:themeFill="background2"/>
            <w:vAlign w:val="center"/>
          </w:tcPr>
          <w:p w14:paraId="54276A95" w14:textId="0C00659B" w:rsidR="00E67E6B" w:rsidRPr="007634CA" w:rsidRDefault="37338ACE" w:rsidP="00774A51">
            <w:pPr>
              <w:spacing w:line="276" w:lineRule="auto"/>
              <w:jc w:val="both"/>
              <w:rPr>
                <w:rFonts w:ascii="Arial" w:eastAsia="Arial" w:hAnsi="Arial" w:cs="Arial"/>
                <w:b/>
                <w:bCs/>
                <w:color w:val="auto"/>
                <w:sz w:val="16"/>
                <w:szCs w:val="16"/>
                <w:lang w:val="en-GB"/>
              </w:rPr>
            </w:pPr>
            <w:r w:rsidRPr="007634CA">
              <w:rPr>
                <w:rFonts w:ascii="Arial" w:eastAsia="Arial" w:hAnsi="Arial" w:cs="Arial"/>
                <w:b/>
                <w:bCs/>
                <w:color w:val="auto"/>
                <w:sz w:val="16"/>
                <w:szCs w:val="16"/>
                <w:lang w:val="en-GB"/>
              </w:rPr>
              <w:t xml:space="preserve">Project </w:t>
            </w:r>
            <w:r w:rsidR="0EEE67E4" w:rsidRPr="007634CA">
              <w:rPr>
                <w:rFonts w:ascii="Arial" w:eastAsia="Arial" w:hAnsi="Arial" w:cs="Arial"/>
                <w:b/>
                <w:bCs/>
                <w:color w:val="auto"/>
                <w:sz w:val="16"/>
                <w:szCs w:val="16"/>
                <w:lang w:val="en-GB"/>
              </w:rPr>
              <w:t>Objective</w:t>
            </w:r>
          </w:p>
        </w:tc>
        <w:tc>
          <w:tcPr>
            <w:tcW w:w="1984" w:type="dxa"/>
            <w:shd w:val="clear" w:color="auto" w:fill="E7E6E6" w:themeFill="background2"/>
            <w:vAlign w:val="center"/>
          </w:tcPr>
          <w:p w14:paraId="0730BA3D" w14:textId="2656AD21" w:rsidR="00E67E6B" w:rsidRPr="007634CA" w:rsidRDefault="530F607B" w:rsidP="00774A51">
            <w:pPr>
              <w:spacing w:line="276" w:lineRule="auto"/>
              <w:jc w:val="both"/>
              <w:rPr>
                <w:rFonts w:ascii="Arial" w:eastAsia="Arial" w:hAnsi="Arial" w:cs="Arial"/>
                <w:b/>
                <w:bCs/>
                <w:color w:val="auto"/>
                <w:sz w:val="16"/>
                <w:szCs w:val="16"/>
                <w:lang w:val="en-GB"/>
              </w:rPr>
            </w:pPr>
            <w:r w:rsidRPr="007634CA">
              <w:rPr>
                <w:rFonts w:ascii="Arial" w:eastAsia="Arial" w:hAnsi="Arial" w:cs="Arial"/>
                <w:b/>
                <w:bCs/>
                <w:color w:val="auto"/>
                <w:sz w:val="16"/>
                <w:szCs w:val="16"/>
                <w:lang w:val="en-GB"/>
              </w:rPr>
              <w:t xml:space="preserve">Outcome </w:t>
            </w:r>
            <w:r w:rsidR="0EEE67E4" w:rsidRPr="007634CA">
              <w:rPr>
                <w:rFonts w:ascii="Arial" w:eastAsia="Arial" w:hAnsi="Arial" w:cs="Arial"/>
                <w:b/>
                <w:bCs/>
                <w:color w:val="auto"/>
                <w:sz w:val="16"/>
                <w:szCs w:val="16"/>
                <w:lang w:val="en-GB"/>
              </w:rPr>
              <w:t>Indicator</w:t>
            </w:r>
            <w:r w:rsidR="6BF932C8" w:rsidRPr="007634CA">
              <w:rPr>
                <w:rFonts w:ascii="Arial" w:eastAsia="Arial" w:hAnsi="Arial" w:cs="Arial"/>
                <w:b/>
                <w:bCs/>
                <w:color w:val="auto"/>
                <w:sz w:val="16"/>
                <w:szCs w:val="16"/>
                <w:lang w:val="en-GB"/>
              </w:rPr>
              <w:t>s</w:t>
            </w:r>
          </w:p>
        </w:tc>
        <w:tc>
          <w:tcPr>
            <w:tcW w:w="993" w:type="dxa"/>
            <w:shd w:val="clear" w:color="auto" w:fill="E7E6E6" w:themeFill="background2"/>
            <w:vAlign w:val="center"/>
          </w:tcPr>
          <w:p w14:paraId="73655D0C" w14:textId="7BA938AD" w:rsidR="00E67E6B" w:rsidRPr="007634CA" w:rsidRDefault="0EEE67E4" w:rsidP="00774A51">
            <w:pPr>
              <w:spacing w:line="276" w:lineRule="auto"/>
              <w:jc w:val="both"/>
              <w:rPr>
                <w:rFonts w:ascii="Arial" w:eastAsia="Arial" w:hAnsi="Arial" w:cs="Arial"/>
                <w:b/>
                <w:bCs/>
                <w:color w:val="auto"/>
                <w:sz w:val="16"/>
                <w:szCs w:val="16"/>
                <w:lang w:val="en-GB"/>
              </w:rPr>
            </w:pPr>
            <w:r w:rsidRPr="007634CA">
              <w:rPr>
                <w:rFonts w:ascii="Arial" w:eastAsia="Arial" w:hAnsi="Arial" w:cs="Arial"/>
                <w:b/>
                <w:bCs/>
                <w:color w:val="auto"/>
                <w:sz w:val="16"/>
                <w:szCs w:val="16"/>
                <w:lang w:val="en-GB"/>
              </w:rPr>
              <w:t>Baseline</w:t>
            </w:r>
          </w:p>
        </w:tc>
        <w:tc>
          <w:tcPr>
            <w:tcW w:w="1275" w:type="dxa"/>
            <w:shd w:val="clear" w:color="auto" w:fill="E7E6E6" w:themeFill="background2"/>
            <w:vAlign w:val="center"/>
          </w:tcPr>
          <w:p w14:paraId="12AF799E" w14:textId="25F03372" w:rsidR="00E67E6B" w:rsidRPr="007634CA" w:rsidRDefault="0EEE67E4" w:rsidP="00774A51">
            <w:pPr>
              <w:spacing w:line="276" w:lineRule="auto"/>
              <w:jc w:val="both"/>
              <w:rPr>
                <w:rFonts w:ascii="Arial" w:eastAsia="Arial" w:hAnsi="Arial" w:cs="Arial"/>
                <w:b/>
                <w:bCs/>
                <w:color w:val="auto"/>
                <w:sz w:val="16"/>
                <w:szCs w:val="16"/>
                <w:lang w:val="en-GB"/>
              </w:rPr>
            </w:pPr>
            <w:r w:rsidRPr="007634CA">
              <w:rPr>
                <w:rFonts w:ascii="Arial" w:eastAsia="Arial" w:hAnsi="Arial" w:cs="Arial"/>
                <w:b/>
                <w:bCs/>
                <w:color w:val="auto"/>
                <w:sz w:val="16"/>
                <w:szCs w:val="16"/>
                <w:lang w:val="en-GB"/>
              </w:rPr>
              <w:t>Target at Project Completion</w:t>
            </w:r>
          </w:p>
        </w:tc>
        <w:tc>
          <w:tcPr>
            <w:tcW w:w="1276" w:type="dxa"/>
            <w:shd w:val="clear" w:color="auto" w:fill="E7E6E6" w:themeFill="background2"/>
            <w:vAlign w:val="center"/>
          </w:tcPr>
          <w:p w14:paraId="70D9575F" w14:textId="0AF253CA" w:rsidR="00E67E6B" w:rsidRPr="007634CA" w:rsidRDefault="0EEE67E4" w:rsidP="00774A51">
            <w:pPr>
              <w:spacing w:line="276" w:lineRule="auto"/>
              <w:jc w:val="both"/>
              <w:rPr>
                <w:rFonts w:ascii="Arial" w:eastAsia="Arial" w:hAnsi="Arial" w:cs="Arial"/>
                <w:b/>
                <w:bCs/>
                <w:color w:val="auto"/>
                <w:sz w:val="16"/>
                <w:szCs w:val="16"/>
                <w:lang w:val="en-GB"/>
              </w:rPr>
            </w:pPr>
            <w:r w:rsidRPr="007634CA">
              <w:rPr>
                <w:rFonts w:ascii="Arial" w:eastAsia="Arial" w:hAnsi="Arial" w:cs="Arial"/>
                <w:b/>
                <w:bCs/>
                <w:color w:val="auto"/>
                <w:sz w:val="16"/>
                <w:szCs w:val="16"/>
                <w:lang w:val="en-GB"/>
              </w:rPr>
              <w:t>Means of Verification</w:t>
            </w:r>
          </w:p>
        </w:tc>
        <w:tc>
          <w:tcPr>
            <w:tcW w:w="1820" w:type="dxa"/>
            <w:shd w:val="clear" w:color="auto" w:fill="E7E6E6" w:themeFill="background2"/>
            <w:vAlign w:val="center"/>
          </w:tcPr>
          <w:p w14:paraId="5CF9C175" w14:textId="0D8528C7" w:rsidR="00E67E6B" w:rsidRPr="007634CA" w:rsidRDefault="0EEE67E4" w:rsidP="00774A51">
            <w:pPr>
              <w:spacing w:line="276" w:lineRule="auto"/>
              <w:jc w:val="center"/>
              <w:rPr>
                <w:rFonts w:ascii="Arial" w:eastAsia="Arial" w:hAnsi="Arial" w:cs="Arial"/>
                <w:b/>
                <w:bCs/>
                <w:color w:val="auto"/>
                <w:sz w:val="16"/>
                <w:szCs w:val="16"/>
                <w:lang w:val="en-GB"/>
              </w:rPr>
            </w:pPr>
            <w:r w:rsidRPr="007634CA">
              <w:rPr>
                <w:rFonts w:ascii="Arial" w:eastAsia="Arial" w:hAnsi="Arial" w:cs="Arial"/>
                <w:b/>
                <w:bCs/>
                <w:color w:val="auto"/>
                <w:sz w:val="16"/>
                <w:szCs w:val="16"/>
                <w:lang w:val="en-GB"/>
              </w:rPr>
              <w:t>Risks and Assumptions</w:t>
            </w:r>
          </w:p>
        </w:tc>
      </w:tr>
      <w:tr w:rsidR="00E248E6" w:rsidRPr="007634CA" w14:paraId="01F18B9A" w14:textId="77777777" w:rsidTr="00774A51">
        <w:trPr>
          <w:trHeight w:val="3870"/>
        </w:trPr>
        <w:tc>
          <w:tcPr>
            <w:tcW w:w="2547" w:type="dxa"/>
            <w:vMerge w:val="restart"/>
            <w:vAlign w:val="center"/>
          </w:tcPr>
          <w:p w14:paraId="6CCD74C8" w14:textId="6E3EF35F" w:rsidR="00E248E6" w:rsidRPr="007634CA" w:rsidRDefault="00E248E6" w:rsidP="00774A51">
            <w:pPr>
              <w:spacing w:line="276" w:lineRule="auto"/>
              <w:jc w:val="both"/>
              <w:rPr>
                <w:rFonts w:ascii="Arial" w:eastAsia="Arial" w:hAnsi="Arial" w:cs="Arial"/>
                <w:b/>
                <w:bCs/>
                <w:color w:val="auto"/>
                <w:sz w:val="16"/>
                <w:szCs w:val="16"/>
                <w:lang w:val="en-GB"/>
              </w:rPr>
            </w:pPr>
            <w:r w:rsidRPr="007634CA">
              <w:rPr>
                <w:rFonts w:ascii="Arial" w:eastAsia="Arial" w:hAnsi="Arial" w:cs="Arial"/>
                <w:color w:val="auto"/>
                <w:sz w:val="16"/>
                <w:szCs w:val="16"/>
                <w:lang w:val="en-GB"/>
              </w:rPr>
              <w:t xml:space="preserve">To accelerate </w:t>
            </w:r>
            <w:proofErr w:type="gramStart"/>
            <w:r w:rsidRPr="007634CA">
              <w:rPr>
                <w:rFonts w:ascii="Arial" w:eastAsia="Arial" w:hAnsi="Arial" w:cs="Arial"/>
                <w:color w:val="auto"/>
                <w:sz w:val="16"/>
                <w:szCs w:val="16"/>
                <w:lang w:val="en-GB"/>
              </w:rPr>
              <w:t>locally-led</w:t>
            </w:r>
            <w:proofErr w:type="gramEnd"/>
            <w:r w:rsidRPr="007634CA">
              <w:rPr>
                <w:rFonts w:ascii="Arial" w:eastAsia="Arial" w:hAnsi="Arial" w:cs="Arial"/>
                <w:color w:val="auto"/>
                <w:sz w:val="16"/>
                <w:szCs w:val="16"/>
                <w:lang w:val="en-GB"/>
              </w:rPr>
              <w:t xml:space="preserve"> adaptation innovation in Bosnia and Herzegovina, Montenegro, North Macedonia, and Serbia by applying an enterprise development approach that strengthens regional collaboration, promotes gender equality and women’s empowerment, supports locally-led innovation in priority and inclusion, and enables knowledge exchange at both regional and global levels</w:t>
            </w:r>
          </w:p>
        </w:tc>
        <w:tc>
          <w:tcPr>
            <w:tcW w:w="1984" w:type="dxa"/>
            <w:tcBorders>
              <w:bottom w:val="single" w:sz="4" w:space="0" w:color="auto"/>
            </w:tcBorders>
            <w:vAlign w:val="center"/>
          </w:tcPr>
          <w:p w14:paraId="1842FE13" w14:textId="116D7B0D" w:rsidR="00E248E6" w:rsidRPr="007634CA" w:rsidRDefault="00E248E6" w:rsidP="00BC768C">
            <w:pPr>
              <w:spacing w:line="276" w:lineRule="auto"/>
              <w:rPr>
                <w:rFonts w:ascii="Arial" w:eastAsia="Arial" w:hAnsi="Arial" w:cs="Arial"/>
                <w:color w:val="000000" w:themeColor="text1"/>
                <w:sz w:val="16"/>
                <w:szCs w:val="16"/>
              </w:rPr>
            </w:pPr>
            <w:r w:rsidRPr="007634CA">
              <w:rPr>
                <w:rFonts w:ascii="Arial" w:eastAsia="Arial" w:hAnsi="Arial" w:cs="Arial"/>
                <w:color w:val="000000" w:themeColor="text1"/>
                <w:sz w:val="16"/>
                <w:szCs w:val="16"/>
              </w:rPr>
              <w:t xml:space="preserve">01: Number of people with increased resilience to climate change as a result of </w:t>
            </w:r>
            <w:proofErr w:type="gramStart"/>
            <w:r w:rsidRPr="007634CA">
              <w:rPr>
                <w:rFonts w:ascii="Arial" w:eastAsia="Arial" w:hAnsi="Arial" w:cs="Arial"/>
                <w:color w:val="000000" w:themeColor="text1"/>
                <w:sz w:val="16"/>
                <w:szCs w:val="16"/>
              </w:rPr>
              <w:t>locally-led</w:t>
            </w:r>
            <w:proofErr w:type="gramEnd"/>
            <w:r w:rsidRPr="007634CA">
              <w:rPr>
                <w:rFonts w:ascii="Arial" w:eastAsia="Arial" w:hAnsi="Arial" w:cs="Arial"/>
                <w:color w:val="000000" w:themeColor="text1"/>
                <w:sz w:val="16"/>
                <w:szCs w:val="16"/>
              </w:rPr>
              <w:t xml:space="preserve"> adaptation innovations supported, scaled, or replicated through enterprise development and regional collaboration:</w:t>
            </w:r>
          </w:p>
          <w:p w14:paraId="1DF320BE" w14:textId="38768F67" w:rsidR="00E248E6" w:rsidRPr="007634CA" w:rsidRDefault="00E248E6" w:rsidP="00BC768C">
            <w:pPr>
              <w:pStyle w:val="ListParagraph"/>
              <w:numPr>
                <w:ilvl w:val="1"/>
                <w:numId w:val="63"/>
              </w:numPr>
              <w:spacing w:line="276" w:lineRule="auto"/>
              <w:ind w:left="346"/>
              <w:rPr>
                <w:rFonts w:ascii="Arial" w:eastAsia="Arial" w:hAnsi="Arial" w:cs="Arial"/>
                <w:color w:val="auto"/>
                <w:sz w:val="16"/>
                <w:szCs w:val="16"/>
                <w:lang w:val="en-GB"/>
              </w:rPr>
            </w:pPr>
            <w:r w:rsidRPr="007634CA">
              <w:rPr>
                <w:rFonts w:ascii="Arial" w:eastAsia="Arial" w:hAnsi="Arial" w:cs="Arial"/>
                <w:color w:val="auto"/>
                <w:sz w:val="16"/>
                <w:szCs w:val="16"/>
                <w:lang w:val="en-GB"/>
              </w:rPr>
              <w:t>Direct beneficiaries (male and female)</w:t>
            </w:r>
          </w:p>
          <w:p w14:paraId="59BF6CBF" w14:textId="3A1B5913" w:rsidR="00E248E6" w:rsidRPr="007634CA" w:rsidRDefault="00E248E6" w:rsidP="00BC768C">
            <w:pPr>
              <w:pStyle w:val="ListParagraph"/>
              <w:numPr>
                <w:ilvl w:val="1"/>
                <w:numId w:val="63"/>
              </w:numPr>
              <w:spacing w:line="276" w:lineRule="auto"/>
              <w:ind w:left="346"/>
              <w:jc w:val="both"/>
              <w:rPr>
                <w:rFonts w:ascii="Arial" w:eastAsia="Arial" w:hAnsi="Arial" w:cs="Arial"/>
                <w:color w:val="auto"/>
                <w:sz w:val="16"/>
                <w:szCs w:val="16"/>
                <w:lang w:val="en-GB"/>
              </w:rPr>
            </w:pPr>
            <w:r w:rsidRPr="007634CA">
              <w:rPr>
                <w:rFonts w:ascii="Arial" w:eastAsia="Arial" w:hAnsi="Arial" w:cs="Arial"/>
                <w:color w:val="auto"/>
                <w:sz w:val="16"/>
                <w:szCs w:val="16"/>
                <w:lang w:val="en-GB"/>
              </w:rPr>
              <w:t>Indirect beneficiaries (male and female)</w:t>
            </w:r>
          </w:p>
          <w:p w14:paraId="24C223F8" w14:textId="187F25E1" w:rsidR="00E248E6" w:rsidRPr="007634CA" w:rsidRDefault="00E248E6" w:rsidP="00774A51">
            <w:pPr>
              <w:pStyle w:val="ListParagraph"/>
              <w:spacing w:line="276" w:lineRule="auto"/>
              <w:ind w:left="346"/>
              <w:jc w:val="both"/>
              <w:rPr>
                <w:rFonts w:ascii="Arial" w:eastAsia="Arial" w:hAnsi="Arial" w:cs="Arial"/>
                <w:b/>
                <w:bCs/>
                <w:color w:val="auto"/>
                <w:sz w:val="16"/>
                <w:szCs w:val="16"/>
                <w:lang w:val="en-GB"/>
              </w:rPr>
            </w:pPr>
          </w:p>
          <w:p w14:paraId="2106039C" w14:textId="226E7CC5" w:rsidR="00E248E6" w:rsidRPr="007634CA" w:rsidRDefault="00E248E6" w:rsidP="00774A51">
            <w:pPr>
              <w:spacing w:line="276" w:lineRule="auto"/>
              <w:jc w:val="both"/>
              <w:rPr>
                <w:rFonts w:ascii="Arial" w:eastAsia="Arial" w:hAnsi="Arial" w:cs="Arial"/>
                <w:color w:val="000000" w:themeColor="text1"/>
                <w:sz w:val="16"/>
                <w:szCs w:val="16"/>
                <w:lang w:val="en-GB"/>
              </w:rPr>
            </w:pPr>
          </w:p>
        </w:tc>
        <w:tc>
          <w:tcPr>
            <w:tcW w:w="993" w:type="dxa"/>
            <w:tcBorders>
              <w:bottom w:val="single" w:sz="4" w:space="0" w:color="auto"/>
            </w:tcBorders>
          </w:tcPr>
          <w:p w14:paraId="1EA0BA6F" w14:textId="77777777" w:rsidR="00E248E6" w:rsidRPr="007634CA" w:rsidRDefault="00E248E6" w:rsidP="00774A51">
            <w:pPr>
              <w:spacing w:line="276" w:lineRule="auto"/>
              <w:rPr>
                <w:rFonts w:ascii="Arial" w:eastAsia="Arial" w:hAnsi="Arial" w:cs="Arial"/>
                <w:b/>
                <w:bCs/>
                <w:color w:val="auto"/>
                <w:sz w:val="16"/>
                <w:szCs w:val="16"/>
                <w:lang w:val="en-GB"/>
              </w:rPr>
            </w:pPr>
          </w:p>
          <w:p w14:paraId="4522C1F9" w14:textId="77777777" w:rsidR="00E248E6" w:rsidRPr="007634CA" w:rsidRDefault="00E248E6" w:rsidP="00774A51">
            <w:pPr>
              <w:spacing w:line="276" w:lineRule="auto"/>
              <w:rPr>
                <w:rFonts w:ascii="Arial" w:eastAsia="Arial" w:hAnsi="Arial" w:cs="Arial"/>
                <w:b/>
                <w:bCs/>
                <w:color w:val="auto"/>
                <w:sz w:val="16"/>
                <w:szCs w:val="16"/>
                <w:lang w:val="en-GB"/>
              </w:rPr>
            </w:pPr>
          </w:p>
          <w:p w14:paraId="5EF2192B" w14:textId="77777777" w:rsidR="00E248E6" w:rsidRPr="007634CA" w:rsidRDefault="00E248E6" w:rsidP="00774A51">
            <w:pPr>
              <w:spacing w:line="276" w:lineRule="auto"/>
              <w:rPr>
                <w:rFonts w:ascii="Arial" w:eastAsia="Arial" w:hAnsi="Arial" w:cs="Arial"/>
                <w:b/>
                <w:bCs/>
                <w:color w:val="auto"/>
                <w:sz w:val="16"/>
                <w:szCs w:val="16"/>
                <w:lang w:val="en-GB"/>
              </w:rPr>
            </w:pPr>
          </w:p>
          <w:p w14:paraId="3C27DE82" w14:textId="77777777" w:rsidR="00E248E6" w:rsidRPr="007634CA" w:rsidRDefault="00E248E6" w:rsidP="00774A51">
            <w:pPr>
              <w:spacing w:line="276" w:lineRule="auto"/>
              <w:rPr>
                <w:rFonts w:ascii="Arial" w:eastAsia="Arial" w:hAnsi="Arial" w:cs="Arial"/>
                <w:b/>
                <w:bCs/>
                <w:color w:val="auto"/>
                <w:sz w:val="16"/>
                <w:szCs w:val="16"/>
                <w:lang w:val="en-GB"/>
              </w:rPr>
            </w:pPr>
          </w:p>
          <w:p w14:paraId="0FA24136" w14:textId="77777777" w:rsidR="00E248E6" w:rsidRPr="007634CA" w:rsidRDefault="00E248E6" w:rsidP="00774A51">
            <w:pPr>
              <w:spacing w:line="276" w:lineRule="auto"/>
              <w:rPr>
                <w:rFonts w:ascii="Arial" w:eastAsia="Arial" w:hAnsi="Arial" w:cs="Arial"/>
                <w:b/>
                <w:bCs/>
                <w:color w:val="auto"/>
                <w:sz w:val="16"/>
                <w:szCs w:val="16"/>
                <w:lang w:val="en-GB"/>
              </w:rPr>
            </w:pPr>
          </w:p>
          <w:p w14:paraId="18F99D2F" w14:textId="77777777" w:rsidR="00E248E6" w:rsidRPr="007634CA" w:rsidRDefault="00E248E6" w:rsidP="00774A51">
            <w:pPr>
              <w:spacing w:line="276" w:lineRule="auto"/>
              <w:rPr>
                <w:rFonts w:ascii="Arial" w:eastAsia="Arial" w:hAnsi="Arial" w:cs="Arial"/>
                <w:b/>
                <w:bCs/>
                <w:color w:val="auto"/>
                <w:sz w:val="16"/>
                <w:szCs w:val="16"/>
                <w:lang w:val="en-GB"/>
              </w:rPr>
            </w:pPr>
          </w:p>
          <w:p w14:paraId="69896552" w14:textId="77777777" w:rsidR="00E248E6" w:rsidRPr="007634CA" w:rsidRDefault="00E248E6" w:rsidP="00774A51">
            <w:pPr>
              <w:spacing w:line="276" w:lineRule="auto"/>
              <w:rPr>
                <w:rFonts w:ascii="Arial" w:eastAsia="Arial" w:hAnsi="Arial" w:cs="Arial"/>
                <w:b/>
                <w:bCs/>
                <w:color w:val="auto"/>
                <w:sz w:val="16"/>
                <w:szCs w:val="16"/>
                <w:lang w:val="en-GB"/>
              </w:rPr>
            </w:pPr>
          </w:p>
          <w:p w14:paraId="593CCFE1" w14:textId="77777777" w:rsidR="00E248E6" w:rsidRPr="007634CA" w:rsidRDefault="00E248E6" w:rsidP="00774A51">
            <w:pPr>
              <w:spacing w:line="276" w:lineRule="auto"/>
              <w:rPr>
                <w:rFonts w:ascii="Arial" w:eastAsia="Arial" w:hAnsi="Arial" w:cs="Arial"/>
                <w:b/>
                <w:bCs/>
                <w:color w:val="auto"/>
                <w:sz w:val="16"/>
                <w:szCs w:val="16"/>
                <w:lang w:val="en-GB"/>
              </w:rPr>
            </w:pPr>
          </w:p>
          <w:p w14:paraId="4C3EE6C3" w14:textId="77777777" w:rsidR="00E248E6" w:rsidRPr="007634CA" w:rsidRDefault="00E248E6" w:rsidP="00774A51">
            <w:pPr>
              <w:spacing w:line="276" w:lineRule="auto"/>
              <w:rPr>
                <w:rFonts w:ascii="Arial" w:eastAsia="Arial" w:hAnsi="Arial" w:cs="Arial"/>
                <w:b/>
                <w:bCs/>
                <w:color w:val="auto"/>
                <w:sz w:val="16"/>
                <w:szCs w:val="16"/>
                <w:lang w:val="en-GB"/>
              </w:rPr>
            </w:pPr>
          </w:p>
          <w:p w14:paraId="21F2665D" w14:textId="77777777" w:rsidR="00E248E6" w:rsidRPr="007634CA" w:rsidRDefault="00E248E6" w:rsidP="00774A51">
            <w:pPr>
              <w:spacing w:line="276" w:lineRule="auto"/>
              <w:rPr>
                <w:rFonts w:ascii="Arial" w:eastAsia="Arial" w:hAnsi="Arial" w:cs="Arial"/>
                <w:b/>
                <w:bCs/>
                <w:color w:val="auto"/>
                <w:sz w:val="16"/>
                <w:szCs w:val="16"/>
                <w:lang w:val="en-GB"/>
              </w:rPr>
            </w:pPr>
          </w:p>
          <w:p w14:paraId="223F3EDB" w14:textId="77777777" w:rsidR="00E248E6" w:rsidRPr="007634CA" w:rsidRDefault="00E248E6" w:rsidP="00774A51">
            <w:pPr>
              <w:spacing w:line="276" w:lineRule="auto"/>
              <w:rPr>
                <w:rFonts w:ascii="Arial" w:eastAsia="Arial" w:hAnsi="Arial" w:cs="Arial"/>
                <w:b/>
                <w:bCs/>
                <w:color w:val="auto"/>
                <w:sz w:val="16"/>
                <w:szCs w:val="16"/>
                <w:lang w:val="en-GB"/>
              </w:rPr>
            </w:pPr>
          </w:p>
          <w:p w14:paraId="20A80414" w14:textId="77777777" w:rsidR="00E248E6" w:rsidRPr="007634CA" w:rsidRDefault="00E248E6" w:rsidP="00774A51">
            <w:pPr>
              <w:spacing w:line="276" w:lineRule="auto"/>
              <w:rPr>
                <w:rFonts w:ascii="Arial" w:eastAsia="Arial" w:hAnsi="Arial" w:cs="Arial"/>
                <w:b/>
                <w:bCs/>
                <w:color w:val="auto"/>
                <w:sz w:val="16"/>
                <w:szCs w:val="16"/>
                <w:lang w:val="en-GB"/>
              </w:rPr>
            </w:pPr>
            <w:r w:rsidRPr="007634CA">
              <w:rPr>
                <w:rFonts w:ascii="Arial" w:eastAsia="Arial" w:hAnsi="Arial" w:cs="Arial"/>
                <w:b/>
                <w:bCs/>
                <w:color w:val="auto"/>
                <w:sz w:val="16"/>
                <w:szCs w:val="16"/>
                <w:lang w:val="en-GB"/>
              </w:rPr>
              <w:t>0</w:t>
            </w:r>
          </w:p>
          <w:p w14:paraId="70D04EEA" w14:textId="77777777" w:rsidR="00E248E6" w:rsidRPr="007634CA" w:rsidRDefault="00E248E6" w:rsidP="00774A51">
            <w:pPr>
              <w:spacing w:line="276" w:lineRule="auto"/>
              <w:rPr>
                <w:rFonts w:ascii="Arial" w:eastAsia="Arial" w:hAnsi="Arial" w:cs="Arial"/>
                <w:b/>
                <w:bCs/>
                <w:color w:val="auto"/>
                <w:sz w:val="16"/>
                <w:szCs w:val="16"/>
                <w:lang w:val="en-GB"/>
              </w:rPr>
            </w:pPr>
          </w:p>
          <w:p w14:paraId="0213FA7A" w14:textId="77777777" w:rsidR="00E248E6" w:rsidRPr="007634CA" w:rsidRDefault="00E248E6" w:rsidP="00774A51">
            <w:pPr>
              <w:spacing w:line="276" w:lineRule="auto"/>
              <w:rPr>
                <w:rFonts w:ascii="Arial" w:eastAsia="Arial" w:hAnsi="Arial" w:cs="Arial"/>
                <w:b/>
                <w:bCs/>
                <w:color w:val="auto"/>
                <w:sz w:val="16"/>
                <w:szCs w:val="16"/>
                <w:lang w:val="en-GB"/>
              </w:rPr>
            </w:pPr>
          </w:p>
          <w:p w14:paraId="76D5D26F" w14:textId="03F6EC4E" w:rsidR="00E248E6" w:rsidRPr="007634CA" w:rsidRDefault="00E248E6" w:rsidP="00774A51">
            <w:pPr>
              <w:spacing w:line="276" w:lineRule="auto"/>
              <w:rPr>
                <w:rFonts w:ascii="Arial" w:eastAsia="Arial" w:hAnsi="Arial" w:cs="Arial"/>
                <w:b/>
                <w:bCs/>
                <w:color w:val="auto"/>
                <w:sz w:val="16"/>
                <w:szCs w:val="16"/>
                <w:lang w:val="en-GB"/>
              </w:rPr>
            </w:pPr>
            <w:r w:rsidRPr="007634CA">
              <w:rPr>
                <w:rFonts w:ascii="Arial" w:eastAsia="Arial" w:hAnsi="Arial" w:cs="Arial"/>
                <w:b/>
                <w:bCs/>
                <w:color w:val="auto"/>
                <w:sz w:val="16"/>
                <w:szCs w:val="16"/>
                <w:lang w:val="en-GB"/>
              </w:rPr>
              <w:t>0</w:t>
            </w:r>
          </w:p>
          <w:p w14:paraId="1039B034" w14:textId="77777777" w:rsidR="00E248E6" w:rsidRPr="007634CA" w:rsidRDefault="00E248E6" w:rsidP="00774A51">
            <w:pPr>
              <w:spacing w:line="276" w:lineRule="auto"/>
              <w:rPr>
                <w:rFonts w:ascii="Arial" w:eastAsia="Arial" w:hAnsi="Arial" w:cs="Arial"/>
                <w:b/>
                <w:bCs/>
                <w:color w:val="auto"/>
                <w:sz w:val="16"/>
                <w:szCs w:val="16"/>
                <w:lang w:val="en-GB"/>
              </w:rPr>
            </w:pPr>
          </w:p>
          <w:p w14:paraId="1E9333CF" w14:textId="77777777" w:rsidR="00E248E6" w:rsidRPr="007634CA" w:rsidRDefault="00E248E6" w:rsidP="00774A51">
            <w:pPr>
              <w:spacing w:line="276" w:lineRule="auto"/>
              <w:rPr>
                <w:rFonts w:ascii="Arial" w:eastAsia="Arial" w:hAnsi="Arial" w:cs="Arial"/>
                <w:b/>
                <w:bCs/>
                <w:color w:val="auto"/>
                <w:sz w:val="16"/>
                <w:szCs w:val="16"/>
                <w:lang w:val="en-GB"/>
              </w:rPr>
            </w:pPr>
          </w:p>
          <w:p w14:paraId="340290F8" w14:textId="77777777" w:rsidR="00E248E6" w:rsidRPr="007634CA" w:rsidRDefault="00E248E6" w:rsidP="00774A51">
            <w:pPr>
              <w:spacing w:line="276" w:lineRule="auto"/>
              <w:rPr>
                <w:rFonts w:ascii="Arial" w:eastAsia="Arial" w:hAnsi="Arial" w:cs="Arial"/>
                <w:b/>
                <w:bCs/>
                <w:color w:val="auto"/>
                <w:sz w:val="16"/>
                <w:szCs w:val="16"/>
                <w:lang w:val="en-GB"/>
              </w:rPr>
            </w:pPr>
          </w:p>
          <w:p w14:paraId="7EC54153" w14:textId="00550CA6" w:rsidR="00E248E6" w:rsidRPr="007634CA" w:rsidRDefault="00E248E6" w:rsidP="00774A51">
            <w:pPr>
              <w:spacing w:line="276" w:lineRule="auto"/>
              <w:rPr>
                <w:rFonts w:ascii="Arial" w:eastAsia="Arial" w:hAnsi="Arial" w:cs="Arial"/>
                <w:b/>
                <w:bCs/>
                <w:color w:val="auto"/>
                <w:sz w:val="16"/>
                <w:szCs w:val="16"/>
                <w:lang w:val="en-GB"/>
              </w:rPr>
            </w:pPr>
          </w:p>
        </w:tc>
        <w:tc>
          <w:tcPr>
            <w:tcW w:w="1275" w:type="dxa"/>
            <w:tcBorders>
              <w:bottom w:val="single" w:sz="4" w:space="0" w:color="auto"/>
            </w:tcBorders>
            <w:vAlign w:val="center"/>
          </w:tcPr>
          <w:p w14:paraId="2631C50F" w14:textId="6F7D0B9F" w:rsidR="00E248E6" w:rsidRPr="007634CA" w:rsidRDefault="00E248E6" w:rsidP="00774A51">
            <w:pPr>
              <w:spacing w:line="276" w:lineRule="auto"/>
              <w:jc w:val="both"/>
              <w:rPr>
                <w:rFonts w:ascii="Arial" w:eastAsia="Arial" w:hAnsi="Arial" w:cs="Arial"/>
                <w:b/>
                <w:color w:val="FF0000"/>
                <w:sz w:val="16"/>
                <w:szCs w:val="16"/>
                <w:lang w:val="en-GB"/>
              </w:rPr>
            </w:pPr>
            <w:r w:rsidRPr="007634CA">
              <w:rPr>
                <w:rFonts w:ascii="Arial" w:eastAsia="Arial" w:hAnsi="Arial" w:cs="Arial"/>
                <w:b/>
                <w:color w:val="FF0000"/>
                <w:sz w:val="16"/>
                <w:szCs w:val="16"/>
                <w:lang w:val="en-GB"/>
              </w:rPr>
              <w:t xml:space="preserve"> </w:t>
            </w:r>
          </w:p>
          <w:p w14:paraId="58DA29EE" w14:textId="40303E59" w:rsidR="00E248E6" w:rsidRPr="007634CA" w:rsidRDefault="00E248E6" w:rsidP="00774A51">
            <w:pPr>
              <w:spacing w:line="276" w:lineRule="auto"/>
              <w:rPr>
                <w:rFonts w:ascii="Arial" w:eastAsia="Arial" w:hAnsi="Arial" w:cs="Arial"/>
                <w:i/>
                <w:color w:val="000000" w:themeColor="text1"/>
                <w:sz w:val="16"/>
                <w:szCs w:val="16"/>
                <w:lang w:val="en-GB"/>
              </w:rPr>
            </w:pPr>
            <w:r w:rsidRPr="007634CA">
              <w:rPr>
                <w:rFonts w:ascii="Arial" w:eastAsia="Arial" w:hAnsi="Arial" w:cs="Arial"/>
                <w:i/>
                <w:color w:val="000000" w:themeColor="text1"/>
                <w:sz w:val="16"/>
                <w:szCs w:val="16"/>
                <w:lang w:val="en-GB"/>
              </w:rPr>
              <w:t>(a) Direct Beneficiaries Total: 40,000 (estimated</w:t>
            </w:r>
            <w:proofErr w:type="gramStart"/>
            <w:r w:rsidRPr="007634CA">
              <w:rPr>
                <w:rFonts w:ascii="Arial" w:eastAsia="Arial" w:hAnsi="Arial" w:cs="Arial"/>
                <w:i/>
                <w:color w:val="000000" w:themeColor="text1"/>
                <w:sz w:val="16"/>
                <w:szCs w:val="16"/>
                <w:lang w:val="en-GB"/>
              </w:rPr>
              <w:t>);</w:t>
            </w:r>
            <w:proofErr w:type="gramEnd"/>
          </w:p>
          <w:p w14:paraId="44877058" w14:textId="77777777" w:rsidR="00E248E6" w:rsidRPr="007634CA" w:rsidRDefault="00E248E6" w:rsidP="00774A51">
            <w:pPr>
              <w:spacing w:line="276" w:lineRule="auto"/>
              <w:rPr>
                <w:rFonts w:ascii="Arial" w:eastAsia="Arial" w:hAnsi="Arial" w:cs="Arial"/>
                <w:i/>
                <w:color w:val="000000" w:themeColor="text1"/>
                <w:sz w:val="16"/>
                <w:szCs w:val="16"/>
                <w:lang w:val="en-GB"/>
              </w:rPr>
            </w:pPr>
            <w:r w:rsidRPr="007634CA">
              <w:rPr>
                <w:rFonts w:ascii="Arial" w:eastAsia="Arial" w:hAnsi="Arial" w:cs="Arial"/>
                <w:i/>
                <w:color w:val="000000" w:themeColor="text1"/>
                <w:sz w:val="16"/>
                <w:szCs w:val="16"/>
                <w:lang w:val="en-GB"/>
              </w:rPr>
              <w:t>Female: 20,660</w:t>
            </w:r>
          </w:p>
          <w:p w14:paraId="56308459" w14:textId="77777777" w:rsidR="00E248E6" w:rsidRPr="007634CA" w:rsidRDefault="00E248E6" w:rsidP="00774A51">
            <w:pPr>
              <w:spacing w:line="276" w:lineRule="auto"/>
              <w:jc w:val="both"/>
              <w:rPr>
                <w:rFonts w:ascii="Arial" w:eastAsia="Arial" w:hAnsi="Arial" w:cs="Arial"/>
                <w:i/>
                <w:color w:val="000000" w:themeColor="text1"/>
                <w:sz w:val="16"/>
                <w:szCs w:val="16"/>
                <w:lang w:val="en-GB"/>
              </w:rPr>
            </w:pPr>
            <w:r w:rsidRPr="007634CA">
              <w:rPr>
                <w:rFonts w:ascii="Arial" w:eastAsia="Arial" w:hAnsi="Arial" w:cs="Arial"/>
                <w:i/>
                <w:color w:val="000000" w:themeColor="text1"/>
                <w:sz w:val="16"/>
                <w:szCs w:val="16"/>
                <w:lang w:val="en-GB"/>
              </w:rPr>
              <w:t>Male: 19,340</w:t>
            </w:r>
          </w:p>
          <w:p w14:paraId="180B9BF4" w14:textId="6567B250" w:rsidR="00E248E6" w:rsidRPr="007634CA" w:rsidRDefault="00E248E6" w:rsidP="00774A51">
            <w:pPr>
              <w:spacing w:line="276" w:lineRule="auto"/>
              <w:jc w:val="both"/>
              <w:rPr>
                <w:rFonts w:ascii="Arial" w:eastAsia="Arial" w:hAnsi="Arial" w:cs="Arial"/>
                <w:i/>
                <w:color w:val="000000" w:themeColor="text1"/>
                <w:sz w:val="16"/>
                <w:szCs w:val="16"/>
                <w:lang w:val="en-GB"/>
              </w:rPr>
            </w:pPr>
            <w:r w:rsidRPr="007634CA">
              <w:rPr>
                <w:rFonts w:ascii="Arial" w:eastAsia="Arial" w:hAnsi="Arial" w:cs="Arial"/>
                <w:i/>
                <w:color w:val="000000" w:themeColor="text1"/>
                <w:sz w:val="16"/>
                <w:szCs w:val="16"/>
                <w:lang w:val="en-GB"/>
              </w:rPr>
              <w:t>40,000 (est.)</w:t>
            </w:r>
          </w:p>
          <w:p w14:paraId="6DFAFB21" w14:textId="77777777" w:rsidR="00E248E6" w:rsidRPr="007634CA" w:rsidRDefault="00E248E6" w:rsidP="00774A51">
            <w:pPr>
              <w:spacing w:line="276" w:lineRule="auto"/>
              <w:jc w:val="both"/>
              <w:rPr>
                <w:rFonts w:ascii="Arial" w:eastAsia="Arial" w:hAnsi="Arial" w:cs="Arial"/>
                <w:i/>
                <w:color w:val="000000" w:themeColor="text1"/>
                <w:sz w:val="16"/>
                <w:szCs w:val="16"/>
                <w:lang w:val="en-GB"/>
              </w:rPr>
            </w:pPr>
          </w:p>
          <w:p w14:paraId="276F6942" w14:textId="4F85282D" w:rsidR="00E248E6" w:rsidRPr="007634CA" w:rsidRDefault="00E248E6" w:rsidP="00774A51">
            <w:pPr>
              <w:spacing w:line="276" w:lineRule="auto"/>
              <w:rPr>
                <w:rFonts w:ascii="Arial" w:eastAsia="Arial" w:hAnsi="Arial" w:cs="Arial"/>
                <w:i/>
                <w:color w:val="000000" w:themeColor="text1"/>
                <w:sz w:val="16"/>
                <w:szCs w:val="16"/>
                <w:lang w:val="en-GB"/>
              </w:rPr>
            </w:pPr>
            <w:r w:rsidRPr="007634CA">
              <w:rPr>
                <w:rFonts w:ascii="Arial" w:eastAsia="Arial" w:hAnsi="Arial" w:cs="Arial"/>
                <w:i/>
                <w:color w:val="000000" w:themeColor="text1"/>
                <w:sz w:val="16"/>
                <w:szCs w:val="16"/>
                <w:lang w:val="en-GB"/>
              </w:rPr>
              <w:t>(b) Indirect Beneficiaries Total: 100,000.</w:t>
            </w:r>
          </w:p>
          <w:p w14:paraId="7825C6F0" w14:textId="77777777" w:rsidR="00E248E6" w:rsidRPr="007634CA" w:rsidRDefault="00E248E6" w:rsidP="00774A51">
            <w:pPr>
              <w:spacing w:line="276" w:lineRule="auto"/>
              <w:rPr>
                <w:rFonts w:ascii="Arial" w:eastAsia="Arial" w:hAnsi="Arial" w:cs="Arial"/>
                <w:i/>
                <w:color w:val="000000" w:themeColor="text1"/>
                <w:sz w:val="16"/>
                <w:szCs w:val="16"/>
                <w:lang w:val="en-GB"/>
              </w:rPr>
            </w:pPr>
            <w:r w:rsidRPr="007634CA">
              <w:rPr>
                <w:rFonts w:ascii="Arial" w:eastAsia="Arial" w:hAnsi="Arial" w:cs="Arial"/>
                <w:i/>
                <w:color w:val="000000" w:themeColor="text1"/>
                <w:sz w:val="16"/>
                <w:szCs w:val="16"/>
                <w:lang w:val="en-GB"/>
              </w:rPr>
              <w:t>Female: 51,650</w:t>
            </w:r>
          </w:p>
          <w:p w14:paraId="59E5B6CB" w14:textId="5C4DEDB5" w:rsidR="00E248E6" w:rsidRPr="007634CA" w:rsidRDefault="00E248E6" w:rsidP="00774A51">
            <w:pPr>
              <w:spacing w:line="276" w:lineRule="auto"/>
              <w:jc w:val="both"/>
              <w:rPr>
                <w:rFonts w:ascii="Arial" w:eastAsia="Arial" w:hAnsi="Arial" w:cs="Arial"/>
                <w:i/>
                <w:color w:val="000000" w:themeColor="text1"/>
                <w:sz w:val="16"/>
                <w:szCs w:val="16"/>
                <w:lang w:val="en-GB"/>
              </w:rPr>
            </w:pPr>
            <w:r w:rsidRPr="007634CA">
              <w:rPr>
                <w:rFonts w:ascii="Arial" w:eastAsia="Arial" w:hAnsi="Arial" w:cs="Arial"/>
                <w:i/>
                <w:color w:val="000000" w:themeColor="text1"/>
                <w:sz w:val="16"/>
                <w:szCs w:val="16"/>
                <w:lang w:val="en-GB"/>
              </w:rPr>
              <w:t>Male: 48,350</w:t>
            </w:r>
          </w:p>
          <w:p w14:paraId="7067FC32" w14:textId="5B58ADE5" w:rsidR="00E248E6" w:rsidRPr="007634CA" w:rsidRDefault="00E248E6" w:rsidP="00774A51">
            <w:pPr>
              <w:spacing w:line="276" w:lineRule="auto"/>
              <w:jc w:val="both"/>
              <w:rPr>
                <w:rFonts w:ascii="Arial" w:eastAsia="Arial" w:hAnsi="Arial" w:cs="Arial"/>
                <w:color w:val="000000" w:themeColor="text1"/>
                <w:sz w:val="16"/>
                <w:szCs w:val="16"/>
                <w:lang w:val="en-GB"/>
              </w:rPr>
            </w:pPr>
            <w:r w:rsidRPr="007634CA">
              <w:rPr>
                <w:rFonts w:ascii="Arial" w:eastAsia="Arial" w:hAnsi="Arial" w:cs="Arial"/>
                <w:i/>
                <w:color w:val="000000" w:themeColor="text1"/>
                <w:sz w:val="16"/>
                <w:szCs w:val="16"/>
                <w:lang w:val="en-GB"/>
              </w:rPr>
              <w:t>(est.)</w:t>
            </w:r>
            <w:r w:rsidRPr="007634CA">
              <w:rPr>
                <w:rFonts w:asciiTheme="minorHAnsi" w:eastAsiaTheme="minorEastAsia" w:hAnsiTheme="minorHAnsi" w:cstheme="minorBidi"/>
                <w:color w:val="000000" w:themeColor="text1"/>
                <w:sz w:val="20"/>
                <w:szCs w:val="20"/>
                <w:vertAlign w:val="superscript"/>
                <w:lang w:val="en-GB"/>
              </w:rPr>
              <w:footnoteReference w:id="142"/>
            </w:r>
          </w:p>
        </w:tc>
        <w:tc>
          <w:tcPr>
            <w:tcW w:w="1276" w:type="dxa"/>
            <w:vMerge w:val="restart"/>
            <w:vAlign w:val="center"/>
          </w:tcPr>
          <w:p w14:paraId="6042EB7F" w14:textId="29C5C0EC" w:rsidR="00E248E6" w:rsidRPr="007634CA" w:rsidRDefault="00E248E6" w:rsidP="00774A51">
            <w:pPr>
              <w:spacing w:line="276" w:lineRule="auto"/>
              <w:jc w:val="both"/>
              <w:rPr>
                <w:rFonts w:ascii="Arial" w:eastAsia="Arial" w:hAnsi="Arial" w:cs="Arial"/>
                <w:color w:val="auto"/>
                <w:sz w:val="16"/>
                <w:szCs w:val="16"/>
                <w:lang w:val="en-GB"/>
              </w:rPr>
            </w:pPr>
            <w:r w:rsidRPr="007634CA">
              <w:rPr>
                <w:rFonts w:ascii="Arial" w:eastAsia="Arial" w:hAnsi="Arial" w:cs="Arial"/>
                <w:color w:val="auto"/>
                <w:sz w:val="16"/>
                <w:szCs w:val="16"/>
                <w:lang w:val="en-GB"/>
              </w:rPr>
              <w:t>Project records, grantees proposal, progress reports, baseline</w:t>
            </w:r>
          </w:p>
        </w:tc>
        <w:tc>
          <w:tcPr>
            <w:tcW w:w="1820" w:type="dxa"/>
            <w:vMerge w:val="restart"/>
            <w:vAlign w:val="center"/>
          </w:tcPr>
          <w:p w14:paraId="7F9F6018" w14:textId="59B64605" w:rsidR="00E248E6" w:rsidRPr="007634CA" w:rsidRDefault="00E248E6" w:rsidP="00774A51">
            <w:pPr>
              <w:spacing w:line="276" w:lineRule="auto"/>
              <w:rPr>
                <w:rFonts w:ascii="Arial" w:eastAsia="Arial" w:hAnsi="Arial" w:cs="Arial"/>
                <w:color w:val="auto"/>
                <w:sz w:val="16"/>
                <w:szCs w:val="16"/>
                <w:lang w:val="en-GB"/>
              </w:rPr>
            </w:pPr>
            <w:r w:rsidRPr="007634CA">
              <w:rPr>
                <w:rFonts w:ascii="Arial" w:eastAsia="Arial" w:hAnsi="Arial" w:cs="Arial"/>
                <w:b/>
                <w:bCs/>
                <w:color w:val="auto"/>
                <w:sz w:val="16"/>
                <w:szCs w:val="16"/>
                <w:lang w:val="en-GB"/>
              </w:rPr>
              <w:t xml:space="preserve">     Assumptions</w:t>
            </w:r>
          </w:p>
          <w:p w14:paraId="10B8F9C0" w14:textId="349C325A" w:rsidR="00E248E6" w:rsidRPr="007634CA" w:rsidRDefault="00E248E6" w:rsidP="00774A51">
            <w:pPr>
              <w:spacing w:line="276" w:lineRule="auto"/>
              <w:jc w:val="center"/>
              <w:rPr>
                <w:rFonts w:ascii="Arial" w:eastAsia="Arial" w:hAnsi="Arial" w:cs="Arial"/>
                <w:color w:val="auto"/>
                <w:sz w:val="16"/>
                <w:szCs w:val="16"/>
                <w:lang w:val="en-GB"/>
              </w:rPr>
            </w:pPr>
            <w:r w:rsidRPr="007634CA">
              <w:rPr>
                <w:rFonts w:ascii="Arial" w:eastAsia="Arial" w:hAnsi="Arial" w:cs="Arial"/>
                <w:color w:val="auto"/>
                <w:sz w:val="16"/>
                <w:szCs w:val="16"/>
                <w:lang w:val="en-GB"/>
              </w:rPr>
              <w:t xml:space="preserve">Baseline data on beneficiaries will be available or collected early in the project. </w:t>
            </w:r>
          </w:p>
          <w:p w14:paraId="5456AF0D" w14:textId="1512B19D" w:rsidR="00E248E6" w:rsidRPr="007634CA" w:rsidRDefault="00E248E6" w:rsidP="00774A51">
            <w:pPr>
              <w:spacing w:line="276" w:lineRule="auto"/>
              <w:jc w:val="center"/>
              <w:rPr>
                <w:rFonts w:ascii="Arial" w:eastAsia="Arial" w:hAnsi="Arial" w:cs="Arial"/>
                <w:b/>
                <w:bCs/>
                <w:color w:val="auto"/>
                <w:sz w:val="16"/>
                <w:szCs w:val="16"/>
                <w:lang w:val="en-GB"/>
              </w:rPr>
            </w:pPr>
            <w:r w:rsidRPr="007634CA">
              <w:rPr>
                <w:rFonts w:ascii="Arial" w:eastAsia="Arial" w:hAnsi="Arial" w:cs="Arial"/>
                <w:b/>
                <w:bCs/>
                <w:color w:val="auto"/>
                <w:sz w:val="16"/>
                <w:szCs w:val="16"/>
                <w:lang w:val="en-GB"/>
              </w:rPr>
              <w:t>Risks:</w:t>
            </w:r>
          </w:p>
          <w:p w14:paraId="02513F2E" w14:textId="4420CF60" w:rsidR="00E248E6" w:rsidRPr="007634CA" w:rsidRDefault="00E248E6" w:rsidP="00774A51">
            <w:pPr>
              <w:spacing w:line="276" w:lineRule="auto"/>
              <w:jc w:val="center"/>
              <w:rPr>
                <w:rFonts w:ascii="Arial" w:eastAsia="Arial" w:hAnsi="Arial" w:cs="Arial"/>
                <w:b/>
                <w:bCs/>
                <w:color w:val="auto"/>
                <w:sz w:val="16"/>
                <w:szCs w:val="16"/>
              </w:rPr>
            </w:pPr>
            <w:r w:rsidRPr="007634CA">
              <w:rPr>
                <w:rFonts w:ascii="Arial" w:eastAsia="Arial" w:hAnsi="Arial" w:cs="Arial"/>
                <w:color w:val="auto"/>
                <w:sz w:val="16"/>
                <w:szCs w:val="16"/>
              </w:rPr>
              <w:t>Grantees may have limited or no capacity to do so without technical support.</w:t>
            </w:r>
            <w:r w:rsidRPr="007634CA">
              <w:rPr>
                <w:rFonts w:ascii="Arial" w:eastAsia="Arial" w:hAnsi="Arial" w:cs="Arial"/>
                <w:b/>
                <w:bCs/>
                <w:color w:val="auto"/>
                <w:sz w:val="16"/>
                <w:szCs w:val="16"/>
              </w:rPr>
              <w:t xml:space="preserve">  </w:t>
            </w:r>
          </w:p>
        </w:tc>
      </w:tr>
      <w:tr w:rsidR="00E248E6" w:rsidRPr="007634CA" w14:paraId="350C4201" w14:textId="77777777" w:rsidTr="00223C05">
        <w:trPr>
          <w:trHeight w:val="5132"/>
        </w:trPr>
        <w:tc>
          <w:tcPr>
            <w:tcW w:w="2547" w:type="dxa"/>
            <w:vMerge/>
            <w:vAlign w:val="center"/>
          </w:tcPr>
          <w:p w14:paraId="587B18C4" w14:textId="77777777" w:rsidR="00E248E6" w:rsidRPr="007634CA" w:rsidRDefault="00E248E6" w:rsidP="00774A51">
            <w:pPr>
              <w:spacing w:line="276" w:lineRule="auto"/>
              <w:jc w:val="both"/>
              <w:rPr>
                <w:rFonts w:ascii="Arial" w:eastAsia="Arial" w:hAnsi="Arial" w:cs="Arial"/>
                <w:color w:val="auto"/>
                <w:sz w:val="16"/>
                <w:szCs w:val="16"/>
                <w:lang w:val="en-GB"/>
              </w:rPr>
            </w:pPr>
          </w:p>
        </w:tc>
        <w:tc>
          <w:tcPr>
            <w:tcW w:w="1984" w:type="dxa"/>
            <w:tcBorders>
              <w:top w:val="single" w:sz="4" w:space="0" w:color="auto"/>
            </w:tcBorders>
            <w:vAlign w:val="center"/>
          </w:tcPr>
          <w:p w14:paraId="3D84A9D3" w14:textId="05BCE892" w:rsidR="00223C05" w:rsidRPr="007634CA" w:rsidRDefault="001E2E32" w:rsidP="00BC768C">
            <w:pPr>
              <w:spacing w:line="276" w:lineRule="auto"/>
              <w:rPr>
                <w:rFonts w:ascii="Arial" w:eastAsia="Arial" w:hAnsi="Arial" w:cs="Arial"/>
                <w:color w:val="000000" w:themeColor="text1"/>
                <w:sz w:val="16"/>
                <w:szCs w:val="16"/>
              </w:rPr>
            </w:pPr>
            <w:r w:rsidRPr="007634CA">
              <w:rPr>
                <w:rFonts w:ascii="Arial" w:eastAsia="Arial" w:hAnsi="Arial" w:cs="Arial"/>
                <w:color w:val="000000" w:themeColor="text1"/>
                <w:sz w:val="16"/>
                <w:szCs w:val="16"/>
              </w:rPr>
              <w:t xml:space="preserve">02: </w:t>
            </w:r>
            <w:r w:rsidR="0020574B" w:rsidRPr="007634CA">
              <w:rPr>
                <w:rFonts w:ascii="Arial" w:eastAsia="Arial" w:hAnsi="Arial" w:cs="Arial"/>
                <w:color w:val="000000" w:themeColor="text1"/>
                <w:sz w:val="16"/>
                <w:szCs w:val="16"/>
              </w:rPr>
              <w:t>N</w:t>
            </w:r>
            <w:r w:rsidR="007315B7" w:rsidRPr="007634CA">
              <w:rPr>
                <w:rFonts w:ascii="Arial" w:eastAsia="Arial" w:hAnsi="Arial" w:cs="Arial"/>
                <w:color w:val="000000" w:themeColor="text1"/>
                <w:sz w:val="16"/>
                <w:szCs w:val="16"/>
              </w:rPr>
              <w:t>umber</w:t>
            </w:r>
            <w:r w:rsidR="0020574B" w:rsidRPr="007634CA">
              <w:rPr>
                <w:rFonts w:ascii="Arial" w:eastAsia="Arial" w:hAnsi="Arial" w:cs="Arial"/>
                <w:color w:val="000000" w:themeColor="text1"/>
                <w:sz w:val="16"/>
                <w:szCs w:val="16"/>
              </w:rPr>
              <w:t xml:space="preserve"> of supported adaptation innovations</w:t>
            </w:r>
            <w:r w:rsidR="007315B7" w:rsidRPr="007634CA">
              <w:rPr>
                <w:rFonts w:ascii="Arial" w:eastAsia="Arial" w:hAnsi="Arial" w:cs="Arial"/>
                <w:color w:val="000000" w:themeColor="text1"/>
                <w:sz w:val="16"/>
                <w:szCs w:val="16"/>
              </w:rPr>
              <w:t>/number of adaptation assets created</w:t>
            </w:r>
            <w:r w:rsidR="001A2FBA" w:rsidRPr="007634CA">
              <w:rPr>
                <w:rFonts w:ascii="Arial" w:eastAsia="Arial" w:hAnsi="Arial" w:cs="Arial"/>
                <w:color w:val="000000" w:themeColor="text1"/>
                <w:sz w:val="16"/>
                <w:szCs w:val="16"/>
              </w:rPr>
              <w:t xml:space="preserve"> or strengthened</w:t>
            </w:r>
            <w:r w:rsidR="0020574B" w:rsidRPr="007634CA">
              <w:rPr>
                <w:rFonts w:ascii="Arial" w:eastAsia="Arial" w:hAnsi="Arial" w:cs="Arial"/>
                <w:color w:val="000000" w:themeColor="text1"/>
                <w:sz w:val="16"/>
                <w:szCs w:val="16"/>
              </w:rPr>
              <w:t xml:space="preserve"> that contribute to</w:t>
            </w:r>
            <w:r w:rsidR="00D303D9" w:rsidRPr="007634CA">
              <w:rPr>
                <w:rFonts w:ascii="Arial" w:eastAsia="Arial" w:hAnsi="Arial" w:cs="Arial"/>
                <w:color w:val="000000" w:themeColor="text1"/>
                <w:sz w:val="16"/>
                <w:szCs w:val="16"/>
              </w:rPr>
              <w:t>:</w:t>
            </w:r>
            <w:r w:rsidR="0020574B" w:rsidRPr="007634CA">
              <w:rPr>
                <w:rFonts w:ascii="Arial" w:eastAsia="Arial" w:hAnsi="Arial" w:cs="Arial"/>
                <w:color w:val="000000" w:themeColor="text1"/>
                <w:sz w:val="16"/>
                <w:szCs w:val="16"/>
              </w:rPr>
              <w:t xml:space="preserve"> </w:t>
            </w:r>
          </w:p>
          <w:p w14:paraId="60F34D38" w14:textId="3A2365C0" w:rsidR="00223C05" w:rsidRPr="007634CA" w:rsidRDefault="001A2FBA" w:rsidP="00223C05">
            <w:pPr>
              <w:pStyle w:val="ListParagraph"/>
              <w:numPr>
                <w:ilvl w:val="1"/>
                <w:numId w:val="62"/>
              </w:numPr>
              <w:tabs>
                <w:tab w:val="left" w:pos="316"/>
              </w:tabs>
              <w:spacing w:line="276" w:lineRule="auto"/>
              <w:ind w:left="46" w:firstLine="0"/>
              <w:jc w:val="both"/>
              <w:rPr>
                <w:rFonts w:ascii="Arial" w:eastAsia="Arial" w:hAnsi="Arial" w:cs="Arial"/>
                <w:color w:val="000000" w:themeColor="text1"/>
                <w:sz w:val="16"/>
                <w:szCs w:val="16"/>
              </w:rPr>
            </w:pPr>
            <w:r w:rsidRPr="007634CA">
              <w:rPr>
                <w:rFonts w:ascii="Arial" w:eastAsia="Arial" w:hAnsi="Arial" w:cs="Arial"/>
                <w:color w:val="000000" w:themeColor="text1"/>
                <w:sz w:val="16"/>
                <w:szCs w:val="16"/>
              </w:rPr>
              <w:t>resilience</w:t>
            </w:r>
            <w:r w:rsidR="00F070CB" w:rsidRPr="007634CA">
              <w:rPr>
                <w:rFonts w:ascii="Arial" w:eastAsia="Arial" w:hAnsi="Arial" w:cs="Arial"/>
                <w:color w:val="000000" w:themeColor="text1"/>
                <w:sz w:val="16"/>
                <w:szCs w:val="16"/>
              </w:rPr>
              <w:t xml:space="preserve"> of ecosyst</w:t>
            </w:r>
            <w:r w:rsidR="004F10B4" w:rsidRPr="007634CA">
              <w:rPr>
                <w:rFonts w:ascii="Arial" w:eastAsia="Arial" w:hAnsi="Arial" w:cs="Arial"/>
                <w:color w:val="000000" w:themeColor="text1"/>
                <w:sz w:val="16"/>
                <w:szCs w:val="16"/>
              </w:rPr>
              <w:t>e</w:t>
            </w:r>
            <w:r w:rsidR="00F070CB" w:rsidRPr="007634CA">
              <w:rPr>
                <w:rFonts w:ascii="Arial" w:eastAsia="Arial" w:hAnsi="Arial" w:cs="Arial"/>
                <w:color w:val="000000" w:themeColor="text1"/>
                <w:sz w:val="16"/>
                <w:szCs w:val="16"/>
              </w:rPr>
              <w:t>ms/ecosystem services</w:t>
            </w:r>
          </w:p>
          <w:p w14:paraId="057203DA" w14:textId="04734E7D" w:rsidR="00223C05" w:rsidRPr="007634CA" w:rsidRDefault="0020574B" w:rsidP="00223C05">
            <w:pPr>
              <w:pStyle w:val="ListParagraph"/>
              <w:numPr>
                <w:ilvl w:val="1"/>
                <w:numId w:val="62"/>
              </w:numPr>
              <w:tabs>
                <w:tab w:val="left" w:pos="316"/>
              </w:tabs>
              <w:spacing w:line="276" w:lineRule="auto"/>
              <w:ind w:left="46" w:firstLine="0"/>
              <w:jc w:val="both"/>
              <w:rPr>
                <w:rFonts w:ascii="Arial" w:eastAsia="Arial" w:hAnsi="Arial" w:cs="Arial"/>
                <w:color w:val="000000" w:themeColor="text1"/>
                <w:sz w:val="16"/>
                <w:szCs w:val="16"/>
              </w:rPr>
            </w:pPr>
            <w:r w:rsidRPr="007634CA">
              <w:rPr>
                <w:rFonts w:ascii="Arial" w:eastAsia="Arial" w:hAnsi="Arial" w:cs="Arial"/>
                <w:color w:val="000000" w:themeColor="text1"/>
                <w:sz w:val="16"/>
                <w:szCs w:val="16"/>
              </w:rPr>
              <w:t>climate-resilient livelihoods.</w:t>
            </w:r>
          </w:p>
        </w:tc>
        <w:tc>
          <w:tcPr>
            <w:tcW w:w="993" w:type="dxa"/>
            <w:tcBorders>
              <w:top w:val="single" w:sz="4" w:space="0" w:color="auto"/>
            </w:tcBorders>
          </w:tcPr>
          <w:p w14:paraId="37E00FC7" w14:textId="77777777" w:rsidR="00223C05" w:rsidRPr="007634CA" w:rsidRDefault="00223C05" w:rsidP="00223C05">
            <w:pPr>
              <w:spacing w:line="276" w:lineRule="auto"/>
              <w:rPr>
                <w:rFonts w:ascii="Arial" w:eastAsia="Arial" w:hAnsi="Arial" w:cs="Arial"/>
                <w:b/>
                <w:bCs/>
                <w:color w:val="auto"/>
                <w:sz w:val="16"/>
                <w:szCs w:val="16"/>
                <w:lang w:val="en-GB"/>
              </w:rPr>
            </w:pPr>
          </w:p>
          <w:p w14:paraId="22E6B87C" w14:textId="77777777" w:rsidR="00223C05" w:rsidRPr="007634CA" w:rsidRDefault="00223C05" w:rsidP="00223C05">
            <w:pPr>
              <w:spacing w:line="276" w:lineRule="auto"/>
              <w:rPr>
                <w:rFonts w:ascii="Arial" w:eastAsia="Arial" w:hAnsi="Arial" w:cs="Arial"/>
                <w:b/>
                <w:bCs/>
                <w:color w:val="auto"/>
                <w:sz w:val="16"/>
                <w:szCs w:val="16"/>
                <w:lang w:val="en-GB"/>
              </w:rPr>
            </w:pPr>
          </w:p>
          <w:p w14:paraId="75AAE0CB" w14:textId="77777777" w:rsidR="00223C05" w:rsidRPr="007634CA" w:rsidRDefault="00223C05" w:rsidP="00223C05">
            <w:pPr>
              <w:spacing w:line="276" w:lineRule="auto"/>
              <w:rPr>
                <w:rFonts w:ascii="Arial" w:eastAsia="Arial" w:hAnsi="Arial" w:cs="Arial"/>
                <w:b/>
                <w:bCs/>
                <w:color w:val="auto"/>
                <w:sz w:val="16"/>
                <w:szCs w:val="16"/>
                <w:lang w:val="en-GB"/>
              </w:rPr>
            </w:pPr>
          </w:p>
          <w:p w14:paraId="537D624F" w14:textId="77777777" w:rsidR="00223C05" w:rsidRPr="007634CA" w:rsidRDefault="00223C05" w:rsidP="00223C05">
            <w:pPr>
              <w:spacing w:line="276" w:lineRule="auto"/>
              <w:rPr>
                <w:rFonts w:ascii="Arial" w:eastAsia="Arial" w:hAnsi="Arial" w:cs="Arial"/>
                <w:b/>
                <w:bCs/>
                <w:color w:val="auto"/>
                <w:sz w:val="16"/>
                <w:szCs w:val="16"/>
                <w:lang w:val="en-GB"/>
              </w:rPr>
            </w:pPr>
          </w:p>
          <w:p w14:paraId="1887F58C" w14:textId="77777777" w:rsidR="00223C05" w:rsidRPr="007634CA" w:rsidRDefault="00223C05" w:rsidP="00223C05">
            <w:pPr>
              <w:spacing w:line="276" w:lineRule="auto"/>
              <w:rPr>
                <w:rFonts w:ascii="Arial" w:eastAsia="Arial" w:hAnsi="Arial" w:cs="Arial"/>
                <w:b/>
                <w:bCs/>
                <w:color w:val="auto"/>
                <w:sz w:val="16"/>
                <w:szCs w:val="16"/>
                <w:lang w:val="en-GB"/>
              </w:rPr>
            </w:pPr>
          </w:p>
          <w:p w14:paraId="06E17111" w14:textId="77777777" w:rsidR="00223C05" w:rsidRPr="007634CA" w:rsidRDefault="00223C05" w:rsidP="00223C05">
            <w:pPr>
              <w:spacing w:line="276" w:lineRule="auto"/>
              <w:rPr>
                <w:rFonts w:ascii="Arial" w:eastAsia="Arial" w:hAnsi="Arial" w:cs="Arial"/>
                <w:b/>
                <w:bCs/>
                <w:color w:val="auto"/>
                <w:sz w:val="16"/>
                <w:szCs w:val="16"/>
                <w:lang w:val="en-GB"/>
              </w:rPr>
            </w:pPr>
          </w:p>
          <w:p w14:paraId="5C30150B" w14:textId="77777777" w:rsidR="00223C05" w:rsidRPr="007634CA" w:rsidRDefault="00223C05" w:rsidP="00223C05">
            <w:pPr>
              <w:spacing w:line="276" w:lineRule="auto"/>
              <w:rPr>
                <w:rFonts w:ascii="Arial" w:eastAsia="Arial" w:hAnsi="Arial" w:cs="Arial"/>
                <w:b/>
                <w:bCs/>
                <w:color w:val="auto"/>
                <w:sz w:val="16"/>
                <w:szCs w:val="16"/>
                <w:lang w:val="en-GB"/>
              </w:rPr>
            </w:pPr>
          </w:p>
          <w:p w14:paraId="54CDA4A9" w14:textId="77777777" w:rsidR="007634CA" w:rsidRDefault="007634CA" w:rsidP="00223C05">
            <w:pPr>
              <w:spacing w:line="276" w:lineRule="auto"/>
              <w:rPr>
                <w:rFonts w:ascii="Arial" w:eastAsia="Arial" w:hAnsi="Arial" w:cs="Arial"/>
                <w:b/>
                <w:bCs/>
                <w:color w:val="auto"/>
                <w:sz w:val="16"/>
                <w:szCs w:val="16"/>
                <w:lang w:val="en-GB"/>
              </w:rPr>
            </w:pPr>
          </w:p>
          <w:p w14:paraId="6A5EFC19" w14:textId="77777777" w:rsidR="007634CA" w:rsidRDefault="007634CA" w:rsidP="00223C05">
            <w:pPr>
              <w:spacing w:line="276" w:lineRule="auto"/>
              <w:rPr>
                <w:rFonts w:ascii="Arial" w:eastAsia="Arial" w:hAnsi="Arial" w:cs="Arial"/>
                <w:b/>
                <w:bCs/>
                <w:color w:val="auto"/>
                <w:sz w:val="16"/>
                <w:szCs w:val="16"/>
                <w:lang w:val="en-GB"/>
              </w:rPr>
            </w:pPr>
          </w:p>
          <w:p w14:paraId="14130D9C" w14:textId="77777777" w:rsidR="007634CA" w:rsidRDefault="007634CA" w:rsidP="00223C05">
            <w:pPr>
              <w:spacing w:line="276" w:lineRule="auto"/>
              <w:rPr>
                <w:rFonts w:ascii="Arial" w:eastAsia="Arial" w:hAnsi="Arial" w:cs="Arial"/>
                <w:b/>
                <w:bCs/>
                <w:color w:val="auto"/>
                <w:sz w:val="16"/>
                <w:szCs w:val="16"/>
                <w:lang w:val="en-GB"/>
              </w:rPr>
            </w:pPr>
          </w:p>
          <w:p w14:paraId="5A6EA88F" w14:textId="77777777" w:rsidR="007634CA" w:rsidRDefault="007634CA" w:rsidP="00223C05">
            <w:pPr>
              <w:spacing w:line="276" w:lineRule="auto"/>
              <w:rPr>
                <w:rFonts w:ascii="Arial" w:eastAsia="Arial" w:hAnsi="Arial" w:cs="Arial"/>
                <w:b/>
                <w:bCs/>
                <w:color w:val="auto"/>
                <w:sz w:val="16"/>
                <w:szCs w:val="16"/>
                <w:lang w:val="en-GB"/>
              </w:rPr>
            </w:pPr>
          </w:p>
          <w:p w14:paraId="1AA22C92" w14:textId="77777777" w:rsidR="007634CA" w:rsidRDefault="007634CA" w:rsidP="00223C05">
            <w:pPr>
              <w:spacing w:line="276" w:lineRule="auto"/>
              <w:rPr>
                <w:rFonts w:ascii="Arial" w:eastAsia="Arial" w:hAnsi="Arial" w:cs="Arial"/>
                <w:b/>
                <w:bCs/>
                <w:color w:val="auto"/>
                <w:sz w:val="16"/>
                <w:szCs w:val="16"/>
                <w:lang w:val="en-GB"/>
              </w:rPr>
            </w:pPr>
          </w:p>
          <w:p w14:paraId="135308C7" w14:textId="77777777" w:rsidR="007634CA" w:rsidRDefault="007634CA" w:rsidP="00223C05">
            <w:pPr>
              <w:spacing w:line="276" w:lineRule="auto"/>
              <w:rPr>
                <w:rFonts w:ascii="Arial" w:eastAsia="Arial" w:hAnsi="Arial" w:cs="Arial"/>
                <w:b/>
                <w:bCs/>
                <w:color w:val="auto"/>
                <w:sz w:val="16"/>
                <w:szCs w:val="16"/>
                <w:lang w:val="en-GB"/>
              </w:rPr>
            </w:pPr>
          </w:p>
          <w:p w14:paraId="3E7EC1AE" w14:textId="77777777" w:rsidR="008200B1" w:rsidRDefault="00094320" w:rsidP="00223C05">
            <w:pPr>
              <w:spacing w:line="276" w:lineRule="auto"/>
              <w:rPr>
                <w:rFonts w:ascii="Arial" w:eastAsia="Arial" w:hAnsi="Arial" w:cs="Arial"/>
                <w:b/>
                <w:bCs/>
                <w:color w:val="auto"/>
                <w:sz w:val="16"/>
                <w:szCs w:val="16"/>
                <w:lang w:val="en-GB"/>
              </w:rPr>
            </w:pPr>
            <w:r w:rsidRPr="007634CA">
              <w:rPr>
                <w:rFonts w:ascii="Arial" w:eastAsia="Arial" w:hAnsi="Arial" w:cs="Arial"/>
                <w:b/>
                <w:bCs/>
                <w:color w:val="auto"/>
                <w:sz w:val="16"/>
                <w:szCs w:val="16"/>
                <w:lang w:val="en-GB"/>
              </w:rPr>
              <w:t>0</w:t>
            </w:r>
          </w:p>
          <w:p w14:paraId="663AD12F" w14:textId="77777777" w:rsidR="007634CA" w:rsidRDefault="007634CA" w:rsidP="00223C05">
            <w:pPr>
              <w:spacing w:line="276" w:lineRule="auto"/>
              <w:rPr>
                <w:rFonts w:ascii="Arial" w:eastAsia="Arial" w:hAnsi="Arial" w:cs="Arial"/>
                <w:b/>
                <w:bCs/>
                <w:color w:val="auto"/>
                <w:sz w:val="16"/>
                <w:szCs w:val="16"/>
                <w:lang w:val="en-GB"/>
              </w:rPr>
            </w:pPr>
          </w:p>
          <w:p w14:paraId="06DEF71D" w14:textId="77777777" w:rsidR="007634CA" w:rsidRDefault="007634CA" w:rsidP="00223C05">
            <w:pPr>
              <w:spacing w:line="276" w:lineRule="auto"/>
              <w:rPr>
                <w:rFonts w:ascii="Arial" w:eastAsia="Arial" w:hAnsi="Arial" w:cs="Arial"/>
                <w:b/>
                <w:bCs/>
                <w:color w:val="auto"/>
                <w:sz w:val="16"/>
                <w:szCs w:val="16"/>
                <w:lang w:val="en-GB"/>
              </w:rPr>
            </w:pPr>
          </w:p>
          <w:p w14:paraId="020A8436" w14:textId="32BAB6D4" w:rsidR="007634CA" w:rsidRPr="007634CA" w:rsidRDefault="007634CA" w:rsidP="00223C05">
            <w:pPr>
              <w:spacing w:line="276" w:lineRule="auto"/>
              <w:rPr>
                <w:rFonts w:ascii="Arial" w:eastAsia="Arial" w:hAnsi="Arial" w:cs="Arial"/>
                <w:b/>
                <w:bCs/>
                <w:color w:val="auto"/>
                <w:sz w:val="16"/>
                <w:szCs w:val="16"/>
                <w:lang w:val="en-GB"/>
              </w:rPr>
            </w:pPr>
            <w:r>
              <w:rPr>
                <w:rFonts w:ascii="Arial" w:eastAsia="Arial" w:hAnsi="Arial" w:cs="Arial"/>
                <w:b/>
                <w:bCs/>
                <w:color w:val="auto"/>
                <w:sz w:val="16"/>
                <w:szCs w:val="16"/>
                <w:lang w:val="en-GB"/>
              </w:rPr>
              <w:t>0</w:t>
            </w:r>
          </w:p>
        </w:tc>
        <w:tc>
          <w:tcPr>
            <w:tcW w:w="1275" w:type="dxa"/>
            <w:tcBorders>
              <w:top w:val="single" w:sz="4" w:space="0" w:color="auto"/>
            </w:tcBorders>
            <w:vAlign w:val="center"/>
          </w:tcPr>
          <w:p w14:paraId="4FD94C53" w14:textId="496D015C" w:rsidR="00490F39" w:rsidRPr="007634CA" w:rsidRDefault="00223C05" w:rsidP="00223C05">
            <w:pPr>
              <w:spacing w:line="276" w:lineRule="auto"/>
              <w:rPr>
                <w:rFonts w:ascii="Arial" w:eastAsia="Arial" w:hAnsi="Arial" w:cs="Arial"/>
                <w:i/>
                <w:iCs/>
                <w:color w:val="000000" w:themeColor="text1"/>
                <w:sz w:val="16"/>
                <w:szCs w:val="16"/>
                <w:lang w:val="en-GB"/>
              </w:rPr>
            </w:pPr>
            <w:r w:rsidRPr="007634CA">
              <w:rPr>
                <w:rFonts w:ascii="Arial" w:eastAsia="Arial" w:hAnsi="Arial" w:cs="Arial"/>
                <w:i/>
                <w:iCs/>
                <w:color w:val="000000" w:themeColor="text1"/>
                <w:sz w:val="16"/>
                <w:szCs w:val="16"/>
                <w:lang w:val="en-GB"/>
              </w:rPr>
              <w:t xml:space="preserve">(a) </w:t>
            </w:r>
            <w:r w:rsidR="004F10B4" w:rsidRPr="007634CA">
              <w:rPr>
                <w:rFonts w:ascii="Arial" w:eastAsia="Arial" w:hAnsi="Arial" w:cs="Arial"/>
                <w:i/>
                <w:iCs/>
                <w:color w:val="000000" w:themeColor="text1"/>
                <w:sz w:val="16"/>
                <w:szCs w:val="16"/>
                <w:lang w:val="en-GB"/>
              </w:rPr>
              <w:t>10</w:t>
            </w:r>
            <w:r w:rsidR="00E65EB6" w:rsidRPr="007634CA">
              <w:rPr>
                <w:rFonts w:ascii="Arial" w:eastAsia="Arial" w:hAnsi="Arial" w:cs="Arial"/>
                <w:i/>
                <w:iCs/>
                <w:color w:val="000000" w:themeColor="text1"/>
                <w:sz w:val="16"/>
                <w:szCs w:val="16"/>
                <w:lang w:val="en-GB"/>
              </w:rPr>
              <w:t>:</w:t>
            </w:r>
            <w:r w:rsidR="00DE483E" w:rsidRPr="007634CA">
              <w:rPr>
                <w:rFonts w:ascii="Arial" w:eastAsia="Arial" w:hAnsi="Arial" w:cs="Arial"/>
                <w:i/>
                <w:iCs/>
                <w:color w:val="000000" w:themeColor="text1"/>
                <w:sz w:val="16"/>
                <w:szCs w:val="16"/>
                <w:lang w:val="en-GB"/>
              </w:rPr>
              <w:t xml:space="preserve"> </w:t>
            </w:r>
            <w:r w:rsidR="00E65EB6" w:rsidRPr="007634CA">
              <w:rPr>
                <w:rFonts w:ascii="Arial" w:eastAsia="Arial" w:hAnsi="Arial" w:cs="Arial"/>
                <w:i/>
                <w:iCs/>
                <w:color w:val="000000" w:themeColor="text1"/>
                <w:sz w:val="16"/>
                <w:szCs w:val="16"/>
                <w:lang w:val="en-GB"/>
              </w:rPr>
              <w:t xml:space="preserve">contributing to </w:t>
            </w:r>
            <w:r w:rsidR="004F10B4" w:rsidRPr="007634CA">
              <w:rPr>
                <w:rFonts w:ascii="Arial" w:eastAsia="Arial" w:hAnsi="Arial" w:cs="Arial"/>
                <w:i/>
                <w:iCs/>
                <w:color w:val="000000" w:themeColor="text1"/>
                <w:sz w:val="16"/>
                <w:szCs w:val="16"/>
                <w:lang w:val="en-GB"/>
              </w:rPr>
              <w:t>the resilience of ecosystems</w:t>
            </w:r>
            <w:r w:rsidR="00C0357E" w:rsidRPr="007634CA">
              <w:rPr>
                <w:rFonts w:ascii="Arial" w:eastAsia="Arial" w:hAnsi="Arial" w:cs="Arial"/>
                <w:i/>
                <w:iCs/>
                <w:color w:val="000000" w:themeColor="text1"/>
                <w:sz w:val="16"/>
                <w:szCs w:val="16"/>
                <w:lang w:val="en-GB"/>
              </w:rPr>
              <w:t xml:space="preserve">/ </w:t>
            </w:r>
            <w:r w:rsidR="004F10B4" w:rsidRPr="007634CA">
              <w:rPr>
                <w:rFonts w:ascii="Arial" w:eastAsia="Arial" w:hAnsi="Arial" w:cs="Arial"/>
                <w:i/>
                <w:iCs/>
                <w:color w:val="000000" w:themeColor="text1"/>
                <w:sz w:val="16"/>
                <w:szCs w:val="16"/>
                <w:lang w:val="en-GB"/>
              </w:rPr>
              <w:t>ecosystem services</w:t>
            </w:r>
            <w:r w:rsidR="00E65EB6" w:rsidRPr="007634CA">
              <w:rPr>
                <w:rFonts w:ascii="Arial" w:eastAsia="Arial" w:hAnsi="Arial" w:cs="Arial"/>
                <w:i/>
                <w:iCs/>
                <w:color w:val="000000" w:themeColor="text1"/>
                <w:sz w:val="16"/>
                <w:szCs w:val="16"/>
                <w:lang w:val="en-GB"/>
              </w:rPr>
              <w:t xml:space="preserve"> or nature-based</w:t>
            </w:r>
            <w:r w:rsidR="00071E30" w:rsidRPr="007634CA">
              <w:rPr>
                <w:rFonts w:ascii="Arial" w:eastAsia="Arial" w:hAnsi="Arial" w:cs="Arial"/>
                <w:i/>
                <w:iCs/>
                <w:color w:val="000000" w:themeColor="text1"/>
                <w:sz w:val="16"/>
                <w:szCs w:val="16"/>
                <w:lang w:val="en-GB"/>
              </w:rPr>
              <w:t xml:space="preserve"> adaptation</w:t>
            </w:r>
            <w:r w:rsidR="00E65EB6" w:rsidRPr="007634CA">
              <w:rPr>
                <w:rFonts w:ascii="Arial" w:eastAsia="Arial" w:hAnsi="Arial" w:cs="Arial"/>
                <w:i/>
                <w:iCs/>
                <w:color w:val="000000" w:themeColor="text1"/>
                <w:sz w:val="16"/>
                <w:szCs w:val="16"/>
                <w:lang w:val="en-GB"/>
              </w:rPr>
              <w:t xml:space="preserve"> solutions</w:t>
            </w:r>
          </w:p>
          <w:p w14:paraId="2E59A7CA" w14:textId="77777777" w:rsidR="00447E97" w:rsidRPr="007634CA" w:rsidRDefault="00447E97" w:rsidP="008200B1">
            <w:pPr>
              <w:spacing w:line="276" w:lineRule="auto"/>
              <w:jc w:val="both"/>
              <w:rPr>
                <w:rFonts w:ascii="Arial" w:eastAsia="Arial" w:hAnsi="Arial" w:cs="Arial"/>
                <w:i/>
                <w:iCs/>
                <w:color w:val="000000" w:themeColor="text1"/>
                <w:sz w:val="16"/>
                <w:szCs w:val="16"/>
                <w:lang w:val="en-GB"/>
              </w:rPr>
            </w:pPr>
          </w:p>
          <w:p w14:paraId="59D619D2" w14:textId="4A61A074" w:rsidR="00447E97" w:rsidRPr="007634CA" w:rsidRDefault="00223C05" w:rsidP="00223C05">
            <w:pPr>
              <w:tabs>
                <w:tab w:val="left" w:pos="301"/>
              </w:tabs>
              <w:spacing w:line="276" w:lineRule="auto"/>
              <w:rPr>
                <w:rFonts w:ascii="Arial" w:eastAsia="Arial" w:hAnsi="Arial" w:cs="Arial"/>
                <w:i/>
                <w:iCs/>
                <w:color w:val="000000" w:themeColor="text1"/>
                <w:sz w:val="16"/>
                <w:szCs w:val="16"/>
                <w:lang w:val="en-GB"/>
              </w:rPr>
            </w:pPr>
            <w:r w:rsidRPr="007634CA">
              <w:rPr>
                <w:rFonts w:ascii="Arial" w:eastAsia="Arial" w:hAnsi="Arial" w:cs="Arial"/>
                <w:i/>
                <w:iCs/>
                <w:color w:val="000000" w:themeColor="text1"/>
                <w:sz w:val="16"/>
                <w:szCs w:val="16"/>
                <w:lang w:val="en-GB"/>
              </w:rPr>
              <w:t xml:space="preserve">(b) </w:t>
            </w:r>
            <w:r w:rsidR="00071E30" w:rsidRPr="007634CA">
              <w:rPr>
                <w:rFonts w:ascii="Arial" w:eastAsia="Arial" w:hAnsi="Arial" w:cs="Arial"/>
                <w:i/>
                <w:iCs/>
                <w:color w:val="000000" w:themeColor="text1"/>
                <w:sz w:val="16"/>
                <w:szCs w:val="16"/>
                <w:lang w:val="en-GB"/>
              </w:rPr>
              <w:t>10</w:t>
            </w:r>
            <w:r w:rsidR="00447E97" w:rsidRPr="007634CA">
              <w:rPr>
                <w:rFonts w:ascii="Arial" w:eastAsia="Arial" w:hAnsi="Arial" w:cs="Arial"/>
                <w:i/>
                <w:iCs/>
                <w:color w:val="000000" w:themeColor="text1"/>
                <w:sz w:val="16"/>
                <w:szCs w:val="16"/>
                <w:lang w:val="en-GB"/>
              </w:rPr>
              <w:t>: contributing to climate-resilient livelihoods</w:t>
            </w:r>
          </w:p>
          <w:p w14:paraId="5C0F2926" w14:textId="77777777" w:rsidR="00F52883" w:rsidRPr="007634CA" w:rsidRDefault="00F52883" w:rsidP="008200B1">
            <w:pPr>
              <w:spacing w:line="276" w:lineRule="auto"/>
              <w:jc w:val="both"/>
              <w:rPr>
                <w:rFonts w:ascii="Arial" w:eastAsia="Arial" w:hAnsi="Arial" w:cs="Arial"/>
                <w:i/>
                <w:iCs/>
                <w:color w:val="000000" w:themeColor="text1"/>
                <w:sz w:val="16"/>
                <w:szCs w:val="16"/>
                <w:lang w:val="en-GB"/>
              </w:rPr>
            </w:pPr>
          </w:p>
          <w:p w14:paraId="687EC011" w14:textId="75D703DD" w:rsidR="00E248E6" w:rsidRPr="007634CA" w:rsidRDefault="00235DFD" w:rsidP="00223C05">
            <w:pPr>
              <w:spacing w:line="276" w:lineRule="auto"/>
              <w:jc w:val="both"/>
              <w:rPr>
                <w:rFonts w:ascii="Arial" w:eastAsia="Arial" w:hAnsi="Arial" w:cs="Arial"/>
                <w:b/>
                <w:color w:val="FF0000"/>
                <w:sz w:val="16"/>
                <w:szCs w:val="16"/>
                <w:lang w:val="en-GB"/>
              </w:rPr>
            </w:pPr>
            <w:r w:rsidRPr="007634CA">
              <w:rPr>
                <w:rFonts w:ascii="Arial" w:eastAsia="Arial" w:hAnsi="Arial" w:cs="Arial"/>
                <w:i/>
                <w:iCs/>
                <w:color w:val="000000" w:themeColor="text1"/>
                <w:sz w:val="16"/>
                <w:szCs w:val="16"/>
                <w:lang w:val="en-GB"/>
              </w:rPr>
              <w:t>(</w:t>
            </w:r>
            <w:r w:rsidR="008B6E09" w:rsidRPr="007634CA">
              <w:rPr>
                <w:rFonts w:ascii="Arial" w:eastAsia="Arial" w:hAnsi="Arial" w:cs="Arial"/>
                <w:i/>
                <w:color w:val="000000" w:themeColor="text1"/>
                <w:sz w:val="16"/>
                <w:szCs w:val="16"/>
                <w:lang w:val="en-GB"/>
              </w:rPr>
              <w:t xml:space="preserve">Targets will be </w:t>
            </w:r>
            <w:r w:rsidR="00071E30" w:rsidRPr="007634CA">
              <w:rPr>
                <w:rFonts w:ascii="Arial" w:eastAsia="Arial" w:hAnsi="Arial" w:cs="Arial"/>
                <w:i/>
                <w:color w:val="000000" w:themeColor="text1"/>
                <w:sz w:val="16"/>
                <w:szCs w:val="16"/>
                <w:lang w:val="en-GB"/>
              </w:rPr>
              <w:t>reviewed</w:t>
            </w:r>
            <w:r w:rsidR="008B6E09" w:rsidRPr="007634CA">
              <w:rPr>
                <w:rFonts w:ascii="Arial" w:eastAsia="Arial" w:hAnsi="Arial" w:cs="Arial"/>
                <w:i/>
                <w:color w:val="000000" w:themeColor="text1"/>
                <w:sz w:val="16"/>
                <w:szCs w:val="16"/>
                <w:lang w:val="en-GB"/>
              </w:rPr>
              <w:t xml:space="preserve"> after selection of grantees</w:t>
            </w:r>
            <w:r w:rsidR="008B6E09" w:rsidRPr="007634CA">
              <w:rPr>
                <w:rFonts w:ascii="Arial" w:eastAsia="Arial" w:hAnsi="Arial" w:cs="Arial"/>
                <w:i/>
                <w:iCs/>
                <w:color w:val="000000" w:themeColor="text1"/>
                <w:sz w:val="16"/>
                <w:szCs w:val="16"/>
                <w:lang w:val="en-GB"/>
              </w:rPr>
              <w:t>.)</w:t>
            </w:r>
          </w:p>
        </w:tc>
        <w:tc>
          <w:tcPr>
            <w:tcW w:w="1276" w:type="dxa"/>
            <w:vMerge/>
            <w:vAlign w:val="center"/>
          </w:tcPr>
          <w:p w14:paraId="619B2BB6" w14:textId="77777777" w:rsidR="00E248E6" w:rsidRPr="007634CA" w:rsidRDefault="00E248E6" w:rsidP="00774A51">
            <w:pPr>
              <w:spacing w:line="276" w:lineRule="auto"/>
              <w:jc w:val="both"/>
              <w:rPr>
                <w:rFonts w:ascii="Arial" w:eastAsia="Arial" w:hAnsi="Arial" w:cs="Arial"/>
                <w:color w:val="auto"/>
                <w:sz w:val="16"/>
                <w:szCs w:val="16"/>
                <w:lang w:val="en-GB"/>
              </w:rPr>
            </w:pPr>
          </w:p>
        </w:tc>
        <w:tc>
          <w:tcPr>
            <w:tcW w:w="1820" w:type="dxa"/>
            <w:vMerge/>
            <w:vAlign w:val="center"/>
          </w:tcPr>
          <w:p w14:paraId="18E8C64D" w14:textId="77777777" w:rsidR="00E248E6" w:rsidRPr="007634CA" w:rsidRDefault="00E248E6" w:rsidP="00774A51">
            <w:pPr>
              <w:spacing w:line="276" w:lineRule="auto"/>
              <w:rPr>
                <w:rFonts w:ascii="Arial" w:eastAsia="Arial" w:hAnsi="Arial" w:cs="Arial"/>
                <w:b/>
                <w:bCs/>
                <w:color w:val="auto"/>
                <w:sz w:val="16"/>
                <w:szCs w:val="16"/>
                <w:lang w:val="en-GB"/>
              </w:rPr>
            </w:pPr>
          </w:p>
        </w:tc>
      </w:tr>
      <w:tr w:rsidR="0097496C" w:rsidRPr="007634CA" w14:paraId="6047FD29" w14:textId="77777777" w:rsidTr="00774A51">
        <w:tc>
          <w:tcPr>
            <w:tcW w:w="2547" w:type="dxa"/>
            <w:shd w:val="clear" w:color="auto" w:fill="E7E6E6" w:themeFill="background2"/>
            <w:vAlign w:val="center"/>
          </w:tcPr>
          <w:p w14:paraId="7A14E339" w14:textId="34142AC4" w:rsidR="00956BDF" w:rsidRPr="007634CA" w:rsidRDefault="35A746C0" w:rsidP="00774A51">
            <w:pPr>
              <w:spacing w:line="276" w:lineRule="auto"/>
              <w:jc w:val="both"/>
              <w:rPr>
                <w:rFonts w:ascii="Arial" w:eastAsia="Arial" w:hAnsi="Arial" w:cs="Arial"/>
                <w:b/>
                <w:bCs/>
                <w:color w:val="auto"/>
                <w:sz w:val="16"/>
                <w:szCs w:val="16"/>
                <w:lang w:val="en-GB"/>
              </w:rPr>
            </w:pPr>
            <w:r w:rsidRPr="007634CA">
              <w:rPr>
                <w:rFonts w:ascii="Arial" w:eastAsia="Arial" w:hAnsi="Arial" w:cs="Arial"/>
                <w:b/>
                <w:bCs/>
                <w:color w:val="auto"/>
                <w:sz w:val="16"/>
                <w:szCs w:val="16"/>
                <w:lang w:val="en-GB"/>
              </w:rPr>
              <w:t>Outcome</w:t>
            </w:r>
            <w:r w:rsidR="5D6DC9BC" w:rsidRPr="007634CA">
              <w:rPr>
                <w:rFonts w:ascii="Arial" w:eastAsia="Arial" w:hAnsi="Arial" w:cs="Arial"/>
                <w:b/>
                <w:bCs/>
                <w:color w:val="auto"/>
                <w:sz w:val="16"/>
                <w:szCs w:val="16"/>
                <w:lang w:val="en-GB"/>
              </w:rPr>
              <w:t xml:space="preserve"> &amp; </w:t>
            </w:r>
            <w:r w:rsidR="08A7CFB5" w:rsidRPr="007634CA">
              <w:rPr>
                <w:rFonts w:ascii="Arial" w:eastAsia="Arial" w:hAnsi="Arial" w:cs="Arial"/>
                <w:b/>
                <w:bCs/>
                <w:color w:val="auto"/>
                <w:sz w:val="16"/>
                <w:szCs w:val="16"/>
                <w:lang w:val="en-GB"/>
              </w:rPr>
              <w:t>corresponding</w:t>
            </w:r>
          </w:p>
          <w:p w14:paraId="3BD5704E" w14:textId="40FB56DF" w:rsidR="00956BDF" w:rsidRPr="007634CA" w:rsidRDefault="35A746C0" w:rsidP="00774A51">
            <w:pPr>
              <w:spacing w:line="276" w:lineRule="auto"/>
              <w:jc w:val="both"/>
              <w:rPr>
                <w:rFonts w:ascii="Arial" w:eastAsia="Arial" w:hAnsi="Arial" w:cs="Arial"/>
                <w:b/>
                <w:bCs/>
                <w:color w:val="auto"/>
                <w:sz w:val="16"/>
                <w:szCs w:val="16"/>
                <w:lang w:val="en-GB"/>
              </w:rPr>
            </w:pPr>
            <w:r w:rsidRPr="007634CA">
              <w:rPr>
                <w:rFonts w:ascii="Arial" w:eastAsia="Arial" w:hAnsi="Arial" w:cs="Arial"/>
                <w:b/>
                <w:bCs/>
                <w:color w:val="auto"/>
                <w:sz w:val="16"/>
                <w:szCs w:val="16"/>
                <w:lang w:val="en-GB"/>
              </w:rPr>
              <w:t>Output</w:t>
            </w:r>
            <w:r w:rsidR="3D7C844C" w:rsidRPr="007634CA">
              <w:rPr>
                <w:rFonts w:ascii="Arial" w:eastAsia="Arial" w:hAnsi="Arial" w:cs="Arial"/>
                <w:b/>
                <w:bCs/>
                <w:color w:val="auto"/>
                <w:sz w:val="16"/>
                <w:szCs w:val="16"/>
                <w:lang w:val="en-GB"/>
              </w:rPr>
              <w:t>s</w:t>
            </w:r>
          </w:p>
        </w:tc>
        <w:tc>
          <w:tcPr>
            <w:tcW w:w="1984" w:type="dxa"/>
            <w:shd w:val="clear" w:color="auto" w:fill="E7E6E6" w:themeFill="background2"/>
            <w:vAlign w:val="center"/>
          </w:tcPr>
          <w:p w14:paraId="06422C2B" w14:textId="0D2235B5" w:rsidR="00956BDF" w:rsidRPr="007634CA" w:rsidRDefault="1B0B1C83" w:rsidP="00774A51">
            <w:pPr>
              <w:spacing w:line="276" w:lineRule="auto"/>
              <w:jc w:val="both"/>
              <w:rPr>
                <w:rFonts w:ascii="Arial" w:eastAsia="Arial" w:hAnsi="Arial" w:cs="Arial"/>
                <w:color w:val="auto"/>
                <w:sz w:val="16"/>
                <w:szCs w:val="16"/>
                <w:lang w:val="en-GB"/>
              </w:rPr>
            </w:pPr>
            <w:r w:rsidRPr="007634CA">
              <w:rPr>
                <w:rFonts w:ascii="Arial" w:eastAsia="Arial" w:hAnsi="Arial" w:cs="Arial"/>
                <w:b/>
                <w:bCs/>
                <w:color w:val="auto"/>
                <w:sz w:val="16"/>
                <w:szCs w:val="16"/>
                <w:lang w:val="en-GB"/>
              </w:rPr>
              <w:t xml:space="preserve">Output </w:t>
            </w:r>
            <w:r w:rsidR="35A746C0" w:rsidRPr="007634CA">
              <w:rPr>
                <w:rFonts w:ascii="Arial" w:eastAsia="Arial" w:hAnsi="Arial" w:cs="Arial"/>
                <w:b/>
                <w:bCs/>
                <w:color w:val="auto"/>
                <w:sz w:val="16"/>
                <w:szCs w:val="16"/>
                <w:lang w:val="en-GB"/>
              </w:rPr>
              <w:t>Indicator</w:t>
            </w:r>
            <w:r w:rsidR="77F490D8" w:rsidRPr="007634CA">
              <w:rPr>
                <w:rFonts w:ascii="Arial" w:eastAsia="Arial" w:hAnsi="Arial" w:cs="Arial"/>
                <w:b/>
                <w:bCs/>
                <w:color w:val="auto"/>
                <w:sz w:val="16"/>
                <w:szCs w:val="16"/>
                <w:lang w:val="en-GB"/>
              </w:rPr>
              <w:t>s</w:t>
            </w:r>
          </w:p>
        </w:tc>
        <w:tc>
          <w:tcPr>
            <w:tcW w:w="993" w:type="dxa"/>
            <w:shd w:val="clear" w:color="auto" w:fill="E7E6E6" w:themeFill="background2"/>
            <w:vAlign w:val="center"/>
          </w:tcPr>
          <w:p w14:paraId="33A51A34" w14:textId="75161956" w:rsidR="00956BDF" w:rsidRPr="007634CA" w:rsidRDefault="35A746C0" w:rsidP="00774A51">
            <w:pPr>
              <w:spacing w:line="276" w:lineRule="auto"/>
              <w:jc w:val="both"/>
              <w:rPr>
                <w:rFonts w:ascii="Arial" w:eastAsia="Arial" w:hAnsi="Arial" w:cs="Arial"/>
                <w:color w:val="auto"/>
                <w:sz w:val="16"/>
                <w:szCs w:val="16"/>
                <w:lang w:val="en-GB"/>
              </w:rPr>
            </w:pPr>
            <w:r w:rsidRPr="007634CA">
              <w:rPr>
                <w:rFonts w:ascii="Arial" w:eastAsia="Arial" w:hAnsi="Arial" w:cs="Arial"/>
                <w:b/>
                <w:bCs/>
                <w:color w:val="auto"/>
                <w:sz w:val="16"/>
                <w:szCs w:val="16"/>
                <w:lang w:val="en-GB"/>
              </w:rPr>
              <w:t>Baseline</w:t>
            </w:r>
          </w:p>
        </w:tc>
        <w:tc>
          <w:tcPr>
            <w:tcW w:w="1275" w:type="dxa"/>
            <w:shd w:val="clear" w:color="auto" w:fill="E7E6E6" w:themeFill="background2"/>
            <w:vAlign w:val="center"/>
          </w:tcPr>
          <w:p w14:paraId="5FEB19A6" w14:textId="2AB2741B" w:rsidR="00956BDF" w:rsidRPr="007634CA" w:rsidRDefault="35A746C0" w:rsidP="00774A51">
            <w:pPr>
              <w:spacing w:line="276" w:lineRule="auto"/>
              <w:jc w:val="both"/>
              <w:rPr>
                <w:rFonts w:ascii="Arial" w:eastAsia="Arial" w:hAnsi="Arial" w:cs="Arial"/>
                <w:color w:val="auto"/>
                <w:sz w:val="16"/>
                <w:szCs w:val="16"/>
                <w:lang w:val="en-GB"/>
              </w:rPr>
            </w:pPr>
            <w:r w:rsidRPr="007634CA">
              <w:rPr>
                <w:rFonts w:ascii="Arial" w:eastAsia="Arial" w:hAnsi="Arial" w:cs="Arial"/>
                <w:b/>
                <w:bCs/>
                <w:color w:val="auto"/>
                <w:sz w:val="16"/>
                <w:szCs w:val="16"/>
                <w:lang w:val="en-GB"/>
              </w:rPr>
              <w:t>Target at Project Completion</w:t>
            </w:r>
          </w:p>
        </w:tc>
        <w:tc>
          <w:tcPr>
            <w:tcW w:w="1276" w:type="dxa"/>
            <w:shd w:val="clear" w:color="auto" w:fill="E7E6E6" w:themeFill="background2"/>
            <w:vAlign w:val="center"/>
          </w:tcPr>
          <w:p w14:paraId="5943F08F" w14:textId="77777777" w:rsidR="00956BDF" w:rsidRPr="007634CA" w:rsidRDefault="35A746C0" w:rsidP="00774A51">
            <w:pPr>
              <w:spacing w:line="276" w:lineRule="auto"/>
              <w:jc w:val="both"/>
              <w:rPr>
                <w:rFonts w:ascii="Arial" w:eastAsia="Arial" w:hAnsi="Arial" w:cs="Arial"/>
                <w:color w:val="auto"/>
                <w:sz w:val="16"/>
                <w:szCs w:val="16"/>
                <w:lang w:val="en-GB"/>
              </w:rPr>
            </w:pPr>
            <w:r w:rsidRPr="007634CA">
              <w:rPr>
                <w:rFonts w:ascii="Arial" w:eastAsia="Arial" w:hAnsi="Arial" w:cs="Arial"/>
                <w:b/>
                <w:bCs/>
                <w:color w:val="auto"/>
                <w:sz w:val="16"/>
                <w:szCs w:val="16"/>
                <w:lang w:val="en-GB"/>
              </w:rPr>
              <w:t>Means of Verification</w:t>
            </w:r>
          </w:p>
        </w:tc>
        <w:tc>
          <w:tcPr>
            <w:tcW w:w="1820" w:type="dxa"/>
            <w:shd w:val="clear" w:color="auto" w:fill="E7E6E6" w:themeFill="background2"/>
            <w:vAlign w:val="center"/>
          </w:tcPr>
          <w:p w14:paraId="1E709670" w14:textId="77777777" w:rsidR="00956BDF" w:rsidRPr="007634CA" w:rsidRDefault="35A746C0" w:rsidP="00774A51">
            <w:pPr>
              <w:spacing w:line="276" w:lineRule="auto"/>
              <w:jc w:val="center"/>
              <w:rPr>
                <w:rFonts w:ascii="Arial" w:eastAsia="Arial" w:hAnsi="Arial" w:cs="Arial"/>
                <w:color w:val="auto"/>
                <w:sz w:val="16"/>
                <w:szCs w:val="16"/>
                <w:lang w:val="en-GB"/>
              </w:rPr>
            </w:pPr>
            <w:r w:rsidRPr="007634CA">
              <w:rPr>
                <w:rFonts w:ascii="Arial" w:eastAsia="Arial" w:hAnsi="Arial" w:cs="Arial"/>
                <w:b/>
                <w:bCs/>
                <w:color w:val="auto"/>
                <w:sz w:val="16"/>
                <w:szCs w:val="16"/>
                <w:lang w:val="en-GB"/>
              </w:rPr>
              <w:t>Risks and Assumptions</w:t>
            </w:r>
          </w:p>
        </w:tc>
      </w:tr>
      <w:tr w:rsidR="004E656B" w:rsidRPr="007634CA" w14:paraId="59FD9C44" w14:textId="77777777" w:rsidTr="00774A51">
        <w:trPr>
          <w:trHeight w:val="2115"/>
        </w:trPr>
        <w:tc>
          <w:tcPr>
            <w:tcW w:w="2547" w:type="dxa"/>
            <w:tcBorders>
              <w:bottom w:val="single" w:sz="4" w:space="0" w:color="auto"/>
            </w:tcBorders>
          </w:tcPr>
          <w:p w14:paraId="5E3BDA25" w14:textId="7EA13C15" w:rsidR="004E656B" w:rsidRPr="007634CA" w:rsidRDefault="004E656B" w:rsidP="00774A51">
            <w:pPr>
              <w:spacing w:line="276" w:lineRule="auto"/>
              <w:jc w:val="both"/>
              <w:rPr>
                <w:rFonts w:ascii="Arial" w:eastAsia="Arial" w:hAnsi="Arial" w:cs="Arial"/>
                <w:color w:val="auto"/>
                <w:sz w:val="16"/>
                <w:szCs w:val="16"/>
              </w:rPr>
            </w:pPr>
            <w:r w:rsidRPr="007634CA">
              <w:rPr>
                <w:rFonts w:ascii="Arial" w:eastAsia="Arial" w:hAnsi="Arial" w:cs="Arial"/>
                <w:i/>
                <w:iCs/>
                <w:color w:val="auto"/>
                <w:sz w:val="16"/>
                <w:szCs w:val="16"/>
                <w:lang w:val="en-GB"/>
              </w:rPr>
              <w:lastRenderedPageBreak/>
              <w:t xml:space="preserve">Outcome 1: </w:t>
            </w:r>
            <w:r w:rsidRPr="007634CA">
              <w:rPr>
                <w:rFonts w:ascii="Arial" w:eastAsia="Arial" w:hAnsi="Arial" w:cs="Arial"/>
                <w:i/>
                <w:iCs/>
                <w:sz w:val="16"/>
                <w:szCs w:val="16"/>
              </w:rPr>
              <w:t xml:space="preserve"> </w:t>
            </w:r>
            <w:r w:rsidRPr="007634CA">
              <w:rPr>
                <w:rFonts w:ascii="Arial" w:eastAsia="Arial" w:hAnsi="Arial" w:cs="Arial"/>
                <w:i/>
                <w:iCs/>
                <w:color w:val="auto"/>
                <w:sz w:val="16"/>
                <w:szCs w:val="16"/>
                <w:lang w:val="en-GB"/>
              </w:rPr>
              <w:t xml:space="preserve">Development, promotion, and acceleration of </w:t>
            </w:r>
            <w:proofErr w:type="gramStart"/>
            <w:r w:rsidRPr="007634CA">
              <w:rPr>
                <w:rFonts w:ascii="Arial" w:eastAsia="Arial" w:hAnsi="Arial" w:cs="Arial"/>
                <w:i/>
                <w:iCs/>
                <w:color w:val="auto"/>
                <w:sz w:val="16"/>
                <w:szCs w:val="16"/>
                <w:lang w:val="en-GB"/>
              </w:rPr>
              <w:t>locally-led</w:t>
            </w:r>
            <w:proofErr w:type="gramEnd"/>
            <w:r w:rsidRPr="007634CA">
              <w:rPr>
                <w:rFonts w:ascii="Arial" w:eastAsia="Arial" w:hAnsi="Arial" w:cs="Arial"/>
                <w:i/>
                <w:iCs/>
                <w:color w:val="auto"/>
                <w:sz w:val="16"/>
                <w:szCs w:val="16"/>
                <w:lang w:val="en-GB"/>
              </w:rPr>
              <w:t xml:space="preserve"> innovative climate adaptation solutions in four Balkans countries, with particular emphasis on approaches that advance gender equality and women’s empowerment, and which address priority climate risks.</w:t>
            </w:r>
          </w:p>
        </w:tc>
        <w:tc>
          <w:tcPr>
            <w:tcW w:w="1984" w:type="dxa"/>
            <w:tcBorders>
              <w:bottom w:val="single" w:sz="4" w:space="0" w:color="auto"/>
            </w:tcBorders>
          </w:tcPr>
          <w:p w14:paraId="3CEDD317" w14:textId="77777777" w:rsidR="004E656B" w:rsidRPr="007634CA" w:rsidRDefault="004E656B" w:rsidP="00774A51">
            <w:pPr>
              <w:spacing w:line="276" w:lineRule="auto"/>
              <w:rPr>
                <w:rFonts w:ascii="Arial" w:eastAsia="Arial" w:hAnsi="Arial" w:cs="Arial"/>
                <w:color w:val="auto"/>
                <w:sz w:val="16"/>
                <w:szCs w:val="16"/>
              </w:rPr>
            </w:pPr>
          </w:p>
          <w:p w14:paraId="33119F1D" w14:textId="07C626FA" w:rsidR="004E656B" w:rsidRPr="007634CA" w:rsidRDefault="009E3C32" w:rsidP="00CE39DC">
            <w:pPr>
              <w:spacing w:line="276" w:lineRule="auto"/>
              <w:jc w:val="both"/>
              <w:rPr>
                <w:rFonts w:ascii="Arial" w:eastAsia="Arial" w:hAnsi="Arial" w:cs="Arial"/>
                <w:color w:val="auto"/>
                <w:sz w:val="16"/>
                <w:szCs w:val="16"/>
              </w:rPr>
            </w:pPr>
            <w:r w:rsidRPr="007634CA">
              <w:rPr>
                <w:rFonts w:ascii="Arial" w:eastAsia="Arial" w:hAnsi="Arial" w:cs="Arial"/>
                <w:color w:val="auto"/>
                <w:sz w:val="16"/>
                <w:szCs w:val="16"/>
              </w:rPr>
              <w:t xml:space="preserve">1.1. </w:t>
            </w:r>
            <w:r w:rsidR="007E6BF5" w:rsidRPr="007634CA">
              <w:rPr>
                <w:rFonts w:ascii="Arial" w:eastAsia="Arial" w:hAnsi="Arial" w:cs="Arial"/>
                <w:color w:val="000000" w:themeColor="text1"/>
                <w:sz w:val="16"/>
                <w:szCs w:val="16"/>
                <w:lang w:val="en-GB"/>
              </w:rPr>
              <w:t xml:space="preserve">Number of climate adaptation, </w:t>
            </w:r>
            <w:r w:rsidR="006F7178" w:rsidRPr="007634CA">
              <w:rPr>
                <w:rFonts w:ascii="Arial" w:eastAsia="Arial" w:hAnsi="Arial" w:cs="Arial"/>
                <w:color w:val="000000" w:themeColor="text1"/>
                <w:sz w:val="16"/>
                <w:szCs w:val="16"/>
                <w:lang w:val="en-GB"/>
              </w:rPr>
              <w:t xml:space="preserve">climate resilient </w:t>
            </w:r>
            <w:r w:rsidR="007E6BF5" w:rsidRPr="007634CA">
              <w:rPr>
                <w:rFonts w:ascii="Arial" w:eastAsia="Arial" w:hAnsi="Arial" w:cs="Arial"/>
                <w:color w:val="000000" w:themeColor="text1"/>
                <w:sz w:val="16"/>
                <w:szCs w:val="16"/>
                <w:lang w:val="en-GB"/>
              </w:rPr>
              <w:t>production and consumption, and nature</w:t>
            </w:r>
            <w:r w:rsidR="001A446A" w:rsidRPr="007634CA">
              <w:rPr>
                <w:rFonts w:ascii="Arial" w:eastAsia="Arial" w:hAnsi="Arial" w:cs="Arial"/>
                <w:color w:val="000000" w:themeColor="text1"/>
                <w:sz w:val="16"/>
                <w:szCs w:val="16"/>
                <w:lang w:val="en-GB"/>
              </w:rPr>
              <w:t>-based</w:t>
            </w:r>
            <w:r w:rsidR="007E6BF5" w:rsidRPr="007634CA">
              <w:rPr>
                <w:rFonts w:ascii="Arial" w:eastAsia="Arial" w:hAnsi="Arial" w:cs="Arial"/>
                <w:color w:val="000000" w:themeColor="text1"/>
                <w:sz w:val="16"/>
                <w:szCs w:val="16"/>
                <w:lang w:val="en-GB"/>
              </w:rPr>
              <w:t xml:space="preserve"> solutions</w:t>
            </w:r>
            <w:r w:rsidR="00CE39DC" w:rsidRPr="007634CA">
              <w:rPr>
                <w:rFonts w:ascii="Arial" w:eastAsia="Arial" w:hAnsi="Arial" w:cs="Arial"/>
                <w:color w:val="000000" w:themeColor="text1"/>
                <w:sz w:val="16"/>
                <w:szCs w:val="16"/>
                <w:lang w:val="en-GB"/>
              </w:rPr>
              <w:t xml:space="preserve"> </w:t>
            </w:r>
            <w:r w:rsidR="007E6BF5" w:rsidRPr="007634CA">
              <w:rPr>
                <w:rFonts w:ascii="Arial" w:eastAsia="Arial" w:hAnsi="Arial" w:cs="Arial"/>
                <w:color w:val="000000" w:themeColor="text1"/>
                <w:sz w:val="16"/>
                <w:szCs w:val="16"/>
                <w:lang w:val="en-GB"/>
              </w:rPr>
              <w:t>pilote</w:t>
            </w:r>
            <w:r w:rsidR="00C71A1A" w:rsidRPr="007634CA">
              <w:rPr>
                <w:rFonts w:ascii="Arial" w:eastAsia="Arial" w:hAnsi="Arial" w:cs="Arial"/>
                <w:color w:val="000000" w:themeColor="text1"/>
                <w:sz w:val="16"/>
                <w:szCs w:val="16"/>
                <w:lang w:val="en-GB"/>
              </w:rPr>
              <w:t>d</w:t>
            </w:r>
          </w:p>
          <w:p w14:paraId="4778536E" w14:textId="77777777" w:rsidR="004E656B" w:rsidRPr="007634CA" w:rsidRDefault="004E656B" w:rsidP="00774A51">
            <w:pPr>
              <w:spacing w:line="276" w:lineRule="auto"/>
              <w:rPr>
                <w:rFonts w:ascii="Arial" w:eastAsia="Arial" w:hAnsi="Arial" w:cs="Arial"/>
                <w:color w:val="auto"/>
                <w:sz w:val="16"/>
                <w:szCs w:val="16"/>
              </w:rPr>
            </w:pPr>
          </w:p>
          <w:p w14:paraId="2DD8A5AA" w14:textId="77777777" w:rsidR="004E656B" w:rsidRPr="007634CA" w:rsidRDefault="004E656B" w:rsidP="00774A51">
            <w:pPr>
              <w:spacing w:line="276" w:lineRule="auto"/>
              <w:rPr>
                <w:rFonts w:ascii="Arial" w:eastAsia="Arial" w:hAnsi="Arial" w:cs="Arial"/>
                <w:color w:val="auto"/>
                <w:sz w:val="16"/>
                <w:szCs w:val="16"/>
              </w:rPr>
            </w:pPr>
          </w:p>
          <w:p w14:paraId="339FFB04" w14:textId="77777777" w:rsidR="004E656B" w:rsidRPr="007634CA" w:rsidRDefault="004E656B" w:rsidP="00774A51">
            <w:pPr>
              <w:spacing w:line="276" w:lineRule="auto"/>
              <w:rPr>
                <w:rFonts w:ascii="Arial" w:eastAsia="Arial" w:hAnsi="Arial" w:cs="Arial"/>
                <w:color w:val="auto"/>
                <w:sz w:val="16"/>
                <w:szCs w:val="16"/>
              </w:rPr>
            </w:pPr>
          </w:p>
          <w:p w14:paraId="54BC0E2A" w14:textId="77777777" w:rsidR="004E656B" w:rsidRPr="007634CA" w:rsidRDefault="004E656B" w:rsidP="00774A51">
            <w:pPr>
              <w:spacing w:line="276" w:lineRule="auto"/>
              <w:rPr>
                <w:rFonts w:ascii="Arial" w:eastAsia="Arial" w:hAnsi="Arial" w:cs="Arial"/>
                <w:color w:val="auto"/>
                <w:sz w:val="16"/>
                <w:szCs w:val="16"/>
              </w:rPr>
            </w:pPr>
          </w:p>
          <w:p w14:paraId="1812C4AC" w14:textId="77777777" w:rsidR="004E656B" w:rsidRPr="007634CA" w:rsidRDefault="004E656B" w:rsidP="00774A51">
            <w:pPr>
              <w:spacing w:line="276" w:lineRule="auto"/>
              <w:rPr>
                <w:rFonts w:ascii="Arial" w:eastAsia="Arial" w:hAnsi="Arial" w:cs="Arial"/>
                <w:color w:val="auto"/>
                <w:sz w:val="16"/>
                <w:szCs w:val="16"/>
              </w:rPr>
            </w:pPr>
          </w:p>
          <w:p w14:paraId="2BF90363" w14:textId="77777777" w:rsidR="004E656B" w:rsidRPr="007634CA" w:rsidRDefault="004E656B" w:rsidP="00774A51">
            <w:pPr>
              <w:spacing w:line="276" w:lineRule="auto"/>
              <w:rPr>
                <w:rFonts w:ascii="Arial" w:eastAsia="Arial" w:hAnsi="Arial" w:cs="Arial"/>
                <w:color w:val="auto"/>
                <w:sz w:val="16"/>
                <w:szCs w:val="16"/>
              </w:rPr>
            </w:pPr>
          </w:p>
          <w:p w14:paraId="41725E46" w14:textId="181D5376" w:rsidR="004E656B" w:rsidRPr="007634CA" w:rsidRDefault="004E656B" w:rsidP="00774A51">
            <w:pPr>
              <w:spacing w:line="276" w:lineRule="auto"/>
              <w:rPr>
                <w:rFonts w:ascii="Arial" w:eastAsia="Arial" w:hAnsi="Arial" w:cs="Arial"/>
                <w:color w:val="auto"/>
                <w:sz w:val="16"/>
                <w:szCs w:val="16"/>
                <w:lang w:val="en-GB"/>
              </w:rPr>
            </w:pPr>
          </w:p>
        </w:tc>
        <w:tc>
          <w:tcPr>
            <w:tcW w:w="993" w:type="dxa"/>
            <w:tcBorders>
              <w:bottom w:val="single" w:sz="4" w:space="0" w:color="auto"/>
            </w:tcBorders>
          </w:tcPr>
          <w:p w14:paraId="09D31544" w14:textId="77777777" w:rsidR="004E656B" w:rsidRPr="007634CA" w:rsidRDefault="004E656B" w:rsidP="00774A51">
            <w:pPr>
              <w:spacing w:line="276" w:lineRule="auto"/>
              <w:rPr>
                <w:rFonts w:ascii="Arial" w:eastAsia="Arial" w:hAnsi="Arial" w:cs="Arial"/>
                <w:color w:val="auto"/>
                <w:sz w:val="16"/>
                <w:szCs w:val="16"/>
                <w:lang w:val="en-GB"/>
              </w:rPr>
            </w:pPr>
          </w:p>
          <w:p w14:paraId="116D5C65" w14:textId="17DEE2ED" w:rsidR="004E656B" w:rsidRPr="007634CA" w:rsidRDefault="007A015F" w:rsidP="00774A51">
            <w:pPr>
              <w:spacing w:line="276" w:lineRule="auto"/>
              <w:rPr>
                <w:rFonts w:ascii="Arial" w:eastAsia="Arial" w:hAnsi="Arial" w:cs="Arial"/>
                <w:color w:val="auto"/>
                <w:sz w:val="16"/>
                <w:szCs w:val="16"/>
                <w:lang w:val="en-GB"/>
              </w:rPr>
            </w:pPr>
            <w:r w:rsidRPr="007634CA">
              <w:rPr>
                <w:rFonts w:ascii="Arial" w:eastAsia="Arial" w:hAnsi="Arial" w:cs="Arial"/>
                <w:color w:val="auto"/>
                <w:sz w:val="16"/>
                <w:szCs w:val="16"/>
                <w:lang w:val="en-GB"/>
              </w:rPr>
              <w:t>0</w:t>
            </w:r>
          </w:p>
          <w:p w14:paraId="24EB7DBD" w14:textId="77777777" w:rsidR="004E656B" w:rsidRPr="007634CA" w:rsidRDefault="004E656B" w:rsidP="00774A51">
            <w:pPr>
              <w:spacing w:line="276" w:lineRule="auto"/>
              <w:rPr>
                <w:rFonts w:ascii="Arial" w:eastAsia="Arial" w:hAnsi="Arial" w:cs="Arial"/>
                <w:color w:val="auto"/>
                <w:sz w:val="16"/>
                <w:szCs w:val="16"/>
                <w:lang w:val="en-GB"/>
              </w:rPr>
            </w:pPr>
          </w:p>
          <w:p w14:paraId="1339A060" w14:textId="77777777" w:rsidR="004E656B" w:rsidRPr="007634CA" w:rsidRDefault="004E656B" w:rsidP="00774A51">
            <w:pPr>
              <w:spacing w:line="276" w:lineRule="auto"/>
              <w:rPr>
                <w:rFonts w:ascii="Arial" w:eastAsia="Arial" w:hAnsi="Arial" w:cs="Arial"/>
                <w:color w:val="auto"/>
                <w:sz w:val="16"/>
                <w:szCs w:val="16"/>
                <w:lang w:val="en-GB"/>
              </w:rPr>
            </w:pPr>
          </w:p>
          <w:p w14:paraId="7BADF6B6" w14:textId="77777777" w:rsidR="004E656B" w:rsidRPr="007634CA" w:rsidRDefault="004E656B" w:rsidP="00774A51">
            <w:pPr>
              <w:spacing w:line="276" w:lineRule="auto"/>
              <w:rPr>
                <w:rFonts w:ascii="Arial" w:eastAsia="Arial" w:hAnsi="Arial" w:cs="Arial"/>
                <w:color w:val="auto"/>
                <w:sz w:val="16"/>
                <w:szCs w:val="16"/>
                <w:lang w:val="en-GB"/>
              </w:rPr>
            </w:pPr>
          </w:p>
          <w:p w14:paraId="04EB8B37" w14:textId="77777777" w:rsidR="004E656B" w:rsidRPr="007634CA" w:rsidRDefault="004E656B" w:rsidP="00774A51">
            <w:pPr>
              <w:spacing w:line="276" w:lineRule="auto"/>
              <w:rPr>
                <w:rFonts w:ascii="Arial" w:eastAsia="Arial" w:hAnsi="Arial" w:cs="Arial"/>
                <w:color w:val="auto"/>
                <w:sz w:val="16"/>
                <w:szCs w:val="16"/>
                <w:lang w:val="en-GB"/>
              </w:rPr>
            </w:pPr>
          </w:p>
          <w:p w14:paraId="05F7DFB4" w14:textId="77777777" w:rsidR="004E656B" w:rsidRPr="007634CA" w:rsidRDefault="004E656B" w:rsidP="00774A51">
            <w:pPr>
              <w:spacing w:line="276" w:lineRule="auto"/>
              <w:rPr>
                <w:rFonts w:ascii="Arial" w:eastAsia="Arial" w:hAnsi="Arial" w:cs="Arial"/>
                <w:color w:val="auto"/>
                <w:sz w:val="16"/>
                <w:szCs w:val="16"/>
                <w:lang w:val="en-GB"/>
              </w:rPr>
            </w:pPr>
          </w:p>
          <w:p w14:paraId="6E07364F" w14:textId="77777777" w:rsidR="004E656B" w:rsidRPr="007634CA" w:rsidRDefault="004E656B" w:rsidP="00774A51">
            <w:pPr>
              <w:spacing w:line="276" w:lineRule="auto"/>
              <w:rPr>
                <w:rFonts w:ascii="Arial" w:eastAsia="Arial" w:hAnsi="Arial" w:cs="Arial"/>
                <w:color w:val="auto"/>
                <w:sz w:val="16"/>
                <w:szCs w:val="16"/>
                <w:lang w:val="en-GB"/>
              </w:rPr>
            </w:pPr>
          </w:p>
          <w:p w14:paraId="5B978C2E" w14:textId="62457D51" w:rsidR="004E656B" w:rsidRPr="007634CA" w:rsidRDefault="004E656B" w:rsidP="00774A51">
            <w:pPr>
              <w:spacing w:line="276" w:lineRule="auto"/>
              <w:rPr>
                <w:rFonts w:ascii="Arial" w:eastAsia="Arial" w:hAnsi="Arial" w:cs="Arial"/>
                <w:color w:val="auto"/>
                <w:sz w:val="16"/>
                <w:szCs w:val="16"/>
                <w:lang w:val="en-GB"/>
              </w:rPr>
            </w:pPr>
          </w:p>
        </w:tc>
        <w:tc>
          <w:tcPr>
            <w:tcW w:w="1275" w:type="dxa"/>
            <w:tcBorders>
              <w:bottom w:val="single" w:sz="4" w:space="0" w:color="auto"/>
            </w:tcBorders>
          </w:tcPr>
          <w:p w14:paraId="0AC2E4D3" w14:textId="77777777" w:rsidR="004E656B" w:rsidRPr="007634CA" w:rsidRDefault="004E656B" w:rsidP="00774A51">
            <w:pPr>
              <w:spacing w:line="276" w:lineRule="auto"/>
              <w:rPr>
                <w:rFonts w:ascii="Arial" w:eastAsia="Arial" w:hAnsi="Arial" w:cs="Arial"/>
                <w:color w:val="auto"/>
                <w:sz w:val="16"/>
                <w:szCs w:val="16"/>
                <w:lang w:val="en-GB"/>
              </w:rPr>
            </w:pPr>
          </w:p>
          <w:p w14:paraId="61F86D48" w14:textId="0A27E985" w:rsidR="007A015F" w:rsidRPr="007634CA" w:rsidRDefault="007A015F" w:rsidP="007A015F">
            <w:pPr>
              <w:spacing w:line="276" w:lineRule="auto"/>
              <w:jc w:val="both"/>
              <w:rPr>
                <w:rFonts w:ascii="Arial" w:eastAsia="Arial" w:hAnsi="Arial" w:cs="Arial"/>
                <w:color w:val="000000" w:themeColor="text1"/>
                <w:sz w:val="16"/>
                <w:szCs w:val="16"/>
                <w:lang w:val="en-GB"/>
              </w:rPr>
            </w:pPr>
            <w:r w:rsidRPr="007634CA">
              <w:rPr>
                <w:rFonts w:ascii="Arial" w:eastAsia="Arial" w:hAnsi="Arial" w:cs="Arial"/>
                <w:color w:val="000000" w:themeColor="text1"/>
                <w:sz w:val="16"/>
                <w:szCs w:val="16"/>
                <w:lang w:val="en-GB"/>
              </w:rPr>
              <w:t>30</w:t>
            </w:r>
          </w:p>
          <w:p w14:paraId="2A154504" w14:textId="77777777" w:rsidR="004E656B" w:rsidRPr="007634CA" w:rsidRDefault="004E656B" w:rsidP="00774A51">
            <w:pPr>
              <w:spacing w:line="276" w:lineRule="auto"/>
              <w:rPr>
                <w:rFonts w:ascii="Arial" w:eastAsia="Arial" w:hAnsi="Arial" w:cs="Arial"/>
                <w:color w:val="auto"/>
                <w:sz w:val="16"/>
                <w:szCs w:val="16"/>
                <w:lang w:val="en-GB"/>
              </w:rPr>
            </w:pPr>
          </w:p>
          <w:p w14:paraId="4B3FEF51" w14:textId="77777777" w:rsidR="004E656B" w:rsidRPr="007634CA" w:rsidRDefault="004E656B" w:rsidP="00774A51">
            <w:pPr>
              <w:spacing w:line="276" w:lineRule="auto"/>
              <w:rPr>
                <w:rFonts w:ascii="Arial" w:eastAsia="Arial" w:hAnsi="Arial" w:cs="Arial"/>
                <w:color w:val="auto"/>
                <w:sz w:val="16"/>
                <w:szCs w:val="16"/>
                <w:lang w:val="en-GB"/>
              </w:rPr>
            </w:pPr>
          </w:p>
          <w:p w14:paraId="43FF5F9F" w14:textId="77777777" w:rsidR="004E656B" w:rsidRPr="007634CA" w:rsidRDefault="004E656B" w:rsidP="00774A51">
            <w:pPr>
              <w:spacing w:line="276" w:lineRule="auto"/>
              <w:rPr>
                <w:rFonts w:ascii="Arial" w:eastAsia="Arial" w:hAnsi="Arial" w:cs="Arial"/>
                <w:color w:val="auto"/>
                <w:sz w:val="16"/>
                <w:szCs w:val="16"/>
                <w:lang w:val="en-GB"/>
              </w:rPr>
            </w:pPr>
          </w:p>
          <w:p w14:paraId="392ABA33" w14:textId="77777777" w:rsidR="004E656B" w:rsidRPr="007634CA" w:rsidRDefault="004E656B" w:rsidP="00774A51">
            <w:pPr>
              <w:spacing w:line="276" w:lineRule="auto"/>
              <w:rPr>
                <w:rFonts w:ascii="Arial" w:eastAsia="Arial" w:hAnsi="Arial" w:cs="Arial"/>
                <w:color w:val="auto"/>
                <w:sz w:val="16"/>
                <w:szCs w:val="16"/>
                <w:lang w:val="en-GB"/>
              </w:rPr>
            </w:pPr>
          </w:p>
          <w:p w14:paraId="315AE998" w14:textId="77777777" w:rsidR="004E656B" w:rsidRPr="007634CA" w:rsidRDefault="004E656B" w:rsidP="00774A51">
            <w:pPr>
              <w:spacing w:line="276" w:lineRule="auto"/>
              <w:rPr>
                <w:rFonts w:ascii="Arial" w:eastAsia="Arial" w:hAnsi="Arial" w:cs="Arial"/>
                <w:color w:val="auto"/>
                <w:sz w:val="16"/>
                <w:szCs w:val="16"/>
                <w:lang w:val="en-GB"/>
              </w:rPr>
            </w:pPr>
          </w:p>
          <w:p w14:paraId="774973BD" w14:textId="77777777" w:rsidR="004E656B" w:rsidRPr="007634CA" w:rsidRDefault="004E656B" w:rsidP="00774A51">
            <w:pPr>
              <w:spacing w:line="276" w:lineRule="auto"/>
              <w:rPr>
                <w:rFonts w:ascii="Arial" w:eastAsia="Arial" w:hAnsi="Arial" w:cs="Arial"/>
                <w:color w:val="auto"/>
                <w:sz w:val="16"/>
                <w:szCs w:val="16"/>
                <w:lang w:val="en-GB"/>
              </w:rPr>
            </w:pPr>
          </w:p>
          <w:p w14:paraId="5FE99800" w14:textId="23E84705" w:rsidR="004E656B" w:rsidRPr="007634CA" w:rsidRDefault="004E656B" w:rsidP="00774A51">
            <w:pPr>
              <w:spacing w:line="276" w:lineRule="auto"/>
              <w:rPr>
                <w:rFonts w:ascii="Arial" w:eastAsia="Arial" w:hAnsi="Arial" w:cs="Arial"/>
                <w:color w:val="auto"/>
                <w:sz w:val="16"/>
                <w:szCs w:val="16"/>
                <w:lang w:val="en-GB"/>
              </w:rPr>
            </w:pPr>
          </w:p>
        </w:tc>
        <w:tc>
          <w:tcPr>
            <w:tcW w:w="1276" w:type="dxa"/>
            <w:vMerge w:val="restart"/>
            <w:vAlign w:val="center"/>
          </w:tcPr>
          <w:p w14:paraId="20495650" w14:textId="77777777" w:rsidR="004E656B" w:rsidRPr="007634CA" w:rsidRDefault="004E656B" w:rsidP="00774A51">
            <w:pPr>
              <w:spacing w:line="276" w:lineRule="auto"/>
              <w:jc w:val="center"/>
              <w:rPr>
                <w:rFonts w:ascii="Arial" w:eastAsia="Arial" w:hAnsi="Arial" w:cs="Arial"/>
                <w:color w:val="auto"/>
                <w:sz w:val="16"/>
                <w:szCs w:val="16"/>
                <w:lang w:val="en-GB"/>
              </w:rPr>
            </w:pPr>
            <w:r w:rsidRPr="007634CA">
              <w:rPr>
                <w:rFonts w:ascii="Arial" w:eastAsia="Arial" w:hAnsi="Arial" w:cs="Arial"/>
                <w:color w:val="auto"/>
                <w:sz w:val="16"/>
                <w:szCs w:val="16"/>
              </w:rPr>
              <w:t>Project reports, grantee reports, signed LVGAs, gender action plan, gender disaggregated indicators and data</w:t>
            </w:r>
          </w:p>
          <w:p w14:paraId="1F79294B" w14:textId="433B9494" w:rsidR="004E656B" w:rsidRPr="007634CA" w:rsidRDefault="004E656B" w:rsidP="00774A51">
            <w:pPr>
              <w:spacing w:line="276" w:lineRule="auto"/>
              <w:jc w:val="center"/>
              <w:rPr>
                <w:rFonts w:ascii="Arial" w:eastAsia="Arial" w:hAnsi="Arial" w:cs="Arial"/>
                <w:color w:val="auto"/>
                <w:sz w:val="16"/>
                <w:szCs w:val="16"/>
                <w:lang w:val="en-GB"/>
              </w:rPr>
            </w:pPr>
          </w:p>
        </w:tc>
        <w:tc>
          <w:tcPr>
            <w:tcW w:w="1820" w:type="dxa"/>
            <w:vMerge w:val="restart"/>
          </w:tcPr>
          <w:p w14:paraId="0631EE4D" w14:textId="77777777" w:rsidR="004E656B" w:rsidRPr="007634CA" w:rsidRDefault="004E656B" w:rsidP="00774A51">
            <w:pPr>
              <w:spacing w:line="276" w:lineRule="auto"/>
              <w:rPr>
                <w:rFonts w:ascii="Arial" w:eastAsia="Arial" w:hAnsi="Arial" w:cs="Arial"/>
                <w:b/>
                <w:bCs/>
                <w:color w:val="auto"/>
                <w:sz w:val="16"/>
                <w:szCs w:val="16"/>
              </w:rPr>
            </w:pPr>
            <w:r w:rsidRPr="007634CA">
              <w:rPr>
                <w:rFonts w:ascii="Arial" w:eastAsia="Arial" w:hAnsi="Arial" w:cs="Arial"/>
                <w:b/>
                <w:bCs/>
                <w:color w:val="auto"/>
                <w:sz w:val="16"/>
                <w:szCs w:val="16"/>
              </w:rPr>
              <w:t>Assumptions</w:t>
            </w:r>
            <w:r w:rsidRPr="007634CA">
              <w:rPr>
                <w:rFonts w:ascii="Arial" w:eastAsia="Arial" w:hAnsi="Arial" w:cs="Arial"/>
                <w:color w:val="auto"/>
                <w:sz w:val="16"/>
                <w:szCs w:val="16"/>
              </w:rPr>
              <w:t>: Sufficient pool of local actors with innovative ideas; Local organizations have or can develop technical capacity; Innovation grant mechanism is accessible</w:t>
            </w:r>
            <w:r w:rsidRPr="007634CA">
              <w:br/>
            </w:r>
          </w:p>
          <w:p w14:paraId="448FC176" w14:textId="77777777" w:rsidR="004E656B" w:rsidRPr="007634CA" w:rsidRDefault="004E656B" w:rsidP="00774A51">
            <w:pPr>
              <w:spacing w:line="276" w:lineRule="auto"/>
              <w:rPr>
                <w:rFonts w:ascii="Arial" w:eastAsia="Arial" w:hAnsi="Arial" w:cs="Arial"/>
                <w:color w:val="auto"/>
                <w:sz w:val="16"/>
                <w:szCs w:val="16"/>
                <w:lang w:val="en-GB"/>
              </w:rPr>
            </w:pPr>
            <w:r w:rsidRPr="007634CA">
              <w:rPr>
                <w:rFonts w:ascii="Arial" w:eastAsia="Arial" w:hAnsi="Arial" w:cs="Arial"/>
                <w:b/>
                <w:bCs/>
                <w:color w:val="auto"/>
                <w:sz w:val="16"/>
                <w:szCs w:val="16"/>
              </w:rPr>
              <w:t>Risks</w:t>
            </w:r>
            <w:r w:rsidRPr="007634CA">
              <w:rPr>
                <w:rFonts w:ascii="Arial" w:eastAsia="Arial" w:hAnsi="Arial" w:cs="Arial"/>
                <w:color w:val="auto"/>
                <w:sz w:val="16"/>
                <w:szCs w:val="16"/>
              </w:rPr>
              <w:t xml:space="preserve">: Limited capacity of grantees; Political or institutional barriers; Low participation from underrepresented groups such as women and marginalized population. </w:t>
            </w:r>
          </w:p>
        </w:tc>
      </w:tr>
      <w:tr w:rsidR="004E656B" w:rsidRPr="007634CA" w14:paraId="77DA4ED5" w14:textId="77777777" w:rsidTr="00774A51">
        <w:trPr>
          <w:trHeight w:val="1066"/>
        </w:trPr>
        <w:tc>
          <w:tcPr>
            <w:tcW w:w="2547" w:type="dxa"/>
            <w:tcBorders>
              <w:top w:val="single" w:sz="4" w:space="0" w:color="auto"/>
              <w:bottom w:val="single" w:sz="4" w:space="0" w:color="auto"/>
            </w:tcBorders>
          </w:tcPr>
          <w:p w14:paraId="578CAF6B" w14:textId="77777777" w:rsidR="004E656B" w:rsidRPr="007634CA" w:rsidDel="00106662" w:rsidRDefault="004E656B" w:rsidP="00774A51">
            <w:pPr>
              <w:spacing w:line="276" w:lineRule="auto"/>
              <w:rPr>
                <w:rFonts w:ascii="Arial" w:eastAsia="Arial" w:hAnsi="Arial" w:cs="Arial"/>
                <w:color w:val="auto"/>
                <w:sz w:val="16"/>
                <w:szCs w:val="16"/>
              </w:rPr>
            </w:pPr>
            <w:r w:rsidRPr="007634CA">
              <w:rPr>
                <w:rFonts w:ascii="Arial" w:eastAsia="Arial" w:hAnsi="Arial" w:cs="Arial"/>
                <w:b/>
                <w:bCs/>
                <w:color w:val="000000" w:themeColor="text1"/>
                <w:sz w:val="16"/>
                <w:szCs w:val="16"/>
              </w:rPr>
              <w:t xml:space="preserve">Output 1.1: </w:t>
            </w:r>
            <w:r w:rsidRPr="007634CA">
              <w:rPr>
                <w:rFonts w:ascii="Arial" w:eastAsia="Arial" w:hAnsi="Arial" w:cs="Arial"/>
                <w:color w:val="000000" w:themeColor="text1"/>
                <w:sz w:val="16"/>
                <w:szCs w:val="16"/>
              </w:rPr>
              <w:t>innovation concepts are identified and strengthened through inclusive call for interest, innovation sprints, and tailored design support.</w:t>
            </w:r>
          </w:p>
          <w:p w14:paraId="4B3280F3" w14:textId="77777777" w:rsidR="004E656B" w:rsidRPr="007634CA" w:rsidDel="00106662" w:rsidRDefault="004E656B" w:rsidP="00774A51">
            <w:pPr>
              <w:spacing w:line="276" w:lineRule="auto"/>
              <w:rPr>
                <w:rFonts w:ascii="Arial" w:eastAsia="Arial" w:hAnsi="Arial" w:cs="Arial"/>
                <w:color w:val="auto"/>
                <w:sz w:val="16"/>
                <w:szCs w:val="16"/>
              </w:rPr>
            </w:pPr>
          </w:p>
          <w:p w14:paraId="08F97220" w14:textId="4A174B85" w:rsidR="004E656B" w:rsidRPr="007634CA" w:rsidRDefault="004E656B" w:rsidP="00774A51">
            <w:pPr>
              <w:spacing w:line="276" w:lineRule="auto"/>
              <w:rPr>
                <w:rFonts w:ascii="Arial" w:eastAsia="Arial" w:hAnsi="Arial" w:cs="Arial"/>
                <w:i/>
                <w:iCs/>
                <w:color w:val="auto"/>
                <w:sz w:val="16"/>
                <w:szCs w:val="16"/>
                <w:lang w:val="en-GB"/>
              </w:rPr>
            </w:pPr>
          </w:p>
        </w:tc>
        <w:tc>
          <w:tcPr>
            <w:tcW w:w="1984" w:type="dxa"/>
            <w:tcBorders>
              <w:top w:val="single" w:sz="4" w:space="0" w:color="auto"/>
              <w:bottom w:val="single" w:sz="4" w:space="0" w:color="auto"/>
            </w:tcBorders>
          </w:tcPr>
          <w:p w14:paraId="471EF88E" w14:textId="0AD427E0" w:rsidR="004E656B" w:rsidRPr="007634CA" w:rsidRDefault="004E656B" w:rsidP="00774A51">
            <w:pPr>
              <w:spacing w:line="276" w:lineRule="auto"/>
              <w:rPr>
                <w:rFonts w:ascii="Arial" w:eastAsia="Arial" w:hAnsi="Arial" w:cs="Arial"/>
                <w:color w:val="auto"/>
                <w:sz w:val="16"/>
                <w:szCs w:val="16"/>
              </w:rPr>
            </w:pPr>
            <w:r w:rsidRPr="007634CA">
              <w:rPr>
                <w:rFonts w:ascii="Arial" w:eastAsia="Arial" w:hAnsi="Arial" w:cs="Arial"/>
                <w:color w:val="auto"/>
                <w:sz w:val="16"/>
                <w:szCs w:val="16"/>
                <w:lang w:val="en-GB"/>
              </w:rPr>
              <w:t>1.</w:t>
            </w:r>
            <w:r w:rsidR="007E4210" w:rsidRPr="007634CA">
              <w:rPr>
                <w:rFonts w:ascii="Arial" w:eastAsia="Arial" w:hAnsi="Arial" w:cs="Arial"/>
                <w:color w:val="auto"/>
                <w:sz w:val="16"/>
                <w:szCs w:val="16"/>
                <w:lang w:val="en-GB"/>
              </w:rPr>
              <w:t>1.1.</w:t>
            </w:r>
            <w:r w:rsidRPr="007634CA">
              <w:rPr>
                <w:rFonts w:ascii="Arial" w:eastAsia="Arial" w:hAnsi="Arial" w:cs="Arial"/>
                <w:color w:val="auto"/>
                <w:sz w:val="16"/>
                <w:szCs w:val="16"/>
                <w:lang w:val="en-GB"/>
              </w:rPr>
              <w:t xml:space="preserve"> Number of LVGAs led by or inclusive of women or marginalized group representatives</w:t>
            </w:r>
          </w:p>
          <w:p w14:paraId="0A324245" w14:textId="77777777" w:rsidR="004E656B" w:rsidRPr="007634CA" w:rsidRDefault="004E656B" w:rsidP="00774A51">
            <w:pPr>
              <w:spacing w:line="276" w:lineRule="auto"/>
              <w:rPr>
                <w:rFonts w:ascii="Arial" w:eastAsia="Arial" w:hAnsi="Arial" w:cs="Arial"/>
                <w:color w:val="auto"/>
                <w:sz w:val="16"/>
                <w:szCs w:val="16"/>
              </w:rPr>
            </w:pPr>
          </w:p>
          <w:p w14:paraId="649BF623" w14:textId="0578F536" w:rsidR="004E656B" w:rsidRPr="007634CA" w:rsidRDefault="007E4210" w:rsidP="00774A51">
            <w:pPr>
              <w:spacing w:line="276" w:lineRule="auto"/>
              <w:jc w:val="both"/>
              <w:rPr>
                <w:rFonts w:ascii="Arial" w:eastAsia="Arial" w:hAnsi="Arial" w:cs="Arial"/>
                <w:color w:val="auto"/>
                <w:sz w:val="16"/>
                <w:szCs w:val="16"/>
                <w:lang w:val="en-GB"/>
              </w:rPr>
            </w:pPr>
            <w:r w:rsidRPr="007634CA">
              <w:rPr>
                <w:rFonts w:ascii="Arial" w:eastAsia="Arial" w:hAnsi="Arial" w:cs="Arial"/>
                <w:color w:val="auto"/>
                <w:sz w:val="16"/>
                <w:szCs w:val="16"/>
                <w:lang w:val="en-GB"/>
              </w:rPr>
              <w:t xml:space="preserve">1.1.2. </w:t>
            </w:r>
            <w:r w:rsidR="004E656B" w:rsidRPr="007634CA">
              <w:rPr>
                <w:rFonts w:ascii="Arial" w:eastAsia="Arial" w:hAnsi="Arial" w:cs="Arial"/>
                <w:color w:val="auto"/>
                <w:sz w:val="16"/>
                <w:szCs w:val="16"/>
                <w:lang w:val="en-GB"/>
              </w:rPr>
              <w:t xml:space="preserve">No / Percentage of LVGAs </w:t>
            </w:r>
            <w:r w:rsidR="004E656B" w:rsidRPr="007634CA">
              <w:rPr>
                <w:rFonts w:ascii="Arial" w:eastAsia="Arial" w:hAnsi="Arial" w:cs="Arial"/>
                <w:sz w:val="16"/>
                <w:szCs w:val="16"/>
              </w:rPr>
              <w:t>that</w:t>
            </w:r>
            <w:r w:rsidR="004E656B" w:rsidRPr="007634CA">
              <w:rPr>
                <w:rFonts w:ascii="Arial" w:eastAsia="Arial" w:hAnsi="Arial" w:cs="Arial"/>
                <w:color w:val="auto"/>
                <w:sz w:val="16"/>
                <w:szCs w:val="16"/>
                <w:lang w:val="en-GB"/>
              </w:rPr>
              <w:t xml:space="preserve"> demonstrate meaningful integration of gender equality and social inclusion (GESI) in their design, implementation, or governance.</w:t>
            </w:r>
          </w:p>
        </w:tc>
        <w:tc>
          <w:tcPr>
            <w:tcW w:w="993" w:type="dxa"/>
            <w:tcBorders>
              <w:top w:val="single" w:sz="4" w:space="0" w:color="auto"/>
              <w:bottom w:val="single" w:sz="4" w:space="0" w:color="auto"/>
            </w:tcBorders>
          </w:tcPr>
          <w:p w14:paraId="65C3C315" w14:textId="77777777" w:rsidR="004E656B" w:rsidRPr="007634CA" w:rsidRDefault="004E656B" w:rsidP="00774A51">
            <w:pPr>
              <w:spacing w:line="276" w:lineRule="auto"/>
              <w:rPr>
                <w:rFonts w:ascii="Arial" w:eastAsia="Arial" w:hAnsi="Arial" w:cs="Arial"/>
                <w:color w:val="auto"/>
                <w:sz w:val="16"/>
                <w:szCs w:val="16"/>
                <w:lang w:val="en-GB"/>
              </w:rPr>
            </w:pPr>
          </w:p>
          <w:p w14:paraId="09B11123" w14:textId="1AB8CD06" w:rsidR="004E656B" w:rsidRPr="007634CA" w:rsidRDefault="00D97169" w:rsidP="00774A51">
            <w:pPr>
              <w:spacing w:line="276" w:lineRule="auto"/>
              <w:rPr>
                <w:rFonts w:ascii="Arial" w:eastAsia="Arial" w:hAnsi="Arial" w:cs="Arial"/>
                <w:color w:val="auto"/>
                <w:sz w:val="16"/>
                <w:szCs w:val="16"/>
                <w:lang w:val="en-GB"/>
              </w:rPr>
            </w:pPr>
            <w:r w:rsidRPr="007634CA">
              <w:rPr>
                <w:rFonts w:ascii="Arial" w:eastAsia="Arial" w:hAnsi="Arial" w:cs="Arial"/>
                <w:color w:val="auto"/>
                <w:sz w:val="16"/>
                <w:szCs w:val="16"/>
                <w:lang w:val="en-GB"/>
              </w:rPr>
              <w:t>0</w:t>
            </w:r>
          </w:p>
          <w:p w14:paraId="68EB1FCA" w14:textId="77777777" w:rsidR="004E656B" w:rsidRPr="007634CA" w:rsidRDefault="004E656B" w:rsidP="00774A51">
            <w:pPr>
              <w:spacing w:line="276" w:lineRule="auto"/>
              <w:rPr>
                <w:rFonts w:ascii="Arial" w:eastAsia="Arial" w:hAnsi="Arial" w:cs="Arial"/>
                <w:color w:val="auto"/>
                <w:sz w:val="16"/>
                <w:szCs w:val="16"/>
                <w:lang w:val="en-GB"/>
              </w:rPr>
            </w:pPr>
          </w:p>
          <w:p w14:paraId="1F2F6B71" w14:textId="77777777" w:rsidR="004E656B" w:rsidRPr="007634CA" w:rsidRDefault="004E656B" w:rsidP="00774A51">
            <w:pPr>
              <w:spacing w:line="276" w:lineRule="auto"/>
              <w:rPr>
                <w:rFonts w:ascii="Arial" w:eastAsia="Arial" w:hAnsi="Arial" w:cs="Arial"/>
                <w:color w:val="auto"/>
                <w:sz w:val="16"/>
                <w:szCs w:val="16"/>
                <w:lang w:val="en-GB"/>
              </w:rPr>
            </w:pPr>
          </w:p>
          <w:p w14:paraId="79398678" w14:textId="77777777" w:rsidR="004E656B" w:rsidRPr="007634CA" w:rsidRDefault="004E656B" w:rsidP="00774A51">
            <w:pPr>
              <w:spacing w:line="276" w:lineRule="auto"/>
              <w:rPr>
                <w:rFonts w:ascii="Arial" w:eastAsia="Arial" w:hAnsi="Arial" w:cs="Arial"/>
                <w:color w:val="auto"/>
                <w:sz w:val="16"/>
                <w:szCs w:val="16"/>
                <w:lang w:val="en-GB"/>
              </w:rPr>
            </w:pPr>
          </w:p>
          <w:p w14:paraId="2EE8A12E" w14:textId="77777777" w:rsidR="004E656B" w:rsidRPr="007634CA" w:rsidRDefault="004E656B" w:rsidP="00774A51">
            <w:pPr>
              <w:spacing w:line="276" w:lineRule="auto"/>
              <w:rPr>
                <w:rFonts w:ascii="Arial" w:eastAsia="Arial" w:hAnsi="Arial" w:cs="Arial"/>
                <w:color w:val="auto"/>
                <w:sz w:val="16"/>
                <w:szCs w:val="16"/>
                <w:lang w:val="en-GB"/>
              </w:rPr>
            </w:pPr>
          </w:p>
          <w:p w14:paraId="2D7C37A8" w14:textId="77777777" w:rsidR="004E656B" w:rsidRPr="007634CA" w:rsidRDefault="004E656B" w:rsidP="00774A51">
            <w:pPr>
              <w:spacing w:line="276" w:lineRule="auto"/>
              <w:rPr>
                <w:rFonts w:ascii="Arial" w:eastAsia="Arial" w:hAnsi="Arial" w:cs="Arial"/>
                <w:color w:val="auto"/>
                <w:sz w:val="16"/>
                <w:szCs w:val="16"/>
                <w:lang w:val="en-GB"/>
              </w:rPr>
            </w:pPr>
            <w:r w:rsidRPr="007634CA">
              <w:rPr>
                <w:rFonts w:ascii="Arial" w:eastAsia="Arial" w:hAnsi="Arial" w:cs="Arial"/>
                <w:color w:val="auto"/>
                <w:sz w:val="16"/>
                <w:szCs w:val="16"/>
                <w:lang w:val="en-GB"/>
              </w:rPr>
              <w:t>0</w:t>
            </w:r>
          </w:p>
          <w:p w14:paraId="4E3E911E" w14:textId="77777777" w:rsidR="004E656B" w:rsidRPr="007634CA" w:rsidRDefault="004E656B" w:rsidP="00774A51">
            <w:pPr>
              <w:spacing w:line="276" w:lineRule="auto"/>
              <w:rPr>
                <w:rFonts w:ascii="Arial" w:eastAsia="Arial" w:hAnsi="Arial" w:cs="Arial"/>
                <w:color w:val="auto"/>
                <w:sz w:val="16"/>
                <w:szCs w:val="16"/>
                <w:lang w:val="en-GB"/>
              </w:rPr>
            </w:pPr>
          </w:p>
        </w:tc>
        <w:tc>
          <w:tcPr>
            <w:tcW w:w="1275" w:type="dxa"/>
            <w:tcBorders>
              <w:top w:val="single" w:sz="4" w:space="0" w:color="auto"/>
              <w:bottom w:val="single" w:sz="4" w:space="0" w:color="auto"/>
            </w:tcBorders>
          </w:tcPr>
          <w:p w14:paraId="477123C5" w14:textId="77777777" w:rsidR="004E656B" w:rsidRPr="007634CA" w:rsidRDefault="004E656B" w:rsidP="00774A51">
            <w:pPr>
              <w:spacing w:line="276" w:lineRule="auto"/>
              <w:rPr>
                <w:rFonts w:ascii="Arial" w:eastAsia="Arial" w:hAnsi="Arial" w:cs="Arial"/>
                <w:color w:val="auto"/>
                <w:sz w:val="16"/>
                <w:szCs w:val="16"/>
                <w:lang w:val="en-GB"/>
              </w:rPr>
            </w:pPr>
          </w:p>
          <w:p w14:paraId="5A7610DD" w14:textId="656EFD84" w:rsidR="004E656B" w:rsidRPr="007634CA" w:rsidRDefault="00D97169" w:rsidP="00774A51">
            <w:pPr>
              <w:spacing w:line="276" w:lineRule="auto"/>
              <w:rPr>
                <w:rFonts w:ascii="Arial" w:eastAsia="Arial" w:hAnsi="Arial" w:cs="Arial"/>
                <w:color w:val="auto"/>
                <w:sz w:val="16"/>
                <w:szCs w:val="16"/>
                <w:lang w:val="en-GB"/>
              </w:rPr>
            </w:pPr>
            <w:r w:rsidRPr="007634CA">
              <w:rPr>
                <w:rFonts w:ascii="Arial" w:eastAsia="Arial" w:hAnsi="Arial" w:cs="Arial"/>
                <w:color w:val="auto"/>
                <w:sz w:val="16"/>
                <w:szCs w:val="16"/>
                <w:lang w:val="en-GB"/>
              </w:rPr>
              <w:t>8</w:t>
            </w:r>
          </w:p>
          <w:p w14:paraId="7E71C606" w14:textId="77777777" w:rsidR="004E656B" w:rsidRPr="007634CA" w:rsidRDefault="004E656B" w:rsidP="00774A51">
            <w:pPr>
              <w:spacing w:line="276" w:lineRule="auto"/>
              <w:rPr>
                <w:rFonts w:ascii="Arial" w:eastAsia="Arial" w:hAnsi="Arial" w:cs="Arial"/>
                <w:color w:val="auto"/>
                <w:sz w:val="16"/>
                <w:szCs w:val="16"/>
                <w:lang w:val="en-GB"/>
              </w:rPr>
            </w:pPr>
          </w:p>
          <w:p w14:paraId="6DC6C8EA" w14:textId="77777777" w:rsidR="004E656B" w:rsidRPr="007634CA" w:rsidRDefault="004E656B" w:rsidP="00774A51">
            <w:pPr>
              <w:spacing w:line="276" w:lineRule="auto"/>
              <w:rPr>
                <w:rFonts w:ascii="Arial" w:eastAsia="Arial" w:hAnsi="Arial" w:cs="Arial"/>
                <w:color w:val="auto"/>
                <w:sz w:val="16"/>
                <w:szCs w:val="16"/>
                <w:lang w:val="en-GB"/>
              </w:rPr>
            </w:pPr>
          </w:p>
          <w:p w14:paraId="7E16B935" w14:textId="77777777" w:rsidR="004E656B" w:rsidRPr="007634CA" w:rsidRDefault="004E656B" w:rsidP="00774A51">
            <w:pPr>
              <w:spacing w:line="276" w:lineRule="auto"/>
              <w:rPr>
                <w:rFonts w:ascii="Arial" w:eastAsia="Arial" w:hAnsi="Arial" w:cs="Arial"/>
                <w:color w:val="auto"/>
                <w:sz w:val="16"/>
                <w:szCs w:val="16"/>
                <w:lang w:val="en-GB"/>
              </w:rPr>
            </w:pPr>
          </w:p>
          <w:p w14:paraId="48CC1E5D" w14:textId="77777777" w:rsidR="004E656B" w:rsidRPr="007634CA" w:rsidRDefault="004E656B" w:rsidP="00774A51">
            <w:pPr>
              <w:spacing w:line="276" w:lineRule="auto"/>
              <w:rPr>
                <w:rFonts w:ascii="Arial" w:eastAsia="Arial" w:hAnsi="Arial" w:cs="Arial"/>
                <w:color w:val="auto"/>
                <w:sz w:val="16"/>
                <w:szCs w:val="16"/>
                <w:lang w:val="en-GB"/>
              </w:rPr>
            </w:pPr>
          </w:p>
          <w:p w14:paraId="2B1C536B" w14:textId="1D529807" w:rsidR="004E656B" w:rsidRPr="007634CA" w:rsidRDefault="004E656B" w:rsidP="00774A51">
            <w:pPr>
              <w:spacing w:line="276" w:lineRule="auto"/>
              <w:rPr>
                <w:rFonts w:ascii="Arial" w:eastAsia="Arial" w:hAnsi="Arial" w:cs="Arial"/>
                <w:color w:val="auto"/>
                <w:sz w:val="16"/>
                <w:szCs w:val="16"/>
                <w:lang w:val="en-GB"/>
              </w:rPr>
            </w:pPr>
            <w:r w:rsidRPr="007634CA">
              <w:rPr>
                <w:rFonts w:ascii="Arial" w:eastAsia="Arial" w:hAnsi="Arial" w:cs="Arial"/>
                <w:color w:val="auto"/>
                <w:sz w:val="16"/>
                <w:szCs w:val="16"/>
                <w:lang w:val="en-GB"/>
              </w:rPr>
              <w:t>20</w:t>
            </w:r>
            <w:r w:rsidR="00D97169" w:rsidRPr="007634CA">
              <w:rPr>
                <w:rFonts w:ascii="Arial" w:eastAsia="Arial" w:hAnsi="Arial" w:cs="Arial"/>
                <w:color w:val="auto"/>
                <w:sz w:val="16"/>
                <w:szCs w:val="16"/>
                <w:lang w:val="en-GB"/>
              </w:rPr>
              <w:t>/100%</w:t>
            </w:r>
          </w:p>
          <w:p w14:paraId="78B8F7E0" w14:textId="77777777" w:rsidR="004E656B" w:rsidRPr="007634CA" w:rsidRDefault="004E656B" w:rsidP="00774A51">
            <w:pPr>
              <w:spacing w:line="276" w:lineRule="auto"/>
              <w:rPr>
                <w:rFonts w:ascii="Arial" w:eastAsia="Arial" w:hAnsi="Arial" w:cs="Arial"/>
                <w:color w:val="auto"/>
                <w:sz w:val="16"/>
                <w:szCs w:val="16"/>
                <w:lang w:val="en-GB"/>
              </w:rPr>
            </w:pPr>
          </w:p>
          <w:p w14:paraId="6B0A3B91" w14:textId="77777777" w:rsidR="004E656B" w:rsidRPr="007634CA" w:rsidRDefault="004E656B" w:rsidP="00774A51">
            <w:pPr>
              <w:spacing w:line="276" w:lineRule="auto"/>
              <w:rPr>
                <w:rFonts w:ascii="Arial" w:eastAsia="Arial" w:hAnsi="Arial" w:cs="Arial"/>
                <w:color w:val="auto"/>
                <w:sz w:val="16"/>
                <w:szCs w:val="16"/>
                <w:lang w:val="en-GB"/>
              </w:rPr>
            </w:pPr>
          </w:p>
          <w:p w14:paraId="029C18CC" w14:textId="77777777" w:rsidR="004E656B" w:rsidRPr="007634CA" w:rsidRDefault="004E656B" w:rsidP="00774A51">
            <w:pPr>
              <w:spacing w:line="276" w:lineRule="auto"/>
              <w:rPr>
                <w:rFonts w:ascii="Arial" w:eastAsia="Arial" w:hAnsi="Arial" w:cs="Arial"/>
                <w:color w:val="auto"/>
                <w:sz w:val="16"/>
                <w:szCs w:val="16"/>
                <w:lang w:val="en-GB"/>
              </w:rPr>
            </w:pPr>
          </w:p>
          <w:p w14:paraId="39700BF9" w14:textId="77777777" w:rsidR="004E656B" w:rsidRPr="007634CA" w:rsidRDefault="004E656B" w:rsidP="00774A51">
            <w:pPr>
              <w:spacing w:line="276" w:lineRule="auto"/>
              <w:rPr>
                <w:rFonts w:ascii="Arial" w:eastAsia="Arial" w:hAnsi="Arial" w:cs="Arial"/>
                <w:color w:val="auto"/>
                <w:sz w:val="16"/>
                <w:szCs w:val="16"/>
                <w:lang w:val="en-GB"/>
              </w:rPr>
            </w:pPr>
          </w:p>
          <w:p w14:paraId="1A881C57" w14:textId="049F1180" w:rsidR="004E656B" w:rsidRPr="007634CA" w:rsidRDefault="004E656B" w:rsidP="00774A51">
            <w:pPr>
              <w:spacing w:line="276" w:lineRule="auto"/>
              <w:rPr>
                <w:rFonts w:ascii="Arial" w:eastAsia="Arial" w:hAnsi="Arial" w:cs="Arial"/>
                <w:color w:val="auto"/>
                <w:sz w:val="16"/>
                <w:szCs w:val="16"/>
                <w:lang w:val="en-GB"/>
              </w:rPr>
            </w:pPr>
          </w:p>
          <w:p w14:paraId="5151F960" w14:textId="77777777" w:rsidR="004E656B" w:rsidRPr="007634CA" w:rsidRDefault="004E656B" w:rsidP="00774A51">
            <w:pPr>
              <w:spacing w:line="276" w:lineRule="auto"/>
              <w:rPr>
                <w:rFonts w:ascii="Arial" w:eastAsia="Arial" w:hAnsi="Arial" w:cs="Arial"/>
                <w:color w:val="auto"/>
                <w:sz w:val="16"/>
                <w:szCs w:val="16"/>
                <w:lang w:val="en-GB"/>
              </w:rPr>
            </w:pPr>
          </w:p>
        </w:tc>
        <w:tc>
          <w:tcPr>
            <w:tcW w:w="1276" w:type="dxa"/>
            <w:vMerge/>
          </w:tcPr>
          <w:p w14:paraId="50D8AAAC" w14:textId="77777777" w:rsidR="004E656B" w:rsidRPr="007634CA" w:rsidRDefault="004E656B" w:rsidP="00774A51">
            <w:pPr>
              <w:spacing w:line="276" w:lineRule="auto"/>
              <w:rPr>
                <w:rFonts w:ascii="Arial" w:eastAsia="Arial" w:hAnsi="Arial" w:cs="Arial"/>
                <w:color w:val="auto"/>
                <w:sz w:val="16"/>
                <w:szCs w:val="16"/>
              </w:rPr>
            </w:pPr>
          </w:p>
        </w:tc>
        <w:tc>
          <w:tcPr>
            <w:tcW w:w="1820" w:type="dxa"/>
            <w:vMerge/>
          </w:tcPr>
          <w:p w14:paraId="23185750" w14:textId="77777777" w:rsidR="004E656B" w:rsidRPr="007634CA" w:rsidRDefault="004E656B" w:rsidP="00774A51">
            <w:pPr>
              <w:spacing w:line="276" w:lineRule="auto"/>
              <w:rPr>
                <w:rFonts w:ascii="Arial" w:eastAsia="Arial" w:hAnsi="Arial" w:cs="Arial"/>
                <w:b/>
                <w:bCs/>
                <w:color w:val="auto"/>
                <w:sz w:val="16"/>
                <w:szCs w:val="16"/>
              </w:rPr>
            </w:pPr>
          </w:p>
        </w:tc>
      </w:tr>
      <w:tr w:rsidR="004E656B" w:rsidRPr="007634CA" w14:paraId="3C28830F" w14:textId="77777777" w:rsidTr="00774A51">
        <w:trPr>
          <w:trHeight w:val="1397"/>
        </w:trPr>
        <w:tc>
          <w:tcPr>
            <w:tcW w:w="2547" w:type="dxa"/>
            <w:tcBorders>
              <w:top w:val="single" w:sz="4" w:space="0" w:color="auto"/>
            </w:tcBorders>
          </w:tcPr>
          <w:p w14:paraId="6CB8FAB6" w14:textId="7AB8FED6" w:rsidR="004E656B" w:rsidRPr="007634CA" w:rsidRDefault="004E656B" w:rsidP="00774A51">
            <w:pPr>
              <w:spacing w:line="276" w:lineRule="auto"/>
              <w:rPr>
                <w:rFonts w:ascii="Arial" w:eastAsia="Arial" w:hAnsi="Arial" w:cs="Arial"/>
                <w:b/>
                <w:bCs/>
                <w:color w:val="000000" w:themeColor="text1"/>
                <w:sz w:val="16"/>
                <w:szCs w:val="16"/>
              </w:rPr>
            </w:pPr>
            <w:r w:rsidRPr="007634CA">
              <w:rPr>
                <w:rStyle w:val="normaltextrun"/>
                <w:rFonts w:ascii="Arial" w:eastAsia="Arial" w:hAnsi="Arial" w:cs="Arial"/>
                <w:b/>
                <w:bCs/>
                <w:sz w:val="16"/>
                <w:szCs w:val="16"/>
              </w:rPr>
              <w:t xml:space="preserve">Output 1.2: </w:t>
            </w:r>
            <w:r w:rsidRPr="007634CA">
              <w:rPr>
                <w:rStyle w:val="normaltextrun"/>
                <w:rFonts w:ascii="Arial" w:eastAsia="Arial" w:hAnsi="Arial" w:cs="Arial"/>
                <w:sz w:val="16"/>
                <w:szCs w:val="16"/>
              </w:rPr>
              <w:t>Promising pilots are financed through small-scale grants and supported to address climate risks with a focus on gender equality and social inclusion.</w:t>
            </w:r>
          </w:p>
        </w:tc>
        <w:tc>
          <w:tcPr>
            <w:tcW w:w="1984" w:type="dxa"/>
            <w:tcBorders>
              <w:top w:val="single" w:sz="4" w:space="0" w:color="auto"/>
            </w:tcBorders>
          </w:tcPr>
          <w:p w14:paraId="226EEDBD" w14:textId="4715BD37" w:rsidR="004E656B" w:rsidRPr="007634CA" w:rsidRDefault="004E656B" w:rsidP="00774A51">
            <w:pPr>
              <w:spacing w:line="276" w:lineRule="auto"/>
              <w:rPr>
                <w:rFonts w:ascii="Arial" w:eastAsia="Arial" w:hAnsi="Arial" w:cs="Arial"/>
                <w:color w:val="auto"/>
                <w:sz w:val="16"/>
                <w:szCs w:val="16"/>
              </w:rPr>
            </w:pPr>
            <w:r w:rsidRPr="007634CA">
              <w:rPr>
                <w:rFonts w:ascii="Arial" w:eastAsia="Arial" w:hAnsi="Arial" w:cs="Arial"/>
                <w:color w:val="auto"/>
                <w:sz w:val="16"/>
                <w:szCs w:val="16"/>
              </w:rPr>
              <w:t>1.</w:t>
            </w:r>
            <w:r w:rsidR="007E4210" w:rsidRPr="007634CA">
              <w:rPr>
                <w:rFonts w:ascii="Arial" w:eastAsia="Arial" w:hAnsi="Arial" w:cs="Arial"/>
                <w:color w:val="auto"/>
                <w:sz w:val="16"/>
                <w:szCs w:val="16"/>
              </w:rPr>
              <w:t>2.</w:t>
            </w:r>
            <w:r w:rsidRPr="007634CA">
              <w:rPr>
                <w:rFonts w:ascii="Arial" w:eastAsia="Arial" w:hAnsi="Arial" w:cs="Arial"/>
                <w:color w:val="auto"/>
                <w:sz w:val="16"/>
                <w:szCs w:val="16"/>
              </w:rPr>
              <w:t>1</w:t>
            </w:r>
            <w:r w:rsidR="007E4210" w:rsidRPr="007634CA">
              <w:rPr>
                <w:rFonts w:ascii="Arial" w:eastAsia="Arial" w:hAnsi="Arial" w:cs="Arial"/>
                <w:color w:val="auto"/>
                <w:sz w:val="16"/>
                <w:szCs w:val="16"/>
              </w:rPr>
              <w:t>.</w:t>
            </w:r>
            <w:r w:rsidRPr="007634CA">
              <w:rPr>
                <w:rFonts w:ascii="Arial" w:eastAsia="Arial" w:hAnsi="Arial" w:cs="Arial"/>
                <w:color w:val="auto"/>
                <w:sz w:val="16"/>
                <w:szCs w:val="16"/>
              </w:rPr>
              <w:t xml:space="preserve"> Number of innovative adaptation solutions funded</w:t>
            </w:r>
          </w:p>
          <w:p w14:paraId="0F7707B0" w14:textId="77777777" w:rsidR="004E656B" w:rsidRPr="007634CA" w:rsidRDefault="004E656B" w:rsidP="00774A51">
            <w:pPr>
              <w:spacing w:line="276" w:lineRule="auto"/>
              <w:jc w:val="both"/>
              <w:rPr>
                <w:rFonts w:ascii="Arial" w:eastAsia="Arial" w:hAnsi="Arial" w:cs="Arial"/>
                <w:color w:val="auto"/>
                <w:sz w:val="16"/>
                <w:szCs w:val="16"/>
              </w:rPr>
            </w:pPr>
          </w:p>
        </w:tc>
        <w:tc>
          <w:tcPr>
            <w:tcW w:w="993" w:type="dxa"/>
            <w:tcBorders>
              <w:top w:val="single" w:sz="4" w:space="0" w:color="auto"/>
            </w:tcBorders>
          </w:tcPr>
          <w:p w14:paraId="4350F6E4" w14:textId="51D59567" w:rsidR="004E656B" w:rsidRPr="007634CA" w:rsidRDefault="00D97169" w:rsidP="00774A51">
            <w:pPr>
              <w:spacing w:line="276" w:lineRule="auto"/>
              <w:rPr>
                <w:rFonts w:ascii="Arial" w:eastAsia="Arial" w:hAnsi="Arial" w:cs="Arial"/>
                <w:color w:val="auto"/>
                <w:sz w:val="16"/>
                <w:szCs w:val="16"/>
                <w:lang w:val="en-GB"/>
              </w:rPr>
            </w:pPr>
            <w:r w:rsidRPr="007634CA">
              <w:rPr>
                <w:rFonts w:ascii="Arial" w:eastAsia="Arial" w:hAnsi="Arial" w:cs="Arial"/>
                <w:color w:val="auto"/>
                <w:sz w:val="16"/>
                <w:szCs w:val="16"/>
                <w:lang w:val="en-GB"/>
              </w:rPr>
              <w:t>0</w:t>
            </w:r>
          </w:p>
          <w:p w14:paraId="5296BADA" w14:textId="117F0AFF" w:rsidR="004E656B" w:rsidRPr="007634CA" w:rsidRDefault="004E656B" w:rsidP="00774A51">
            <w:pPr>
              <w:spacing w:line="276" w:lineRule="auto"/>
              <w:rPr>
                <w:rFonts w:ascii="Arial" w:eastAsia="Arial" w:hAnsi="Arial" w:cs="Arial"/>
                <w:color w:val="auto"/>
                <w:sz w:val="16"/>
                <w:szCs w:val="16"/>
                <w:lang w:val="en-GB"/>
              </w:rPr>
            </w:pPr>
          </w:p>
          <w:p w14:paraId="646EB03F" w14:textId="77777777" w:rsidR="004E656B" w:rsidRPr="007634CA" w:rsidRDefault="004E656B" w:rsidP="00774A51">
            <w:pPr>
              <w:spacing w:line="276" w:lineRule="auto"/>
              <w:rPr>
                <w:rFonts w:ascii="Arial" w:eastAsia="Arial" w:hAnsi="Arial" w:cs="Arial"/>
                <w:color w:val="auto"/>
                <w:sz w:val="16"/>
                <w:szCs w:val="16"/>
                <w:lang w:val="en-GB"/>
              </w:rPr>
            </w:pPr>
          </w:p>
        </w:tc>
        <w:tc>
          <w:tcPr>
            <w:tcW w:w="1275" w:type="dxa"/>
            <w:tcBorders>
              <w:top w:val="single" w:sz="4" w:space="0" w:color="auto"/>
            </w:tcBorders>
          </w:tcPr>
          <w:p w14:paraId="2CAC17F3" w14:textId="510DAAE7" w:rsidR="004E656B" w:rsidRPr="007634CA" w:rsidRDefault="00D97169" w:rsidP="00774A51">
            <w:pPr>
              <w:spacing w:line="276" w:lineRule="auto"/>
              <w:rPr>
                <w:rFonts w:ascii="Arial" w:eastAsia="Arial" w:hAnsi="Arial" w:cs="Arial"/>
                <w:color w:val="auto"/>
                <w:sz w:val="16"/>
                <w:szCs w:val="16"/>
                <w:lang w:val="en-GB"/>
              </w:rPr>
            </w:pPr>
            <w:r w:rsidRPr="007634CA">
              <w:rPr>
                <w:rFonts w:ascii="Arial" w:eastAsia="Arial" w:hAnsi="Arial" w:cs="Arial"/>
                <w:color w:val="auto"/>
                <w:sz w:val="16"/>
                <w:szCs w:val="16"/>
                <w:lang w:val="en-GB"/>
              </w:rPr>
              <w:t>20</w:t>
            </w:r>
          </w:p>
          <w:p w14:paraId="611F86FD" w14:textId="77777777" w:rsidR="004E656B" w:rsidRPr="007634CA" w:rsidRDefault="004E656B" w:rsidP="00774A51">
            <w:pPr>
              <w:spacing w:line="276" w:lineRule="auto"/>
              <w:rPr>
                <w:rFonts w:ascii="Arial" w:eastAsia="Arial" w:hAnsi="Arial" w:cs="Arial"/>
                <w:color w:val="auto"/>
                <w:sz w:val="16"/>
                <w:szCs w:val="16"/>
                <w:lang w:val="en-GB"/>
              </w:rPr>
            </w:pPr>
          </w:p>
          <w:p w14:paraId="3FBE5DA5" w14:textId="77777777" w:rsidR="004E656B" w:rsidRPr="007634CA" w:rsidRDefault="004E656B" w:rsidP="00774A51">
            <w:pPr>
              <w:spacing w:line="276" w:lineRule="auto"/>
              <w:rPr>
                <w:rFonts w:ascii="Arial" w:eastAsia="Arial" w:hAnsi="Arial" w:cs="Arial"/>
                <w:color w:val="auto"/>
                <w:sz w:val="16"/>
                <w:szCs w:val="16"/>
                <w:lang w:val="en-GB"/>
              </w:rPr>
            </w:pPr>
          </w:p>
          <w:p w14:paraId="056C3B67" w14:textId="77777777" w:rsidR="004E656B" w:rsidRPr="007634CA" w:rsidRDefault="004E656B" w:rsidP="00774A51">
            <w:pPr>
              <w:spacing w:line="276" w:lineRule="auto"/>
              <w:rPr>
                <w:rFonts w:ascii="Arial" w:eastAsia="Arial" w:hAnsi="Arial" w:cs="Arial"/>
                <w:color w:val="auto"/>
                <w:sz w:val="16"/>
                <w:szCs w:val="16"/>
                <w:lang w:val="en-GB"/>
              </w:rPr>
            </w:pPr>
          </w:p>
        </w:tc>
        <w:tc>
          <w:tcPr>
            <w:tcW w:w="1276" w:type="dxa"/>
            <w:vMerge/>
          </w:tcPr>
          <w:p w14:paraId="242FA215" w14:textId="77777777" w:rsidR="004E656B" w:rsidRPr="007634CA" w:rsidRDefault="004E656B" w:rsidP="00774A51">
            <w:pPr>
              <w:spacing w:line="276" w:lineRule="auto"/>
              <w:rPr>
                <w:rFonts w:ascii="Arial" w:eastAsia="Arial" w:hAnsi="Arial" w:cs="Arial"/>
                <w:color w:val="auto"/>
                <w:sz w:val="16"/>
                <w:szCs w:val="16"/>
              </w:rPr>
            </w:pPr>
          </w:p>
        </w:tc>
        <w:tc>
          <w:tcPr>
            <w:tcW w:w="1820" w:type="dxa"/>
            <w:vMerge/>
          </w:tcPr>
          <w:p w14:paraId="5269B3EE" w14:textId="77777777" w:rsidR="004E656B" w:rsidRPr="007634CA" w:rsidRDefault="004E656B" w:rsidP="00774A51">
            <w:pPr>
              <w:spacing w:line="276" w:lineRule="auto"/>
              <w:rPr>
                <w:rFonts w:ascii="Arial" w:eastAsia="Arial" w:hAnsi="Arial" w:cs="Arial"/>
                <w:b/>
                <w:bCs/>
                <w:color w:val="auto"/>
                <w:sz w:val="16"/>
                <w:szCs w:val="16"/>
              </w:rPr>
            </w:pPr>
          </w:p>
        </w:tc>
      </w:tr>
      <w:tr w:rsidR="003E0000" w:rsidRPr="007634CA" w14:paraId="08BC6935" w14:textId="77777777" w:rsidTr="00774A51">
        <w:trPr>
          <w:trHeight w:val="1712"/>
        </w:trPr>
        <w:tc>
          <w:tcPr>
            <w:tcW w:w="2547" w:type="dxa"/>
            <w:tcBorders>
              <w:bottom w:val="single" w:sz="4" w:space="0" w:color="auto"/>
            </w:tcBorders>
          </w:tcPr>
          <w:p w14:paraId="38873464" w14:textId="646C2780" w:rsidR="003E0000" w:rsidRPr="007634CA" w:rsidRDefault="003E0000" w:rsidP="00774A51">
            <w:pPr>
              <w:spacing w:line="276" w:lineRule="auto"/>
              <w:rPr>
                <w:rFonts w:ascii="Arial" w:eastAsia="Arial" w:hAnsi="Arial" w:cs="Arial"/>
                <w:color w:val="auto"/>
                <w:sz w:val="16"/>
                <w:szCs w:val="16"/>
                <w:lang w:val="en-GB"/>
              </w:rPr>
            </w:pPr>
            <w:r w:rsidRPr="007634CA">
              <w:rPr>
                <w:rFonts w:ascii="Arial" w:eastAsia="Arial" w:hAnsi="Arial" w:cs="Arial"/>
                <w:i/>
                <w:iCs/>
                <w:color w:val="auto"/>
                <w:sz w:val="16"/>
                <w:szCs w:val="16"/>
                <w:lang w:val="en-GB"/>
              </w:rPr>
              <w:t>Outcome 2: Selected adaptation innovations are strengthened and positioned for scale through tailored business development support, market testing, and identification of funding and financing pathways.</w:t>
            </w:r>
          </w:p>
        </w:tc>
        <w:tc>
          <w:tcPr>
            <w:tcW w:w="1984" w:type="dxa"/>
            <w:tcBorders>
              <w:bottom w:val="single" w:sz="4" w:space="0" w:color="auto"/>
            </w:tcBorders>
          </w:tcPr>
          <w:p w14:paraId="6E6A6BA8" w14:textId="77777777" w:rsidR="003E0000" w:rsidRPr="007634CA" w:rsidRDefault="003E0000" w:rsidP="00774A51">
            <w:pPr>
              <w:spacing w:line="276" w:lineRule="auto"/>
              <w:rPr>
                <w:rFonts w:ascii="Arial" w:eastAsia="Arial" w:hAnsi="Arial" w:cs="Arial"/>
                <w:color w:val="auto"/>
                <w:sz w:val="16"/>
                <w:szCs w:val="16"/>
                <w:lang w:val="en-GB"/>
              </w:rPr>
            </w:pPr>
          </w:p>
          <w:p w14:paraId="30FFB67B" w14:textId="1B9269AE" w:rsidR="003E0000" w:rsidRPr="007634CA" w:rsidRDefault="00250E0F" w:rsidP="00774A51">
            <w:pPr>
              <w:spacing w:line="276" w:lineRule="auto"/>
              <w:rPr>
                <w:rFonts w:ascii="Arial" w:eastAsia="Arial" w:hAnsi="Arial" w:cs="Arial"/>
                <w:color w:val="auto"/>
                <w:sz w:val="16"/>
                <w:szCs w:val="16"/>
                <w:lang w:val="en-GB"/>
              </w:rPr>
            </w:pPr>
            <w:r w:rsidRPr="007634CA">
              <w:rPr>
                <w:rFonts w:ascii="Arial" w:eastAsia="Arial" w:hAnsi="Arial" w:cs="Arial"/>
                <w:color w:val="auto"/>
                <w:sz w:val="16"/>
                <w:szCs w:val="16"/>
                <w:lang w:val="en-GB"/>
              </w:rPr>
              <w:t xml:space="preserve">2.1 No of innovations adopted/ replicated </w:t>
            </w:r>
            <w:r w:rsidR="001B599C" w:rsidRPr="007634CA">
              <w:rPr>
                <w:rFonts w:ascii="Arial" w:eastAsia="Arial" w:hAnsi="Arial" w:cs="Arial"/>
                <w:color w:val="auto"/>
                <w:sz w:val="16"/>
                <w:szCs w:val="16"/>
                <w:lang w:val="en-GB"/>
              </w:rPr>
              <w:t xml:space="preserve">or scaled </w:t>
            </w:r>
            <w:r w:rsidRPr="007634CA">
              <w:rPr>
                <w:rFonts w:ascii="Arial" w:eastAsia="Arial" w:hAnsi="Arial" w:cs="Arial"/>
                <w:color w:val="auto"/>
                <w:sz w:val="16"/>
                <w:szCs w:val="16"/>
                <w:lang w:val="en-GB"/>
              </w:rPr>
              <w:t>by public institutions, private sector actors or other NGOs/CSOs</w:t>
            </w:r>
          </w:p>
        </w:tc>
        <w:tc>
          <w:tcPr>
            <w:tcW w:w="993" w:type="dxa"/>
            <w:tcBorders>
              <w:bottom w:val="single" w:sz="4" w:space="0" w:color="auto"/>
            </w:tcBorders>
          </w:tcPr>
          <w:p w14:paraId="4FF23809" w14:textId="77777777" w:rsidR="003E0000" w:rsidRPr="007634CA" w:rsidRDefault="003E0000" w:rsidP="00774A51">
            <w:pPr>
              <w:spacing w:line="276" w:lineRule="auto"/>
              <w:rPr>
                <w:rFonts w:ascii="Arial" w:eastAsia="Arial" w:hAnsi="Arial" w:cs="Arial"/>
                <w:color w:val="auto"/>
                <w:sz w:val="16"/>
                <w:szCs w:val="16"/>
                <w:lang w:val="en-GB"/>
              </w:rPr>
            </w:pPr>
          </w:p>
          <w:p w14:paraId="69ADD5B9" w14:textId="353455E3" w:rsidR="003E0000" w:rsidRPr="007634CA" w:rsidRDefault="00250E0F" w:rsidP="00774A51">
            <w:pPr>
              <w:spacing w:line="276" w:lineRule="auto"/>
              <w:rPr>
                <w:rFonts w:ascii="Arial" w:eastAsia="Arial" w:hAnsi="Arial" w:cs="Arial"/>
                <w:color w:val="auto"/>
                <w:sz w:val="16"/>
                <w:szCs w:val="16"/>
                <w:lang w:val="en-GB"/>
              </w:rPr>
            </w:pPr>
            <w:r w:rsidRPr="007634CA">
              <w:rPr>
                <w:rFonts w:ascii="Arial" w:eastAsia="Arial" w:hAnsi="Arial" w:cs="Arial"/>
                <w:color w:val="auto"/>
                <w:sz w:val="16"/>
                <w:szCs w:val="16"/>
                <w:lang w:val="en-GB"/>
              </w:rPr>
              <w:t>0</w:t>
            </w:r>
          </w:p>
          <w:p w14:paraId="3D38158B" w14:textId="77777777" w:rsidR="003E0000" w:rsidRPr="007634CA" w:rsidRDefault="003E0000" w:rsidP="00774A51">
            <w:pPr>
              <w:spacing w:line="276" w:lineRule="auto"/>
              <w:rPr>
                <w:rFonts w:ascii="Arial" w:eastAsia="Arial" w:hAnsi="Arial" w:cs="Arial"/>
                <w:color w:val="auto"/>
                <w:sz w:val="16"/>
                <w:szCs w:val="16"/>
                <w:lang w:val="en-GB"/>
              </w:rPr>
            </w:pPr>
          </w:p>
          <w:p w14:paraId="19E72597" w14:textId="77777777" w:rsidR="003E0000" w:rsidRPr="007634CA" w:rsidRDefault="003E0000" w:rsidP="00774A51">
            <w:pPr>
              <w:spacing w:line="276" w:lineRule="auto"/>
              <w:rPr>
                <w:rFonts w:ascii="Arial" w:eastAsia="Arial" w:hAnsi="Arial" w:cs="Arial"/>
                <w:color w:val="auto"/>
                <w:sz w:val="16"/>
                <w:szCs w:val="16"/>
                <w:lang w:val="en-GB"/>
              </w:rPr>
            </w:pPr>
          </w:p>
          <w:p w14:paraId="5D08512B" w14:textId="778DE66B" w:rsidR="003E0000" w:rsidRPr="007634CA" w:rsidRDefault="003E0000" w:rsidP="00774A51">
            <w:pPr>
              <w:spacing w:line="276" w:lineRule="auto"/>
              <w:rPr>
                <w:rFonts w:ascii="Arial" w:eastAsia="Arial" w:hAnsi="Arial" w:cs="Arial"/>
                <w:color w:val="auto"/>
                <w:sz w:val="16"/>
                <w:szCs w:val="16"/>
                <w:lang w:val="en-GB"/>
              </w:rPr>
            </w:pPr>
          </w:p>
        </w:tc>
        <w:tc>
          <w:tcPr>
            <w:tcW w:w="1275" w:type="dxa"/>
            <w:tcBorders>
              <w:bottom w:val="single" w:sz="4" w:space="0" w:color="auto"/>
            </w:tcBorders>
          </w:tcPr>
          <w:p w14:paraId="20CF847E" w14:textId="77777777" w:rsidR="003E0000" w:rsidRPr="007634CA" w:rsidRDefault="003E0000" w:rsidP="00774A51">
            <w:pPr>
              <w:spacing w:line="276" w:lineRule="auto"/>
              <w:rPr>
                <w:rFonts w:ascii="Arial" w:eastAsia="Arial" w:hAnsi="Arial" w:cs="Arial"/>
                <w:color w:val="auto"/>
                <w:sz w:val="16"/>
                <w:szCs w:val="16"/>
                <w:lang w:val="en-GB"/>
              </w:rPr>
            </w:pPr>
          </w:p>
          <w:p w14:paraId="231EB936" w14:textId="4B13DC19" w:rsidR="003E0000" w:rsidRPr="007634CA" w:rsidRDefault="00250E0F" w:rsidP="00774A51">
            <w:pPr>
              <w:spacing w:line="276" w:lineRule="auto"/>
              <w:rPr>
                <w:rFonts w:ascii="Arial" w:eastAsia="Arial" w:hAnsi="Arial" w:cs="Arial"/>
                <w:color w:val="auto"/>
                <w:sz w:val="16"/>
                <w:szCs w:val="16"/>
                <w:lang w:val="en-GB"/>
              </w:rPr>
            </w:pPr>
            <w:r w:rsidRPr="007634CA">
              <w:rPr>
                <w:rFonts w:ascii="Arial" w:eastAsia="Arial" w:hAnsi="Arial" w:cs="Arial"/>
                <w:color w:val="auto"/>
                <w:sz w:val="16"/>
                <w:szCs w:val="16"/>
                <w:lang w:val="en-GB"/>
              </w:rPr>
              <w:t>At least 4 or 1 per country (to be tracked through policy uptake and replication pathways)</w:t>
            </w:r>
          </w:p>
        </w:tc>
        <w:tc>
          <w:tcPr>
            <w:tcW w:w="1276" w:type="dxa"/>
            <w:vMerge w:val="restart"/>
            <w:vAlign w:val="center"/>
          </w:tcPr>
          <w:p w14:paraId="6CB4173E" w14:textId="4C9D5149" w:rsidR="003E0000" w:rsidRPr="007634CA" w:rsidRDefault="003E0000" w:rsidP="00774A51">
            <w:pPr>
              <w:spacing w:line="276" w:lineRule="auto"/>
              <w:jc w:val="center"/>
              <w:rPr>
                <w:rFonts w:ascii="Arial" w:eastAsia="Arial" w:hAnsi="Arial" w:cs="Arial"/>
                <w:color w:val="auto"/>
                <w:sz w:val="16"/>
                <w:szCs w:val="16"/>
                <w:lang w:val="en-GB"/>
              </w:rPr>
            </w:pPr>
            <w:r w:rsidRPr="007634CA">
              <w:rPr>
                <w:rFonts w:ascii="Arial" w:eastAsia="Arial" w:hAnsi="Arial" w:cs="Arial"/>
                <w:color w:val="auto"/>
                <w:sz w:val="16"/>
                <w:szCs w:val="16"/>
              </w:rPr>
              <w:t>Incubation and acceleration program reports, integration reports, market analysis, participant feedback; business plans, investment pitches</w:t>
            </w:r>
          </w:p>
          <w:p w14:paraId="53ECA26E" w14:textId="77777777" w:rsidR="003E0000" w:rsidRPr="007634CA" w:rsidRDefault="003E0000" w:rsidP="00774A51">
            <w:pPr>
              <w:spacing w:line="276" w:lineRule="auto"/>
              <w:jc w:val="center"/>
              <w:rPr>
                <w:rFonts w:ascii="Arial" w:eastAsia="Arial" w:hAnsi="Arial" w:cs="Arial"/>
                <w:color w:val="auto"/>
                <w:sz w:val="16"/>
                <w:szCs w:val="16"/>
                <w:lang w:val="en-GB"/>
              </w:rPr>
            </w:pPr>
            <w:r w:rsidRPr="007634CA">
              <w:rPr>
                <w:rFonts w:ascii="Arial" w:eastAsia="Arial" w:hAnsi="Arial" w:cs="Arial"/>
                <w:color w:val="auto"/>
                <w:sz w:val="16"/>
                <w:szCs w:val="16"/>
              </w:rPr>
              <w:t>Integration reports, market analysis, policy adoption records, stakeholder interviews</w:t>
            </w:r>
          </w:p>
        </w:tc>
        <w:tc>
          <w:tcPr>
            <w:tcW w:w="1820" w:type="dxa"/>
            <w:vMerge w:val="restart"/>
          </w:tcPr>
          <w:p w14:paraId="38202802" w14:textId="77777777" w:rsidR="003E0000" w:rsidRPr="007634CA" w:rsidRDefault="003E0000" w:rsidP="00774A51">
            <w:pPr>
              <w:spacing w:line="276" w:lineRule="auto"/>
              <w:rPr>
                <w:rFonts w:ascii="Arial" w:eastAsia="Arial" w:hAnsi="Arial" w:cs="Arial"/>
                <w:b/>
                <w:bCs/>
                <w:color w:val="auto"/>
                <w:sz w:val="16"/>
                <w:szCs w:val="16"/>
              </w:rPr>
            </w:pPr>
            <w:r w:rsidRPr="007634CA">
              <w:rPr>
                <w:rFonts w:ascii="Arial" w:eastAsia="Arial" w:hAnsi="Arial" w:cs="Arial"/>
                <w:b/>
                <w:bCs/>
                <w:color w:val="auto"/>
                <w:sz w:val="16"/>
                <w:szCs w:val="16"/>
              </w:rPr>
              <w:t>Assumptions</w:t>
            </w:r>
            <w:r w:rsidRPr="007634CA">
              <w:rPr>
                <w:rFonts w:ascii="Arial" w:eastAsia="Arial" w:hAnsi="Arial" w:cs="Arial"/>
                <w:color w:val="auto"/>
                <w:sz w:val="16"/>
                <w:szCs w:val="16"/>
              </w:rPr>
              <w:t>: Business development support tailored to local innovators; Growing ecosystem of investors and funders; National and regional systems open to integration</w:t>
            </w:r>
            <w:r w:rsidRPr="007634CA">
              <w:br/>
            </w:r>
          </w:p>
          <w:p w14:paraId="44ABAA98" w14:textId="77777777" w:rsidR="003E0000" w:rsidRPr="007634CA" w:rsidRDefault="003E0000" w:rsidP="00774A51">
            <w:pPr>
              <w:spacing w:line="276" w:lineRule="auto"/>
              <w:rPr>
                <w:rFonts w:ascii="Arial" w:eastAsia="Arial" w:hAnsi="Arial" w:cs="Arial"/>
                <w:color w:val="auto"/>
                <w:sz w:val="16"/>
                <w:szCs w:val="16"/>
                <w:lang w:val="en-GB"/>
              </w:rPr>
            </w:pPr>
            <w:r w:rsidRPr="007634CA">
              <w:rPr>
                <w:rFonts w:ascii="Arial" w:eastAsia="Arial" w:hAnsi="Arial" w:cs="Arial"/>
                <w:b/>
                <w:bCs/>
                <w:color w:val="auto"/>
                <w:sz w:val="16"/>
                <w:szCs w:val="16"/>
              </w:rPr>
              <w:t>Risks</w:t>
            </w:r>
            <w:r w:rsidRPr="007634CA">
              <w:rPr>
                <w:rFonts w:ascii="Arial" w:eastAsia="Arial" w:hAnsi="Arial" w:cs="Arial"/>
                <w:color w:val="auto"/>
                <w:sz w:val="16"/>
                <w:szCs w:val="16"/>
              </w:rPr>
              <w:t>: Limited market readiness or demand; Insufficient follow-on funding; Regulatory or institutional barriers</w:t>
            </w:r>
          </w:p>
        </w:tc>
      </w:tr>
      <w:tr w:rsidR="003E0000" w:rsidRPr="007634CA" w14:paraId="0C76348C" w14:textId="77777777" w:rsidTr="00774A51">
        <w:trPr>
          <w:trHeight w:val="3066"/>
        </w:trPr>
        <w:tc>
          <w:tcPr>
            <w:tcW w:w="2547" w:type="dxa"/>
            <w:tcBorders>
              <w:top w:val="single" w:sz="4" w:space="0" w:color="auto"/>
              <w:bottom w:val="single" w:sz="4" w:space="0" w:color="auto"/>
            </w:tcBorders>
          </w:tcPr>
          <w:p w14:paraId="785907EB" w14:textId="5076239F" w:rsidR="003E0000" w:rsidRPr="007634CA" w:rsidRDefault="003E0000" w:rsidP="00774A51">
            <w:pPr>
              <w:spacing w:line="276" w:lineRule="auto"/>
              <w:rPr>
                <w:rFonts w:ascii="Arial" w:eastAsia="Arial" w:hAnsi="Arial" w:cs="Arial"/>
                <w:i/>
                <w:iCs/>
                <w:color w:val="auto"/>
                <w:sz w:val="16"/>
                <w:szCs w:val="16"/>
                <w:lang w:val="en-GB"/>
              </w:rPr>
            </w:pPr>
            <w:r w:rsidRPr="007634CA">
              <w:rPr>
                <w:rFonts w:ascii="Arial" w:eastAsia="Arial" w:hAnsi="Arial" w:cs="Arial"/>
                <w:b/>
                <w:bCs/>
                <w:color w:val="auto"/>
                <w:sz w:val="16"/>
                <w:szCs w:val="16"/>
                <w:lang w:val="en-GB"/>
              </w:rPr>
              <w:t xml:space="preserve">Output 2.1: </w:t>
            </w:r>
            <w:r w:rsidRPr="007634CA">
              <w:rPr>
                <w:rFonts w:ascii="Arial" w:eastAsia="Arial" w:hAnsi="Arial" w:cs="Arial"/>
                <w:color w:val="auto"/>
                <w:sz w:val="16"/>
                <w:szCs w:val="16"/>
                <w:lang w:val="en-GB"/>
              </w:rPr>
              <w:t>Adaptation innovators receive tailored business development support, including incubation, acceleration, mentoring, and market testing, to strengthen implementation readiness and sustainability.</w:t>
            </w:r>
          </w:p>
        </w:tc>
        <w:tc>
          <w:tcPr>
            <w:tcW w:w="1984" w:type="dxa"/>
            <w:tcBorders>
              <w:top w:val="single" w:sz="4" w:space="0" w:color="auto"/>
              <w:bottom w:val="single" w:sz="4" w:space="0" w:color="auto"/>
            </w:tcBorders>
          </w:tcPr>
          <w:p w14:paraId="6F5E3C4D" w14:textId="59C091A1" w:rsidR="003E0000" w:rsidRPr="007634CA" w:rsidRDefault="003E0000" w:rsidP="00774A51">
            <w:pPr>
              <w:spacing w:line="276" w:lineRule="auto"/>
              <w:rPr>
                <w:rFonts w:ascii="Arial" w:eastAsia="Arial" w:hAnsi="Arial" w:cs="Arial"/>
                <w:color w:val="auto"/>
                <w:sz w:val="16"/>
                <w:szCs w:val="16"/>
                <w:lang w:val="en-GB"/>
              </w:rPr>
            </w:pPr>
            <w:r w:rsidRPr="007634CA">
              <w:rPr>
                <w:rFonts w:ascii="Arial" w:eastAsia="Arial" w:hAnsi="Arial" w:cs="Arial"/>
                <w:color w:val="auto"/>
                <w:sz w:val="16"/>
                <w:szCs w:val="16"/>
                <w:lang w:val="en-GB"/>
              </w:rPr>
              <w:t>2.1</w:t>
            </w:r>
            <w:r w:rsidR="00250E0F" w:rsidRPr="007634CA">
              <w:rPr>
                <w:rFonts w:ascii="Arial" w:eastAsia="Arial" w:hAnsi="Arial" w:cs="Arial"/>
                <w:color w:val="auto"/>
                <w:sz w:val="16"/>
                <w:szCs w:val="16"/>
                <w:lang w:val="en-GB"/>
              </w:rPr>
              <w:t>.1</w:t>
            </w:r>
            <w:r w:rsidRPr="007634CA">
              <w:rPr>
                <w:rFonts w:ascii="Arial" w:eastAsia="Arial" w:hAnsi="Arial" w:cs="Arial"/>
                <w:color w:val="auto"/>
                <w:sz w:val="16"/>
                <w:szCs w:val="16"/>
                <w:lang w:val="en-GB"/>
              </w:rPr>
              <w:t xml:space="preserve"> Number of adaptation innovators receiving business incubation and acceleration services</w:t>
            </w:r>
          </w:p>
          <w:p w14:paraId="39F12F94" w14:textId="77777777" w:rsidR="003E0000" w:rsidRPr="007634CA" w:rsidRDefault="003E0000" w:rsidP="00774A51">
            <w:pPr>
              <w:spacing w:line="276" w:lineRule="auto"/>
              <w:rPr>
                <w:rFonts w:ascii="Arial" w:eastAsia="Arial" w:hAnsi="Arial" w:cs="Arial"/>
                <w:color w:val="auto"/>
                <w:sz w:val="16"/>
                <w:szCs w:val="16"/>
                <w:lang w:val="en-GB"/>
              </w:rPr>
            </w:pPr>
          </w:p>
          <w:p w14:paraId="4AA207D6" w14:textId="02EFF212" w:rsidR="003E0000" w:rsidRPr="007634CA" w:rsidRDefault="003E0000" w:rsidP="00774A51">
            <w:pPr>
              <w:spacing w:line="276" w:lineRule="auto"/>
              <w:rPr>
                <w:rFonts w:ascii="Arial" w:eastAsia="Arial" w:hAnsi="Arial" w:cs="Arial"/>
                <w:color w:val="auto"/>
                <w:sz w:val="16"/>
                <w:szCs w:val="16"/>
                <w:lang w:val="en-GB"/>
              </w:rPr>
            </w:pPr>
            <w:r w:rsidRPr="007634CA">
              <w:rPr>
                <w:rFonts w:ascii="Arial" w:eastAsia="Arial" w:hAnsi="Arial" w:cs="Arial"/>
                <w:color w:val="auto"/>
                <w:sz w:val="16"/>
                <w:szCs w:val="16"/>
                <w:lang w:val="en-GB"/>
              </w:rPr>
              <w:t>2.</w:t>
            </w:r>
            <w:r w:rsidR="00250E0F" w:rsidRPr="007634CA">
              <w:rPr>
                <w:rFonts w:ascii="Arial" w:eastAsia="Arial" w:hAnsi="Arial" w:cs="Arial"/>
                <w:color w:val="auto"/>
                <w:sz w:val="16"/>
                <w:szCs w:val="16"/>
                <w:lang w:val="en-GB"/>
              </w:rPr>
              <w:t>1.2</w:t>
            </w:r>
            <w:r w:rsidRPr="007634CA">
              <w:rPr>
                <w:rFonts w:ascii="Arial" w:eastAsia="Arial" w:hAnsi="Arial" w:cs="Arial"/>
                <w:color w:val="auto"/>
                <w:sz w:val="16"/>
                <w:szCs w:val="16"/>
                <w:lang w:val="en-GB"/>
              </w:rPr>
              <w:t>. % of grantees receiving GESI integration training</w:t>
            </w:r>
          </w:p>
          <w:p w14:paraId="16ECC17A" w14:textId="77777777" w:rsidR="003E0000" w:rsidRPr="007634CA" w:rsidRDefault="003E0000" w:rsidP="00774A51">
            <w:pPr>
              <w:spacing w:line="276" w:lineRule="auto"/>
              <w:rPr>
                <w:rFonts w:ascii="Arial" w:eastAsia="Arial" w:hAnsi="Arial" w:cs="Arial"/>
                <w:color w:val="auto"/>
                <w:sz w:val="16"/>
                <w:szCs w:val="16"/>
                <w:lang w:val="en-GB"/>
              </w:rPr>
            </w:pPr>
          </w:p>
          <w:p w14:paraId="0D3C4180" w14:textId="1AF7B01B" w:rsidR="003E0000" w:rsidRPr="007634CA" w:rsidRDefault="003E0000" w:rsidP="00774A51">
            <w:pPr>
              <w:spacing w:line="276" w:lineRule="auto"/>
              <w:rPr>
                <w:rFonts w:ascii="Arial" w:eastAsia="Arial" w:hAnsi="Arial" w:cs="Arial"/>
                <w:color w:val="auto"/>
                <w:sz w:val="16"/>
                <w:szCs w:val="16"/>
                <w:lang w:val="en-GB"/>
              </w:rPr>
            </w:pPr>
            <w:r w:rsidRPr="007634CA">
              <w:rPr>
                <w:rFonts w:ascii="Arial" w:eastAsia="Arial" w:hAnsi="Arial" w:cs="Arial"/>
                <w:color w:val="auto"/>
                <w:sz w:val="16"/>
                <w:szCs w:val="16"/>
                <w:lang w:val="en-GB"/>
              </w:rPr>
              <w:t>2.</w:t>
            </w:r>
            <w:r w:rsidR="00250E0F" w:rsidRPr="007634CA">
              <w:rPr>
                <w:rFonts w:ascii="Arial" w:eastAsia="Arial" w:hAnsi="Arial" w:cs="Arial"/>
                <w:color w:val="auto"/>
                <w:sz w:val="16"/>
                <w:szCs w:val="16"/>
                <w:lang w:val="en-GB"/>
              </w:rPr>
              <w:t>1.3</w:t>
            </w:r>
            <w:r w:rsidRPr="007634CA">
              <w:rPr>
                <w:rFonts w:ascii="Arial" w:eastAsia="Arial" w:hAnsi="Arial" w:cs="Arial"/>
                <w:color w:val="auto"/>
                <w:sz w:val="16"/>
                <w:szCs w:val="16"/>
                <w:lang w:val="en-GB"/>
              </w:rPr>
              <w:t>. Number of women-led or minority-led projects receiving tailored mentoring</w:t>
            </w:r>
          </w:p>
          <w:p w14:paraId="0A91B0E5" w14:textId="5E67AE99" w:rsidR="003E0000" w:rsidRPr="007634CA" w:rsidRDefault="003E0000" w:rsidP="00774A51">
            <w:pPr>
              <w:spacing w:line="276" w:lineRule="auto"/>
              <w:rPr>
                <w:rFonts w:ascii="Arial" w:eastAsia="Arial" w:hAnsi="Arial" w:cs="Arial"/>
                <w:color w:val="auto"/>
                <w:sz w:val="16"/>
                <w:szCs w:val="16"/>
                <w:lang w:val="en-GB"/>
              </w:rPr>
            </w:pPr>
          </w:p>
        </w:tc>
        <w:tc>
          <w:tcPr>
            <w:tcW w:w="993" w:type="dxa"/>
            <w:tcBorders>
              <w:top w:val="single" w:sz="4" w:space="0" w:color="auto"/>
              <w:bottom w:val="single" w:sz="4" w:space="0" w:color="auto"/>
            </w:tcBorders>
          </w:tcPr>
          <w:p w14:paraId="575CC9C4" w14:textId="77777777" w:rsidR="003E0000" w:rsidRPr="007634CA" w:rsidRDefault="003E0000" w:rsidP="00774A51">
            <w:pPr>
              <w:spacing w:line="276" w:lineRule="auto"/>
              <w:rPr>
                <w:rFonts w:ascii="Arial" w:eastAsia="Arial" w:hAnsi="Arial" w:cs="Arial"/>
                <w:color w:val="auto"/>
                <w:sz w:val="16"/>
                <w:szCs w:val="16"/>
                <w:lang w:val="en-GB"/>
              </w:rPr>
            </w:pPr>
            <w:r w:rsidRPr="007634CA">
              <w:rPr>
                <w:rFonts w:ascii="Arial" w:eastAsia="Arial" w:hAnsi="Arial" w:cs="Arial"/>
                <w:color w:val="auto"/>
                <w:sz w:val="16"/>
                <w:szCs w:val="16"/>
                <w:lang w:val="en-GB"/>
              </w:rPr>
              <w:t>0</w:t>
            </w:r>
          </w:p>
          <w:p w14:paraId="1DB54FE1" w14:textId="77777777" w:rsidR="003E0000" w:rsidRPr="007634CA" w:rsidRDefault="003E0000" w:rsidP="00774A51">
            <w:pPr>
              <w:spacing w:line="276" w:lineRule="auto"/>
              <w:rPr>
                <w:rFonts w:ascii="Arial" w:eastAsia="Arial" w:hAnsi="Arial" w:cs="Arial"/>
                <w:color w:val="auto"/>
                <w:sz w:val="16"/>
                <w:szCs w:val="16"/>
                <w:lang w:val="en-GB"/>
              </w:rPr>
            </w:pPr>
          </w:p>
          <w:p w14:paraId="4FC61EE3" w14:textId="77777777" w:rsidR="003E0000" w:rsidRPr="007634CA" w:rsidRDefault="003E0000" w:rsidP="00774A51">
            <w:pPr>
              <w:spacing w:line="276" w:lineRule="auto"/>
              <w:rPr>
                <w:rFonts w:ascii="Arial" w:eastAsia="Arial" w:hAnsi="Arial" w:cs="Arial"/>
                <w:color w:val="auto"/>
                <w:sz w:val="16"/>
                <w:szCs w:val="16"/>
                <w:lang w:val="en-GB"/>
              </w:rPr>
            </w:pPr>
          </w:p>
          <w:p w14:paraId="7E9BD47C" w14:textId="77777777" w:rsidR="003E0000" w:rsidRPr="007634CA" w:rsidRDefault="003E0000" w:rsidP="00774A51">
            <w:pPr>
              <w:spacing w:line="276" w:lineRule="auto"/>
              <w:rPr>
                <w:rFonts w:ascii="Arial" w:eastAsia="Arial" w:hAnsi="Arial" w:cs="Arial"/>
                <w:color w:val="auto"/>
                <w:sz w:val="16"/>
                <w:szCs w:val="16"/>
                <w:lang w:val="en-GB"/>
              </w:rPr>
            </w:pPr>
          </w:p>
          <w:p w14:paraId="3B339A13" w14:textId="77777777" w:rsidR="003E0000" w:rsidRPr="007634CA" w:rsidRDefault="003E0000" w:rsidP="00774A51">
            <w:pPr>
              <w:spacing w:line="276" w:lineRule="auto"/>
              <w:rPr>
                <w:rFonts w:ascii="Arial" w:eastAsia="Arial" w:hAnsi="Arial" w:cs="Arial"/>
                <w:color w:val="auto"/>
                <w:sz w:val="16"/>
                <w:szCs w:val="16"/>
                <w:lang w:val="en-GB"/>
              </w:rPr>
            </w:pPr>
          </w:p>
          <w:p w14:paraId="45AA9CA6" w14:textId="77777777" w:rsidR="003E0000" w:rsidRPr="007634CA" w:rsidRDefault="003E0000" w:rsidP="00774A51">
            <w:pPr>
              <w:spacing w:line="276" w:lineRule="auto"/>
              <w:rPr>
                <w:rFonts w:ascii="Arial" w:eastAsia="Arial" w:hAnsi="Arial" w:cs="Arial"/>
                <w:color w:val="auto"/>
                <w:sz w:val="16"/>
                <w:szCs w:val="16"/>
                <w:lang w:val="en-GB"/>
              </w:rPr>
            </w:pPr>
          </w:p>
          <w:p w14:paraId="3D486CAA" w14:textId="77777777" w:rsidR="003E0000" w:rsidRPr="007634CA" w:rsidRDefault="003E0000" w:rsidP="00774A51">
            <w:pPr>
              <w:spacing w:line="276" w:lineRule="auto"/>
              <w:rPr>
                <w:rFonts w:ascii="Arial" w:eastAsia="Arial" w:hAnsi="Arial" w:cs="Arial"/>
                <w:color w:val="auto"/>
                <w:sz w:val="16"/>
                <w:szCs w:val="16"/>
                <w:lang w:val="en-GB"/>
              </w:rPr>
            </w:pPr>
            <w:r w:rsidRPr="007634CA">
              <w:rPr>
                <w:rFonts w:ascii="Arial" w:eastAsia="Arial" w:hAnsi="Arial" w:cs="Arial"/>
                <w:color w:val="auto"/>
                <w:sz w:val="16"/>
                <w:szCs w:val="16"/>
                <w:lang w:val="en-GB"/>
              </w:rPr>
              <w:t>0</w:t>
            </w:r>
          </w:p>
          <w:p w14:paraId="1E7D7FDD" w14:textId="77777777" w:rsidR="003E0000" w:rsidRPr="007634CA" w:rsidRDefault="003E0000" w:rsidP="00774A51">
            <w:pPr>
              <w:spacing w:line="276" w:lineRule="auto"/>
              <w:rPr>
                <w:rFonts w:ascii="Arial" w:eastAsia="Arial" w:hAnsi="Arial" w:cs="Arial"/>
                <w:color w:val="auto"/>
                <w:sz w:val="16"/>
                <w:szCs w:val="16"/>
                <w:lang w:val="en-GB"/>
              </w:rPr>
            </w:pPr>
          </w:p>
          <w:p w14:paraId="4F9F0D69" w14:textId="77777777" w:rsidR="003E0000" w:rsidRPr="007634CA" w:rsidRDefault="003E0000" w:rsidP="00774A51">
            <w:pPr>
              <w:spacing w:line="276" w:lineRule="auto"/>
              <w:rPr>
                <w:rFonts w:ascii="Arial" w:eastAsia="Arial" w:hAnsi="Arial" w:cs="Arial"/>
                <w:color w:val="auto"/>
                <w:sz w:val="16"/>
                <w:szCs w:val="16"/>
                <w:lang w:val="en-GB"/>
              </w:rPr>
            </w:pPr>
          </w:p>
          <w:p w14:paraId="5C295F4C" w14:textId="77777777" w:rsidR="003E0000" w:rsidRPr="007634CA" w:rsidRDefault="003E0000" w:rsidP="00774A51">
            <w:pPr>
              <w:spacing w:line="276" w:lineRule="auto"/>
              <w:rPr>
                <w:rFonts w:ascii="Arial" w:eastAsia="Arial" w:hAnsi="Arial" w:cs="Arial"/>
                <w:color w:val="auto"/>
                <w:sz w:val="16"/>
                <w:szCs w:val="16"/>
                <w:lang w:val="en-GB"/>
              </w:rPr>
            </w:pPr>
          </w:p>
          <w:p w14:paraId="3A39BDC0" w14:textId="77777777" w:rsidR="003E0000" w:rsidRPr="007634CA" w:rsidRDefault="003E0000" w:rsidP="00774A51">
            <w:pPr>
              <w:spacing w:line="276" w:lineRule="auto"/>
              <w:rPr>
                <w:rFonts w:ascii="Arial" w:eastAsia="Arial" w:hAnsi="Arial" w:cs="Arial"/>
                <w:color w:val="auto"/>
                <w:sz w:val="16"/>
                <w:szCs w:val="16"/>
                <w:lang w:val="en-GB"/>
              </w:rPr>
            </w:pPr>
            <w:r w:rsidRPr="007634CA">
              <w:rPr>
                <w:rFonts w:ascii="Arial" w:eastAsia="Arial" w:hAnsi="Arial" w:cs="Arial"/>
                <w:color w:val="auto"/>
                <w:sz w:val="16"/>
                <w:szCs w:val="16"/>
                <w:lang w:val="en-GB"/>
              </w:rPr>
              <w:t>0</w:t>
            </w:r>
          </w:p>
          <w:p w14:paraId="5431521B" w14:textId="77777777" w:rsidR="003E0000" w:rsidRPr="007634CA" w:rsidRDefault="003E0000" w:rsidP="00774A51">
            <w:pPr>
              <w:spacing w:line="276" w:lineRule="auto"/>
              <w:rPr>
                <w:rFonts w:ascii="Arial" w:eastAsia="Arial" w:hAnsi="Arial" w:cs="Arial"/>
                <w:color w:val="auto"/>
                <w:sz w:val="16"/>
                <w:szCs w:val="16"/>
                <w:lang w:val="en-GB"/>
              </w:rPr>
            </w:pPr>
          </w:p>
          <w:p w14:paraId="0327AA1B" w14:textId="77777777" w:rsidR="003E0000" w:rsidRPr="007634CA" w:rsidRDefault="003E0000" w:rsidP="00774A51">
            <w:pPr>
              <w:spacing w:line="276" w:lineRule="auto"/>
              <w:rPr>
                <w:rFonts w:ascii="Arial" w:eastAsia="Arial" w:hAnsi="Arial" w:cs="Arial"/>
                <w:color w:val="auto"/>
                <w:sz w:val="16"/>
                <w:szCs w:val="16"/>
                <w:lang w:val="en-GB"/>
              </w:rPr>
            </w:pPr>
          </w:p>
          <w:p w14:paraId="23B58E8C" w14:textId="77777777" w:rsidR="003E0000" w:rsidRPr="007634CA" w:rsidRDefault="003E0000" w:rsidP="00774A51">
            <w:pPr>
              <w:spacing w:line="276" w:lineRule="auto"/>
              <w:rPr>
                <w:rFonts w:ascii="Arial" w:eastAsia="Arial" w:hAnsi="Arial" w:cs="Arial"/>
                <w:color w:val="auto"/>
                <w:sz w:val="16"/>
                <w:szCs w:val="16"/>
                <w:lang w:val="en-GB"/>
              </w:rPr>
            </w:pPr>
          </w:p>
          <w:p w14:paraId="123BF1AC" w14:textId="6F3F7D44" w:rsidR="003E0000" w:rsidRPr="007634CA" w:rsidRDefault="003E0000" w:rsidP="00774A51">
            <w:pPr>
              <w:spacing w:line="276" w:lineRule="auto"/>
              <w:rPr>
                <w:rFonts w:ascii="Arial" w:eastAsia="Arial" w:hAnsi="Arial" w:cs="Arial"/>
                <w:color w:val="auto"/>
                <w:sz w:val="16"/>
                <w:szCs w:val="16"/>
                <w:lang w:val="en-GB"/>
              </w:rPr>
            </w:pPr>
          </w:p>
        </w:tc>
        <w:tc>
          <w:tcPr>
            <w:tcW w:w="1275" w:type="dxa"/>
            <w:tcBorders>
              <w:top w:val="single" w:sz="4" w:space="0" w:color="auto"/>
              <w:bottom w:val="single" w:sz="4" w:space="0" w:color="auto"/>
            </w:tcBorders>
          </w:tcPr>
          <w:p w14:paraId="774FD668" w14:textId="77777777" w:rsidR="003E0000" w:rsidRPr="007634CA" w:rsidRDefault="003E0000" w:rsidP="00774A51">
            <w:pPr>
              <w:spacing w:line="276" w:lineRule="auto"/>
              <w:rPr>
                <w:rFonts w:ascii="Arial" w:eastAsia="Arial" w:hAnsi="Arial" w:cs="Arial"/>
                <w:color w:val="auto"/>
                <w:sz w:val="16"/>
                <w:szCs w:val="16"/>
                <w:lang w:val="en-GB"/>
              </w:rPr>
            </w:pPr>
            <w:r w:rsidRPr="007634CA">
              <w:rPr>
                <w:rFonts w:ascii="Arial" w:eastAsia="Arial" w:hAnsi="Arial" w:cs="Arial"/>
                <w:color w:val="auto"/>
                <w:sz w:val="16"/>
                <w:szCs w:val="16"/>
                <w:lang w:val="en-GB"/>
              </w:rPr>
              <w:t>20</w:t>
            </w:r>
          </w:p>
          <w:p w14:paraId="4CE140F4" w14:textId="77777777" w:rsidR="003E0000" w:rsidRPr="007634CA" w:rsidRDefault="003E0000" w:rsidP="00774A51">
            <w:pPr>
              <w:spacing w:line="276" w:lineRule="auto"/>
              <w:rPr>
                <w:rFonts w:ascii="Arial" w:eastAsia="Arial" w:hAnsi="Arial" w:cs="Arial"/>
                <w:color w:val="auto"/>
                <w:sz w:val="16"/>
                <w:szCs w:val="16"/>
                <w:lang w:val="en-GB"/>
              </w:rPr>
            </w:pPr>
          </w:p>
          <w:p w14:paraId="78859D24" w14:textId="77777777" w:rsidR="003E0000" w:rsidRPr="007634CA" w:rsidRDefault="003E0000" w:rsidP="00774A51">
            <w:pPr>
              <w:spacing w:line="276" w:lineRule="auto"/>
              <w:rPr>
                <w:rFonts w:ascii="Arial" w:eastAsia="Arial" w:hAnsi="Arial" w:cs="Arial"/>
                <w:color w:val="auto"/>
                <w:sz w:val="16"/>
                <w:szCs w:val="16"/>
                <w:lang w:val="en-GB"/>
              </w:rPr>
            </w:pPr>
          </w:p>
          <w:p w14:paraId="38EA5960" w14:textId="77777777" w:rsidR="003E0000" w:rsidRPr="007634CA" w:rsidRDefault="003E0000" w:rsidP="00774A51">
            <w:pPr>
              <w:spacing w:line="276" w:lineRule="auto"/>
              <w:rPr>
                <w:rFonts w:ascii="Arial" w:eastAsia="Arial" w:hAnsi="Arial" w:cs="Arial"/>
                <w:color w:val="auto"/>
                <w:sz w:val="16"/>
                <w:szCs w:val="16"/>
                <w:lang w:val="en-GB"/>
              </w:rPr>
            </w:pPr>
          </w:p>
          <w:p w14:paraId="2AD9AAA4" w14:textId="77777777" w:rsidR="003E0000" w:rsidRPr="007634CA" w:rsidRDefault="003E0000" w:rsidP="00774A51">
            <w:pPr>
              <w:spacing w:line="276" w:lineRule="auto"/>
              <w:rPr>
                <w:rFonts w:ascii="Arial" w:eastAsia="Arial" w:hAnsi="Arial" w:cs="Arial"/>
                <w:color w:val="auto"/>
                <w:sz w:val="16"/>
                <w:szCs w:val="16"/>
                <w:lang w:val="en-GB"/>
              </w:rPr>
            </w:pPr>
          </w:p>
          <w:p w14:paraId="32B67445" w14:textId="77777777" w:rsidR="003E0000" w:rsidRPr="007634CA" w:rsidRDefault="003E0000" w:rsidP="00774A51">
            <w:pPr>
              <w:spacing w:line="276" w:lineRule="auto"/>
              <w:rPr>
                <w:rFonts w:ascii="Arial" w:eastAsia="Arial" w:hAnsi="Arial" w:cs="Arial"/>
                <w:color w:val="auto"/>
                <w:sz w:val="16"/>
                <w:szCs w:val="16"/>
                <w:lang w:val="en-GB"/>
              </w:rPr>
            </w:pPr>
          </w:p>
          <w:p w14:paraId="37EC5BD8" w14:textId="7B742B84" w:rsidR="003E0000" w:rsidRPr="007634CA" w:rsidRDefault="003E0000" w:rsidP="00774A51">
            <w:pPr>
              <w:spacing w:line="276" w:lineRule="auto"/>
              <w:rPr>
                <w:rFonts w:ascii="Arial" w:eastAsia="Arial" w:hAnsi="Arial" w:cs="Arial"/>
                <w:color w:val="auto"/>
                <w:sz w:val="16"/>
                <w:szCs w:val="16"/>
                <w:lang w:val="en-GB"/>
              </w:rPr>
            </w:pPr>
            <w:r w:rsidRPr="007634CA">
              <w:rPr>
                <w:rFonts w:ascii="Arial" w:eastAsia="Arial" w:hAnsi="Arial" w:cs="Arial"/>
                <w:color w:val="auto"/>
                <w:sz w:val="16"/>
                <w:szCs w:val="16"/>
                <w:lang w:val="en-GB"/>
              </w:rPr>
              <w:t>100%</w:t>
            </w:r>
          </w:p>
          <w:p w14:paraId="018C316F" w14:textId="77777777" w:rsidR="003E0000" w:rsidRPr="007634CA" w:rsidRDefault="003E0000" w:rsidP="00774A51">
            <w:pPr>
              <w:spacing w:line="276" w:lineRule="auto"/>
              <w:rPr>
                <w:rFonts w:ascii="Arial" w:eastAsia="Arial" w:hAnsi="Arial" w:cs="Arial"/>
                <w:color w:val="auto"/>
                <w:sz w:val="16"/>
                <w:szCs w:val="16"/>
                <w:lang w:val="en-GB"/>
              </w:rPr>
            </w:pPr>
          </w:p>
          <w:p w14:paraId="7A511922" w14:textId="77777777" w:rsidR="003E0000" w:rsidRPr="007634CA" w:rsidRDefault="003E0000" w:rsidP="00774A51">
            <w:pPr>
              <w:spacing w:line="276" w:lineRule="auto"/>
              <w:rPr>
                <w:rFonts w:ascii="Arial" w:eastAsia="Arial" w:hAnsi="Arial" w:cs="Arial"/>
                <w:color w:val="auto"/>
                <w:sz w:val="16"/>
                <w:szCs w:val="16"/>
                <w:lang w:val="en-GB"/>
              </w:rPr>
            </w:pPr>
          </w:p>
          <w:p w14:paraId="143E14D5" w14:textId="77777777" w:rsidR="003E0000" w:rsidRPr="007634CA" w:rsidRDefault="003E0000" w:rsidP="00774A51">
            <w:pPr>
              <w:spacing w:line="276" w:lineRule="auto"/>
              <w:rPr>
                <w:rFonts w:ascii="Arial" w:eastAsia="Arial" w:hAnsi="Arial" w:cs="Arial"/>
                <w:color w:val="auto"/>
                <w:sz w:val="16"/>
                <w:szCs w:val="16"/>
                <w:lang w:val="en-GB"/>
              </w:rPr>
            </w:pPr>
          </w:p>
          <w:p w14:paraId="2CB1E88D" w14:textId="77777777" w:rsidR="003E0000" w:rsidRPr="007634CA" w:rsidRDefault="003E0000" w:rsidP="00774A51">
            <w:pPr>
              <w:spacing w:line="276" w:lineRule="auto"/>
              <w:rPr>
                <w:rFonts w:ascii="Arial" w:eastAsia="Arial" w:hAnsi="Arial" w:cs="Arial"/>
                <w:color w:val="auto"/>
                <w:sz w:val="16"/>
                <w:szCs w:val="16"/>
                <w:lang w:val="en-GB"/>
              </w:rPr>
            </w:pPr>
            <w:r w:rsidRPr="007634CA">
              <w:rPr>
                <w:rFonts w:ascii="Arial" w:eastAsia="Arial" w:hAnsi="Arial" w:cs="Arial"/>
                <w:color w:val="auto"/>
                <w:sz w:val="16"/>
                <w:szCs w:val="16"/>
                <w:lang w:val="en-GB"/>
              </w:rPr>
              <w:t>8</w:t>
            </w:r>
          </w:p>
          <w:p w14:paraId="117395EA" w14:textId="77777777" w:rsidR="003E0000" w:rsidRPr="007634CA" w:rsidRDefault="003E0000" w:rsidP="00774A51">
            <w:pPr>
              <w:spacing w:line="276" w:lineRule="auto"/>
              <w:rPr>
                <w:rFonts w:ascii="Arial" w:eastAsia="Arial" w:hAnsi="Arial" w:cs="Arial"/>
                <w:color w:val="auto"/>
                <w:sz w:val="16"/>
                <w:szCs w:val="16"/>
                <w:lang w:val="en-GB"/>
              </w:rPr>
            </w:pPr>
          </w:p>
          <w:p w14:paraId="5EF1ED64" w14:textId="77777777" w:rsidR="003E0000" w:rsidRPr="007634CA" w:rsidRDefault="003E0000" w:rsidP="00774A51">
            <w:pPr>
              <w:spacing w:line="276" w:lineRule="auto"/>
              <w:rPr>
                <w:rFonts w:ascii="Arial" w:eastAsia="Arial" w:hAnsi="Arial" w:cs="Arial"/>
                <w:color w:val="auto"/>
                <w:sz w:val="16"/>
                <w:szCs w:val="16"/>
                <w:lang w:val="en-GB"/>
              </w:rPr>
            </w:pPr>
          </w:p>
          <w:p w14:paraId="15526315" w14:textId="77777777" w:rsidR="003E0000" w:rsidRPr="007634CA" w:rsidRDefault="003E0000" w:rsidP="00774A51">
            <w:pPr>
              <w:spacing w:line="276" w:lineRule="auto"/>
              <w:rPr>
                <w:rFonts w:ascii="Arial" w:eastAsia="Arial" w:hAnsi="Arial" w:cs="Arial"/>
                <w:color w:val="auto"/>
                <w:sz w:val="16"/>
                <w:szCs w:val="16"/>
                <w:lang w:val="en-GB"/>
              </w:rPr>
            </w:pPr>
          </w:p>
          <w:p w14:paraId="20B31AF8" w14:textId="77777777" w:rsidR="003E0000" w:rsidRPr="007634CA" w:rsidRDefault="003E0000" w:rsidP="00774A51">
            <w:pPr>
              <w:spacing w:line="276" w:lineRule="auto"/>
              <w:rPr>
                <w:rFonts w:ascii="Arial" w:eastAsia="Arial" w:hAnsi="Arial" w:cs="Arial"/>
                <w:color w:val="auto"/>
                <w:sz w:val="16"/>
                <w:szCs w:val="16"/>
                <w:lang w:val="en-GB"/>
              </w:rPr>
            </w:pPr>
          </w:p>
        </w:tc>
        <w:tc>
          <w:tcPr>
            <w:tcW w:w="1276" w:type="dxa"/>
            <w:vMerge/>
          </w:tcPr>
          <w:p w14:paraId="121E5A83" w14:textId="77777777" w:rsidR="003E0000" w:rsidRPr="007634CA" w:rsidRDefault="003E0000" w:rsidP="00774A51">
            <w:pPr>
              <w:spacing w:line="276" w:lineRule="auto"/>
              <w:rPr>
                <w:rFonts w:ascii="Arial" w:eastAsia="Arial" w:hAnsi="Arial" w:cs="Arial"/>
                <w:color w:val="auto"/>
                <w:sz w:val="16"/>
                <w:szCs w:val="16"/>
              </w:rPr>
            </w:pPr>
          </w:p>
        </w:tc>
        <w:tc>
          <w:tcPr>
            <w:tcW w:w="1820" w:type="dxa"/>
            <w:vMerge/>
          </w:tcPr>
          <w:p w14:paraId="318312D5" w14:textId="77777777" w:rsidR="003E0000" w:rsidRPr="007634CA" w:rsidRDefault="003E0000" w:rsidP="00774A51">
            <w:pPr>
              <w:spacing w:line="276" w:lineRule="auto"/>
              <w:rPr>
                <w:rFonts w:ascii="Arial" w:eastAsia="Arial" w:hAnsi="Arial" w:cs="Arial"/>
                <w:b/>
                <w:bCs/>
                <w:color w:val="auto"/>
                <w:sz w:val="16"/>
                <w:szCs w:val="16"/>
              </w:rPr>
            </w:pPr>
          </w:p>
        </w:tc>
      </w:tr>
      <w:tr w:rsidR="003E0000" w:rsidRPr="007634CA" w14:paraId="0140E33E" w14:textId="77777777" w:rsidTr="00774A51">
        <w:trPr>
          <w:trHeight w:val="1667"/>
        </w:trPr>
        <w:tc>
          <w:tcPr>
            <w:tcW w:w="2547" w:type="dxa"/>
            <w:tcBorders>
              <w:top w:val="single" w:sz="4" w:space="0" w:color="auto"/>
            </w:tcBorders>
          </w:tcPr>
          <w:p w14:paraId="3845720B" w14:textId="77777777" w:rsidR="003E0000" w:rsidRPr="007634CA" w:rsidRDefault="003E0000" w:rsidP="00774A51">
            <w:pPr>
              <w:spacing w:line="276" w:lineRule="auto"/>
              <w:rPr>
                <w:rFonts w:ascii="Arial" w:eastAsia="Arial" w:hAnsi="Arial" w:cs="Arial"/>
                <w:b/>
                <w:bCs/>
                <w:color w:val="auto"/>
                <w:sz w:val="16"/>
                <w:szCs w:val="16"/>
                <w:lang w:val="en-GB"/>
              </w:rPr>
            </w:pPr>
            <w:r w:rsidRPr="007634CA">
              <w:rPr>
                <w:rFonts w:ascii="Arial" w:eastAsia="Arial" w:hAnsi="Arial" w:cs="Arial"/>
                <w:b/>
                <w:bCs/>
                <w:color w:val="auto"/>
                <w:sz w:val="16"/>
                <w:szCs w:val="16"/>
                <w:lang w:val="en-GB"/>
              </w:rPr>
              <w:lastRenderedPageBreak/>
              <w:t xml:space="preserve">Output 2.2: </w:t>
            </w:r>
            <w:r w:rsidRPr="007634CA">
              <w:rPr>
                <w:rFonts w:ascii="Arial" w:eastAsia="Arial" w:hAnsi="Arial" w:cs="Arial"/>
                <w:color w:val="auto"/>
                <w:sz w:val="16"/>
                <w:szCs w:val="16"/>
                <w:lang w:val="en-GB"/>
              </w:rPr>
              <w:t>Scalable adaptation innovations are connected to funding and financing opportunities and supported for integration into national systems, local service delivery, or relevant markets.</w:t>
            </w:r>
          </w:p>
        </w:tc>
        <w:tc>
          <w:tcPr>
            <w:tcW w:w="1984" w:type="dxa"/>
            <w:tcBorders>
              <w:top w:val="single" w:sz="4" w:space="0" w:color="auto"/>
            </w:tcBorders>
          </w:tcPr>
          <w:p w14:paraId="21189C6C" w14:textId="49AD8A20" w:rsidR="003E0000" w:rsidRPr="007634CA" w:rsidRDefault="003E0000" w:rsidP="00774A51">
            <w:pPr>
              <w:spacing w:line="276" w:lineRule="auto"/>
              <w:rPr>
                <w:rFonts w:ascii="Arial" w:eastAsia="Arial" w:hAnsi="Arial" w:cs="Arial"/>
                <w:color w:val="auto"/>
                <w:sz w:val="16"/>
                <w:szCs w:val="16"/>
                <w:lang w:val="en-GB"/>
              </w:rPr>
            </w:pPr>
            <w:r w:rsidRPr="007634CA">
              <w:rPr>
                <w:rFonts w:ascii="Arial" w:eastAsia="Arial" w:hAnsi="Arial" w:cs="Arial"/>
                <w:color w:val="auto"/>
                <w:sz w:val="16"/>
                <w:szCs w:val="16"/>
                <w:lang w:val="en-GB"/>
              </w:rPr>
              <w:t>2.2</w:t>
            </w:r>
            <w:r w:rsidR="00250E0F" w:rsidRPr="007634CA">
              <w:rPr>
                <w:rFonts w:ascii="Arial" w:eastAsia="Arial" w:hAnsi="Arial" w:cs="Arial"/>
                <w:color w:val="auto"/>
                <w:sz w:val="16"/>
                <w:szCs w:val="16"/>
                <w:lang w:val="en-GB"/>
              </w:rPr>
              <w:t>.1</w:t>
            </w:r>
            <w:r w:rsidRPr="007634CA">
              <w:rPr>
                <w:rFonts w:ascii="Arial" w:eastAsia="Arial" w:hAnsi="Arial" w:cs="Arial"/>
                <w:color w:val="auto"/>
                <w:sz w:val="16"/>
                <w:szCs w:val="16"/>
                <w:lang w:val="en-GB"/>
              </w:rPr>
              <w:t xml:space="preserve"> No of business plans, prototypes, or investment pitches developed</w:t>
            </w:r>
          </w:p>
          <w:p w14:paraId="5B34F4D9" w14:textId="753982BC" w:rsidR="003E0000" w:rsidRPr="007634CA" w:rsidRDefault="003E0000" w:rsidP="00774A51">
            <w:pPr>
              <w:spacing w:line="276" w:lineRule="auto"/>
              <w:rPr>
                <w:rFonts w:ascii="Arial" w:eastAsia="Arial" w:hAnsi="Arial" w:cs="Arial"/>
                <w:color w:val="auto"/>
                <w:sz w:val="16"/>
                <w:szCs w:val="16"/>
                <w:lang w:val="en-GB"/>
              </w:rPr>
            </w:pPr>
          </w:p>
        </w:tc>
        <w:tc>
          <w:tcPr>
            <w:tcW w:w="993" w:type="dxa"/>
            <w:tcBorders>
              <w:top w:val="single" w:sz="4" w:space="0" w:color="auto"/>
            </w:tcBorders>
          </w:tcPr>
          <w:p w14:paraId="3B363B74" w14:textId="77777777" w:rsidR="003E0000" w:rsidRPr="007634CA" w:rsidRDefault="003E0000" w:rsidP="00774A51">
            <w:pPr>
              <w:spacing w:line="276" w:lineRule="auto"/>
              <w:rPr>
                <w:rFonts w:ascii="Arial" w:eastAsia="Arial" w:hAnsi="Arial" w:cs="Arial"/>
                <w:color w:val="auto"/>
                <w:sz w:val="16"/>
                <w:szCs w:val="16"/>
                <w:lang w:val="en-GB"/>
              </w:rPr>
            </w:pPr>
            <w:r w:rsidRPr="007634CA">
              <w:rPr>
                <w:rFonts w:ascii="Arial" w:eastAsia="Arial" w:hAnsi="Arial" w:cs="Arial"/>
                <w:color w:val="auto"/>
                <w:sz w:val="16"/>
                <w:szCs w:val="16"/>
                <w:lang w:val="en-GB"/>
              </w:rPr>
              <w:t>0</w:t>
            </w:r>
          </w:p>
          <w:p w14:paraId="177E306A" w14:textId="77777777" w:rsidR="003E0000" w:rsidRPr="007634CA" w:rsidRDefault="003E0000" w:rsidP="00774A51">
            <w:pPr>
              <w:spacing w:line="276" w:lineRule="auto"/>
              <w:rPr>
                <w:rFonts w:ascii="Arial" w:eastAsia="Arial" w:hAnsi="Arial" w:cs="Arial"/>
                <w:color w:val="auto"/>
                <w:sz w:val="16"/>
                <w:szCs w:val="16"/>
                <w:lang w:val="en-GB"/>
              </w:rPr>
            </w:pPr>
          </w:p>
          <w:p w14:paraId="19A21568" w14:textId="33CFB44A" w:rsidR="003E0000" w:rsidRPr="007634CA" w:rsidRDefault="003E0000" w:rsidP="00774A51">
            <w:pPr>
              <w:spacing w:line="276" w:lineRule="auto"/>
              <w:rPr>
                <w:rFonts w:ascii="Arial" w:eastAsia="Arial" w:hAnsi="Arial" w:cs="Arial"/>
                <w:color w:val="auto"/>
                <w:sz w:val="16"/>
                <w:szCs w:val="16"/>
                <w:lang w:val="en-GB"/>
              </w:rPr>
            </w:pPr>
          </w:p>
        </w:tc>
        <w:tc>
          <w:tcPr>
            <w:tcW w:w="1275" w:type="dxa"/>
            <w:tcBorders>
              <w:top w:val="single" w:sz="4" w:space="0" w:color="auto"/>
            </w:tcBorders>
          </w:tcPr>
          <w:p w14:paraId="7A1BF1D2" w14:textId="0EBEF5E5" w:rsidR="003E0000" w:rsidRPr="007634CA" w:rsidRDefault="003E0000" w:rsidP="00774A51">
            <w:pPr>
              <w:spacing w:line="276" w:lineRule="auto"/>
              <w:rPr>
                <w:rFonts w:ascii="Arial" w:eastAsia="Arial" w:hAnsi="Arial" w:cs="Arial"/>
                <w:color w:val="auto"/>
                <w:sz w:val="16"/>
                <w:szCs w:val="16"/>
                <w:lang w:val="en-GB"/>
              </w:rPr>
            </w:pPr>
            <w:r w:rsidRPr="007634CA">
              <w:rPr>
                <w:rFonts w:ascii="Arial" w:eastAsia="Arial" w:hAnsi="Arial" w:cs="Arial"/>
                <w:color w:val="auto"/>
                <w:sz w:val="16"/>
                <w:szCs w:val="16"/>
                <w:lang w:val="en-GB"/>
              </w:rPr>
              <w:t>20 TBD (depends on grantee capacity and BOOST outcomes)</w:t>
            </w:r>
          </w:p>
        </w:tc>
        <w:tc>
          <w:tcPr>
            <w:tcW w:w="1276" w:type="dxa"/>
            <w:vMerge/>
          </w:tcPr>
          <w:p w14:paraId="1D190A97" w14:textId="77777777" w:rsidR="003E0000" w:rsidRPr="007634CA" w:rsidRDefault="003E0000" w:rsidP="00774A51">
            <w:pPr>
              <w:spacing w:line="276" w:lineRule="auto"/>
              <w:rPr>
                <w:rFonts w:ascii="Arial" w:eastAsia="Arial" w:hAnsi="Arial" w:cs="Arial"/>
                <w:color w:val="auto"/>
                <w:sz w:val="16"/>
                <w:szCs w:val="16"/>
              </w:rPr>
            </w:pPr>
          </w:p>
        </w:tc>
        <w:tc>
          <w:tcPr>
            <w:tcW w:w="1820" w:type="dxa"/>
            <w:vMerge/>
          </w:tcPr>
          <w:p w14:paraId="64B7FBB9" w14:textId="77777777" w:rsidR="003E0000" w:rsidRPr="007634CA" w:rsidRDefault="003E0000" w:rsidP="00774A51">
            <w:pPr>
              <w:spacing w:line="276" w:lineRule="auto"/>
              <w:rPr>
                <w:rFonts w:ascii="Arial" w:eastAsia="Arial" w:hAnsi="Arial" w:cs="Arial"/>
                <w:b/>
                <w:bCs/>
                <w:color w:val="auto"/>
                <w:sz w:val="16"/>
                <w:szCs w:val="16"/>
              </w:rPr>
            </w:pPr>
          </w:p>
        </w:tc>
      </w:tr>
      <w:tr w:rsidR="00774A51" w:rsidRPr="007634CA" w14:paraId="565825E0" w14:textId="77777777" w:rsidTr="00E47DE1">
        <w:trPr>
          <w:trHeight w:val="70"/>
        </w:trPr>
        <w:tc>
          <w:tcPr>
            <w:tcW w:w="2547" w:type="dxa"/>
            <w:tcBorders>
              <w:bottom w:val="single" w:sz="4" w:space="0" w:color="auto"/>
            </w:tcBorders>
          </w:tcPr>
          <w:p w14:paraId="2869E8F8" w14:textId="77777777" w:rsidR="00774A51" w:rsidRPr="007634CA" w:rsidRDefault="00774A51" w:rsidP="00774A51">
            <w:pPr>
              <w:spacing w:line="276" w:lineRule="auto"/>
              <w:rPr>
                <w:rFonts w:ascii="Arial" w:eastAsia="Arial" w:hAnsi="Arial" w:cs="Arial"/>
                <w:i/>
                <w:iCs/>
                <w:color w:val="auto"/>
                <w:sz w:val="16"/>
                <w:szCs w:val="16"/>
                <w:lang w:val="en-GB"/>
              </w:rPr>
            </w:pPr>
            <w:r w:rsidRPr="007634CA">
              <w:rPr>
                <w:rFonts w:ascii="Arial" w:eastAsia="Arial" w:hAnsi="Arial" w:cs="Arial"/>
                <w:i/>
                <w:iCs/>
                <w:color w:val="auto"/>
                <w:sz w:val="16"/>
                <w:szCs w:val="16"/>
                <w:lang w:val="en-GB"/>
              </w:rPr>
              <w:t xml:space="preserve">Outcome 3: Knowledge, evidence, and lessons from adaptation innovations are captured, shared, and leveraged to inform replication, scale and policy engagement across the Western Balkans through regional learning platform and global networks. </w:t>
            </w:r>
          </w:p>
          <w:p w14:paraId="4A8C6319" w14:textId="397073A5" w:rsidR="00774A51" w:rsidRPr="007634CA" w:rsidRDefault="00774A51" w:rsidP="00774A51">
            <w:pPr>
              <w:spacing w:line="276" w:lineRule="auto"/>
              <w:rPr>
                <w:rFonts w:ascii="Arial" w:eastAsia="Arial" w:hAnsi="Arial" w:cs="Arial"/>
                <w:color w:val="auto"/>
                <w:sz w:val="16"/>
                <w:szCs w:val="16"/>
                <w:lang w:val="en-GB"/>
              </w:rPr>
            </w:pPr>
          </w:p>
        </w:tc>
        <w:tc>
          <w:tcPr>
            <w:tcW w:w="1984" w:type="dxa"/>
            <w:tcBorders>
              <w:bottom w:val="single" w:sz="4" w:space="0" w:color="auto"/>
            </w:tcBorders>
          </w:tcPr>
          <w:p w14:paraId="098A2622" w14:textId="77777777" w:rsidR="00774A51" w:rsidRPr="007634CA" w:rsidRDefault="00774A51" w:rsidP="00774A51">
            <w:pPr>
              <w:spacing w:line="276" w:lineRule="auto"/>
              <w:rPr>
                <w:rFonts w:ascii="Arial" w:eastAsia="Arial" w:hAnsi="Arial" w:cs="Arial"/>
                <w:color w:val="auto"/>
                <w:sz w:val="16"/>
                <w:szCs w:val="16"/>
                <w:lang w:val="en-GB"/>
              </w:rPr>
            </w:pPr>
          </w:p>
          <w:p w14:paraId="69E2B234" w14:textId="355E8FE8" w:rsidR="00774A51" w:rsidRPr="007634CA" w:rsidRDefault="00774A51" w:rsidP="00774A51">
            <w:pPr>
              <w:spacing w:line="276" w:lineRule="auto"/>
              <w:rPr>
                <w:rFonts w:ascii="Arial" w:eastAsia="Arial" w:hAnsi="Arial" w:cs="Arial"/>
                <w:sz w:val="16"/>
                <w:szCs w:val="16"/>
                <w:lang w:val="en-GB"/>
              </w:rPr>
            </w:pPr>
            <w:r w:rsidRPr="007634CA">
              <w:rPr>
                <w:rFonts w:ascii="Arial" w:eastAsia="Arial" w:hAnsi="Arial" w:cs="Arial"/>
                <w:sz w:val="16"/>
                <w:szCs w:val="16"/>
                <w:lang w:val="en-GB"/>
              </w:rPr>
              <w:t>3.1 Number of citation and/or adoption of shared lessons learned and codified knowledge</w:t>
            </w:r>
          </w:p>
          <w:p w14:paraId="6885001E" w14:textId="77777777" w:rsidR="00774A51" w:rsidRPr="007634CA" w:rsidRDefault="00774A51" w:rsidP="00774A51">
            <w:pPr>
              <w:spacing w:line="276" w:lineRule="auto"/>
              <w:rPr>
                <w:rFonts w:ascii="Arial" w:eastAsia="Arial" w:hAnsi="Arial" w:cs="Arial"/>
                <w:color w:val="auto"/>
                <w:sz w:val="16"/>
                <w:szCs w:val="16"/>
                <w:lang w:val="en-GB"/>
              </w:rPr>
            </w:pPr>
          </w:p>
          <w:p w14:paraId="06C28FA0" w14:textId="604FC92B" w:rsidR="00774A51" w:rsidRPr="007634CA" w:rsidRDefault="00774A51" w:rsidP="00774A51">
            <w:pPr>
              <w:spacing w:line="276" w:lineRule="auto"/>
              <w:jc w:val="both"/>
              <w:rPr>
                <w:rFonts w:ascii="Arial" w:eastAsia="Arial" w:hAnsi="Arial" w:cs="Arial"/>
                <w:sz w:val="16"/>
                <w:szCs w:val="16"/>
                <w:lang w:val="en-GB"/>
              </w:rPr>
            </w:pPr>
          </w:p>
        </w:tc>
        <w:tc>
          <w:tcPr>
            <w:tcW w:w="993" w:type="dxa"/>
            <w:tcBorders>
              <w:bottom w:val="single" w:sz="4" w:space="0" w:color="auto"/>
            </w:tcBorders>
          </w:tcPr>
          <w:p w14:paraId="562FBBF3" w14:textId="77777777" w:rsidR="00774A51" w:rsidRPr="007634CA" w:rsidRDefault="00774A51" w:rsidP="00774A51">
            <w:pPr>
              <w:spacing w:line="276" w:lineRule="auto"/>
              <w:rPr>
                <w:rFonts w:ascii="Arial" w:eastAsia="Arial" w:hAnsi="Arial" w:cs="Arial"/>
                <w:color w:val="auto"/>
                <w:sz w:val="16"/>
                <w:szCs w:val="16"/>
                <w:lang w:val="en-GB"/>
              </w:rPr>
            </w:pPr>
          </w:p>
          <w:p w14:paraId="3B9A606C" w14:textId="28E73552" w:rsidR="00774A51" w:rsidRPr="007634CA" w:rsidRDefault="00774A51" w:rsidP="00774A51">
            <w:pPr>
              <w:spacing w:line="276" w:lineRule="auto"/>
              <w:rPr>
                <w:rFonts w:ascii="Arial" w:eastAsia="Arial" w:hAnsi="Arial" w:cs="Arial"/>
                <w:color w:val="auto"/>
                <w:sz w:val="16"/>
                <w:szCs w:val="16"/>
                <w:lang w:val="en-GB"/>
              </w:rPr>
            </w:pPr>
            <w:r w:rsidRPr="007634CA">
              <w:rPr>
                <w:rFonts w:ascii="Arial" w:eastAsia="Arial" w:hAnsi="Arial" w:cs="Arial"/>
                <w:color w:val="auto"/>
                <w:sz w:val="16"/>
                <w:szCs w:val="16"/>
                <w:lang w:val="en-GB"/>
              </w:rPr>
              <w:t>0</w:t>
            </w:r>
          </w:p>
          <w:p w14:paraId="27A5CDDF" w14:textId="77777777" w:rsidR="00774A51" w:rsidRPr="007634CA" w:rsidRDefault="00774A51" w:rsidP="00774A51">
            <w:pPr>
              <w:spacing w:line="276" w:lineRule="auto"/>
              <w:rPr>
                <w:rFonts w:ascii="Arial" w:eastAsia="Arial" w:hAnsi="Arial" w:cs="Arial"/>
                <w:color w:val="auto"/>
                <w:sz w:val="16"/>
                <w:szCs w:val="16"/>
                <w:lang w:val="en-GB"/>
              </w:rPr>
            </w:pPr>
          </w:p>
          <w:p w14:paraId="504B830A" w14:textId="77777777" w:rsidR="00774A51" w:rsidRPr="007634CA" w:rsidRDefault="00774A51" w:rsidP="00774A51">
            <w:pPr>
              <w:spacing w:line="276" w:lineRule="auto"/>
              <w:rPr>
                <w:rFonts w:ascii="Arial" w:eastAsia="Arial" w:hAnsi="Arial" w:cs="Arial"/>
                <w:color w:val="auto"/>
                <w:sz w:val="16"/>
                <w:szCs w:val="16"/>
                <w:lang w:val="en-GB"/>
              </w:rPr>
            </w:pPr>
          </w:p>
          <w:p w14:paraId="710CA2EC" w14:textId="38B5F7E9" w:rsidR="00774A51" w:rsidRPr="007634CA" w:rsidRDefault="00774A51" w:rsidP="00774A51">
            <w:pPr>
              <w:spacing w:line="276" w:lineRule="auto"/>
              <w:contextualSpacing/>
              <w:rPr>
                <w:rFonts w:ascii="Arial" w:eastAsia="Arial" w:hAnsi="Arial" w:cs="Arial"/>
                <w:color w:val="auto"/>
                <w:sz w:val="16"/>
                <w:szCs w:val="16"/>
                <w:lang w:val="en-GB"/>
              </w:rPr>
            </w:pPr>
          </w:p>
        </w:tc>
        <w:tc>
          <w:tcPr>
            <w:tcW w:w="1275" w:type="dxa"/>
            <w:tcBorders>
              <w:bottom w:val="single" w:sz="4" w:space="0" w:color="auto"/>
            </w:tcBorders>
          </w:tcPr>
          <w:p w14:paraId="2329C999" w14:textId="77777777" w:rsidR="00774A51" w:rsidRPr="007634CA" w:rsidRDefault="00774A51" w:rsidP="00774A51">
            <w:pPr>
              <w:spacing w:line="276" w:lineRule="auto"/>
              <w:rPr>
                <w:rFonts w:ascii="Arial" w:eastAsia="Arial" w:hAnsi="Arial" w:cs="Arial"/>
                <w:color w:val="auto"/>
                <w:sz w:val="16"/>
                <w:szCs w:val="16"/>
                <w:lang w:val="en-GB"/>
              </w:rPr>
            </w:pPr>
          </w:p>
          <w:p w14:paraId="3AD4681D" w14:textId="77777777" w:rsidR="00774A51" w:rsidRPr="007634CA" w:rsidRDefault="00774A51" w:rsidP="00774A51">
            <w:pPr>
              <w:spacing w:line="276" w:lineRule="auto"/>
              <w:rPr>
                <w:rFonts w:ascii="Arial" w:eastAsia="Arial" w:hAnsi="Arial" w:cs="Arial"/>
                <w:sz w:val="16"/>
                <w:szCs w:val="16"/>
                <w:lang w:val="en-GB"/>
              </w:rPr>
            </w:pPr>
            <w:r w:rsidRPr="007634CA">
              <w:rPr>
                <w:rFonts w:ascii="Arial" w:eastAsia="Arial" w:hAnsi="Arial" w:cs="Arial"/>
                <w:color w:val="auto"/>
                <w:sz w:val="16"/>
                <w:szCs w:val="16"/>
                <w:lang w:val="en-GB"/>
              </w:rPr>
              <w:t xml:space="preserve">At least 10 </w:t>
            </w:r>
          </w:p>
          <w:p w14:paraId="24FCA0AF" w14:textId="77C385DC" w:rsidR="00774A51" w:rsidRPr="007634CA" w:rsidRDefault="00774A51" w:rsidP="00774A51">
            <w:pPr>
              <w:spacing w:line="276" w:lineRule="auto"/>
              <w:rPr>
                <w:rFonts w:ascii="Arial" w:eastAsia="Arial" w:hAnsi="Arial" w:cs="Arial"/>
                <w:color w:val="auto"/>
                <w:sz w:val="16"/>
                <w:szCs w:val="16"/>
                <w:lang w:val="en-GB"/>
              </w:rPr>
            </w:pPr>
            <w:r w:rsidRPr="007634CA">
              <w:rPr>
                <w:rFonts w:ascii="Arial" w:eastAsia="Arial" w:hAnsi="Arial" w:cs="Arial"/>
                <w:color w:val="auto"/>
                <w:sz w:val="16"/>
                <w:szCs w:val="16"/>
                <w:lang w:val="en-GB"/>
              </w:rPr>
              <w:t>citations / documented cases of adoption of lessons learned during the lifetime of the project</w:t>
            </w:r>
          </w:p>
          <w:p w14:paraId="0CD3219D" w14:textId="3989432E" w:rsidR="00774A51" w:rsidRPr="007634CA" w:rsidRDefault="00774A51" w:rsidP="00774A51">
            <w:pPr>
              <w:spacing w:line="276" w:lineRule="auto"/>
              <w:rPr>
                <w:rFonts w:ascii="Arial" w:eastAsia="Arial" w:hAnsi="Arial" w:cs="Arial"/>
                <w:color w:val="auto"/>
                <w:sz w:val="16"/>
                <w:szCs w:val="16"/>
                <w:lang w:val="en-GB"/>
              </w:rPr>
            </w:pPr>
          </w:p>
        </w:tc>
        <w:tc>
          <w:tcPr>
            <w:tcW w:w="1276" w:type="dxa"/>
            <w:vMerge w:val="restart"/>
            <w:vAlign w:val="center"/>
          </w:tcPr>
          <w:p w14:paraId="1ABD2A7A" w14:textId="4A443F9A" w:rsidR="00774A51" w:rsidRPr="007634CA" w:rsidRDefault="00774A51" w:rsidP="00774A51">
            <w:pPr>
              <w:spacing w:line="276" w:lineRule="auto"/>
              <w:jc w:val="center"/>
              <w:rPr>
                <w:rFonts w:ascii="Arial" w:eastAsia="Arial" w:hAnsi="Arial" w:cs="Arial"/>
                <w:color w:val="auto"/>
                <w:sz w:val="16"/>
                <w:szCs w:val="16"/>
                <w:lang w:val="en-GB"/>
              </w:rPr>
            </w:pPr>
            <w:r w:rsidRPr="007634CA">
              <w:rPr>
                <w:rFonts w:ascii="Arial" w:eastAsia="Arial" w:hAnsi="Arial" w:cs="Arial"/>
                <w:color w:val="auto"/>
                <w:sz w:val="16"/>
                <w:szCs w:val="16"/>
              </w:rPr>
              <w:t>Regional collaboration platform documentation, knowledge products, dissemination reports, events</w:t>
            </w:r>
          </w:p>
        </w:tc>
        <w:tc>
          <w:tcPr>
            <w:tcW w:w="1820" w:type="dxa"/>
            <w:vMerge w:val="restart"/>
          </w:tcPr>
          <w:p w14:paraId="661344C3" w14:textId="77777777" w:rsidR="00774A51" w:rsidRPr="007634CA" w:rsidRDefault="00774A51" w:rsidP="00774A51">
            <w:pPr>
              <w:spacing w:line="276" w:lineRule="auto"/>
              <w:rPr>
                <w:rFonts w:ascii="Arial" w:eastAsia="Arial" w:hAnsi="Arial" w:cs="Arial"/>
                <w:b/>
                <w:bCs/>
                <w:color w:val="auto"/>
                <w:sz w:val="16"/>
                <w:szCs w:val="16"/>
              </w:rPr>
            </w:pPr>
            <w:r w:rsidRPr="007634CA">
              <w:rPr>
                <w:rFonts w:ascii="Arial" w:eastAsia="Arial" w:hAnsi="Arial" w:cs="Arial"/>
                <w:b/>
                <w:bCs/>
                <w:color w:val="auto"/>
                <w:sz w:val="16"/>
                <w:szCs w:val="16"/>
              </w:rPr>
              <w:t>Assumptions</w:t>
            </w:r>
            <w:r w:rsidRPr="007634CA">
              <w:rPr>
                <w:rFonts w:ascii="Arial" w:eastAsia="Arial" w:hAnsi="Arial" w:cs="Arial"/>
                <w:color w:val="auto"/>
                <w:sz w:val="16"/>
                <w:szCs w:val="16"/>
              </w:rPr>
              <w:t>: Regional collaboration supported by shared climate challenges; Effective documentation and dissemination of knowledge products; Stakeholders willing to engage</w:t>
            </w:r>
            <w:r w:rsidRPr="007634CA">
              <w:br/>
            </w:r>
          </w:p>
          <w:p w14:paraId="0C41E0C2" w14:textId="77777777" w:rsidR="00774A51" w:rsidRPr="007634CA" w:rsidRDefault="00774A51" w:rsidP="00774A51">
            <w:pPr>
              <w:spacing w:line="276" w:lineRule="auto"/>
              <w:rPr>
                <w:rFonts w:ascii="Arial" w:eastAsia="Arial" w:hAnsi="Arial" w:cs="Arial"/>
                <w:color w:val="auto"/>
                <w:sz w:val="16"/>
                <w:szCs w:val="16"/>
                <w:lang w:val="en-GB"/>
              </w:rPr>
            </w:pPr>
            <w:r w:rsidRPr="007634CA">
              <w:rPr>
                <w:rFonts w:ascii="Arial" w:eastAsia="Arial" w:hAnsi="Arial" w:cs="Arial"/>
                <w:b/>
                <w:bCs/>
                <w:color w:val="auto"/>
                <w:sz w:val="16"/>
                <w:szCs w:val="16"/>
              </w:rPr>
              <w:t>Risks</w:t>
            </w:r>
            <w:r w:rsidRPr="007634CA">
              <w:rPr>
                <w:rFonts w:ascii="Arial" w:eastAsia="Arial" w:hAnsi="Arial" w:cs="Arial"/>
                <w:color w:val="auto"/>
                <w:sz w:val="16"/>
                <w:szCs w:val="16"/>
              </w:rPr>
              <w:t>: Limited engagement in regional platforms; Inadequate documentation or communication; Contextual differences or lack of enabling policies</w:t>
            </w:r>
          </w:p>
        </w:tc>
      </w:tr>
      <w:tr w:rsidR="00774A51" w:rsidRPr="007634CA" w14:paraId="27B6FC16" w14:textId="77777777" w:rsidTr="00774A51">
        <w:trPr>
          <w:trHeight w:val="1952"/>
        </w:trPr>
        <w:tc>
          <w:tcPr>
            <w:tcW w:w="2547" w:type="dxa"/>
            <w:tcBorders>
              <w:top w:val="single" w:sz="4" w:space="0" w:color="auto"/>
              <w:bottom w:val="single" w:sz="4" w:space="0" w:color="auto"/>
            </w:tcBorders>
          </w:tcPr>
          <w:p w14:paraId="63B0A687" w14:textId="77777777" w:rsidR="00774A51" w:rsidRPr="007634CA" w:rsidRDefault="00774A51" w:rsidP="00774A51">
            <w:pPr>
              <w:spacing w:line="276" w:lineRule="auto"/>
              <w:rPr>
                <w:rFonts w:ascii="Arial" w:eastAsia="Arial" w:hAnsi="Arial" w:cs="Arial"/>
                <w:color w:val="auto"/>
                <w:sz w:val="16"/>
                <w:szCs w:val="16"/>
                <w:lang w:val="en-GB"/>
              </w:rPr>
            </w:pPr>
            <w:r w:rsidRPr="007634CA">
              <w:rPr>
                <w:rFonts w:ascii="Arial" w:eastAsia="Arial" w:hAnsi="Arial" w:cs="Arial"/>
                <w:b/>
                <w:bCs/>
                <w:color w:val="auto"/>
                <w:sz w:val="16"/>
                <w:szCs w:val="16"/>
                <w:lang w:val="en-GB"/>
              </w:rPr>
              <w:t>Output 3.1:</w:t>
            </w:r>
            <w:r w:rsidRPr="007634CA">
              <w:rPr>
                <w:rFonts w:ascii="Arial" w:eastAsia="Arial" w:hAnsi="Arial" w:cs="Arial"/>
                <w:color w:val="auto"/>
                <w:sz w:val="16"/>
                <w:szCs w:val="16"/>
                <w:lang w:val="en-GB"/>
              </w:rPr>
              <w:t xml:space="preserve"> Regional knowledge exchange platforms and collaboration mechanisms are established to facilitate peer learning, cross-border dialogue, and community-of-practice engagement among adaptation actors.</w:t>
            </w:r>
          </w:p>
          <w:p w14:paraId="0AF171CC" w14:textId="77777777" w:rsidR="00774A51" w:rsidRPr="007634CA" w:rsidRDefault="00774A51" w:rsidP="00774A51">
            <w:pPr>
              <w:spacing w:line="276" w:lineRule="auto"/>
              <w:rPr>
                <w:rFonts w:ascii="Arial" w:eastAsia="Arial" w:hAnsi="Arial" w:cs="Arial"/>
                <w:color w:val="auto"/>
                <w:sz w:val="16"/>
                <w:szCs w:val="16"/>
                <w:lang w:val="en-GB"/>
              </w:rPr>
            </w:pPr>
          </w:p>
          <w:p w14:paraId="1E3973CB" w14:textId="6DC61C63" w:rsidR="00774A51" w:rsidRPr="007634CA" w:rsidRDefault="00774A51" w:rsidP="00774A51">
            <w:pPr>
              <w:spacing w:line="276" w:lineRule="auto"/>
              <w:rPr>
                <w:rFonts w:ascii="Arial" w:eastAsia="Arial" w:hAnsi="Arial" w:cs="Arial"/>
                <w:i/>
                <w:iCs/>
                <w:color w:val="auto"/>
                <w:sz w:val="16"/>
                <w:szCs w:val="16"/>
                <w:lang w:val="en-GB"/>
              </w:rPr>
            </w:pPr>
          </w:p>
        </w:tc>
        <w:tc>
          <w:tcPr>
            <w:tcW w:w="1984" w:type="dxa"/>
            <w:tcBorders>
              <w:top w:val="single" w:sz="4" w:space="0" w:color="auto"/>
              <w:bottom w:val="single" w:sz="4" w:space="0" w:color="auto"/>
            </w:tcBorders>
          </w:tcPr>
          <w:p w14:paraId="5407465D" w14:textId="2AA7BFB9" w:rsidR="00774A51" w:rsidRPr="007634CA" w:rsidRDefault="00774A51" w:rsidP="00774A51">
            <w:pPr>
              <w:spacing w:line="276" w:lineRule="auto"/>
              <w:rPr>
                <w:rFonts w:ascii="Arial" w:eastAsia="Arial" w:hAnsi="Arial" w:cs="Arial"/>
                <w:color w:val="auto"/>
                <w:sz w:val="16"/>
                <w:szCs w:val="16"/>
              </w:rPr>
            </w:pPr>
            <w:r w:rsidRPr="007634CA">
              <w:rPr>
                <w:rFonts w:ascii="Arial" w:eastAsia="Arial" w:hAnsi="Arial" w:cs="Arial"/>
                <w:color w:val="auto"/>
                <w:sz w:val="16"/>
                <w:szCs w:val="16"/>
                <w:lang w:val="en-GB"/>
              </w:rPr>
              <w:t>3.1.1 No of regional knowledge-sharing platforms or events organized / Number of regional knowledge-sharing events with content explicitly addressing gender and social inclusion.</w:t>
            </w:r>
            <w:r w:rsidRPr="007634CA">
              <w:rPr>
                <w:rFonts w:ascii="Arial" w:eastAsia="Arial" w:hAnsi="Arial" w:cs="Arial"/>
                <w:color w:val="auto"/>
                <w:sz w:val="16"/>
                <w:szCs w:val="16"/>
              </w:rPr>
              <w:t> </w:t>
            </w:r>
          </w:p>
          <w:p w14:paraId="1D1BF1FD" w14:textId="77777777" w:rsidR="00774A51" w:rsidRPr="007634CA" w:rsidRDefault="00774A51" w:rsidP="00774A51">
            <w:pPr>
              <w:spacing w:line="276" w:lineRule="auto"/>
              <w:jc w:val="both"/>
              <w:rPr>
                <w:rFonts w:ascii="Arial" w:eastAsia="Arial" w:hAnsi="Arial" w:cs="Arial"/>
                <w:color w:val="auto"/>
                <w:sz w:val="16"/>
                <w:szCs w:val="16"/>
                <w:lang w:val="en-GB"/>
              </w:rPr>
            </w:pPr>
          </w:p>
        </w:tc>
        <w:tc>
          <w:tcPr>
            <w:tcW w:w="993" w:type="dxa"/>
            <w:tcBorders>
              <w:top w:val="single" w:sz="4" w:space="0" w:color="auto"/>
              <w:bottom w:val="single" w:sz="4" w:space="0" w:color="auto"/>
            </w:tcBorders>
          </w:tcPr>
          <w:p w14:paraId="7268F60B" w14:textId="77777777" w:rsidR="00774A51" w:rsidRPr="007634CA" w:rsidRDefault="00774A51" w:rsidP="00774A51">
            <w:pPr>
              <w:spacing w:line="276" w:lineRule="auto"/>
              <w:rPr>
                <w:rFonts w:ascii="Arial" w:eastAsia="Arial" w:hAnsi="Arial" w:cs="Arial"/>
                <w:color w:val="auto"/>
                <w:sz w:val="16"/>
                <w:szCs w:val="16"/>
                <w:lang w:val="en-GB"/>
              </w:rPr>
            </w:pPr>
            <w:r w:rsidRPr="007634CA">
              <w:rPr>
                <w:rFonts w:ascii="Arial" w:eastAsia="Arial" w:hAnsi="Arial" w:cs="Arial"/>
                <w:color w:val="auto"/>
                <w:sz w:val="16"/>
                <w:szCs w:val="16"/>
                <w:lang w:val="en-GB"/>
              </w:rPr>
              <w:t>0</w:t>
            </w:r>
          </w:p>
          <w:p w14:paraId="3FB4064C" w14:textId="77777777" w:rsidR="00774A51" w:rsidRPr="007634CA" w:rsidRDefault="00774A51" w:rsidP="00774A51">
            <w:pPr>
              <w:spacing w:line="276" w:lineRule="auto"/>
              <w:rPr>
                <w:rFonts w:ascii="Arial" w:eastAsia="Arial" w:hAnsi="Arial" w:cs="Arial"/>
                <w:color w:val="auto"/>
                <w:sz w:val="16"/>
                <w:szCs w:val="16"/>
                <w:lang w:val="en-GB"/>
              </w:rPr>
            </w:pPr>
          </w:p>
          <w:p w14:paraId="786266A6" w14:textId="77777777" w:rsidR="00774A51" w:rsidRPr="007634CA" w:rsidRDefault="00774A51" w:rsidP="00774A51">
            <w:pPr>
              <w:spacing w:line="276" w:lineRule="auto"/>
              <w:rPr>
                <w:rFonts w:ascii="Arial" w:eastAsia="Arial" w:hAnsi="Arial" w:cs="Arial"/>
                <w:color w:val="auto"/>
                <w:sz w:val="16"/>
                <w:szCs w:val="16"/>
                <w:lang w:val="en-GB"/>
              </w:rPr>
            </w:pPr>
          </w:p>
          <w:p w14:paraId="7208F4B9" w14:textId="77777777" w:rsidR="00774A51" w:rsidRPr="007634CA" w:rsidRDefault="00774A51" w:rsidP="00774A51">
            <w:pPr>
              <w:spacing w:line="276" w:lineRule="auto"/>
              <w:rPr>
                <w:rFonts w:ascii="Arial" w:eastAsia="Arial" w:hAnsi="Arial" w:cs="Arial"/>
                <w:color w:val="auto"/>
                <w:sz w:val="16"/>
                <w:szCs w:val="16"/>
                <w:lang w:val="en-GB"/>
              </w:rPr>
            </w:pPr>
          </w:p>
          <w:p w14:paraId="5CA15850" w14:textId="77777777" w:rsidR="00774A51" w:rsidRPr="007634CA" w:rsidRDefault="00774A51" w:rsidP="00774A51">
            <w:pPr>
              <w:spacing w:line="276" w:lineRule="auto"/>
              <w:rPr>
                <w:rFonts w:ascii="Arial" w:eastAsia="Arial" w:hAnsi="Arial" w:cs="Arial"/>
                <w:color w:val="auto"/>
                <w:sz w:val="16"/>
                <w:szCs w:val="16"/>
                <w:lang w:val="en-GB"/>
              </w:rPr>
            </w:pPr>
          </w:p>
          <w:p w14:paraId="34C5DFB0" w14:textId="77777777" w:rsidR="00774A51" w:rsidRPr="007634CA" w:rsidRDefault="00774A51" w:rsidP="00774A51">
            <w:pPr>
              <w:spacing w:line="276" w:lineRule="auto"/>
              <w:rPr>
                <w:rFonts w:ascii="Arial" w:eastAsia="Arial" w:hAnsi="Arial" w:cs="Arial"/>
                <w:color w:val="auto"/>
                <w:sz w:val="16"/>
                <w:szCs w:val="16"/>
                <w:lang w:val="en-GB"/>
              </w:rPr>
            </w:pPr>
          </w:p>
          <w:p w14:paraId="2623289F" w14:textId="77777777" w:rsidR="00774A51" w:rsidRPr="007634CA" w:rsidRDefault="00774A51" w:rsidP="00774A51">
            <w:pPr>
              <w:spacing w:line="276" w:lineRule="auto"/>
              <w:rPr>
                <w:rFonts w:ascii="Arial" w:eastAsia="Arial" w:hAnsi="Arial" w:cs="Arial"/>
                <w:color w:val="auto"/>
                <w:sz w:val="16"/>
                <w:szCs w:val="16"/>
                <w:lang w:val="en-GB"/>
              </w:rPr>
            </w:pPr>
          </w:p>
          <w:p w14:paraId="2DDA32C1" w14:textId="77777777" w:rsidR="00774A51" w:rsidRPr="007634CA" w:rsidRDefault="00774A51" w:rsidP="00774A51">
            <w:pPr>
              <w:spacing w:line="276" w:lineRule="auto"/>
              <w:rPr>
                <w:rFonts w:ascii="Arial" w:eastAsia="Arial" w:hAnsi="Arial" w:cs="Arial"/>
                <w:color w:val="auto"/>
                <w:sz w:val="16"/>
                <w:szCs w:val="16"/>
                <w:lang w:val="en-GB"/>
              </w:rPr>
            </w:pPr>
          </w:p>
          <w:p w14:paraId="26D9EB89" w14:textId="77777777" w:rsidR="00774A51" w:rsidRPr="007634CA" w:rsidRDefault="00774A51" w:rsidP="00774A51">
            <w:pPr>
              <w:spacing w:line="276" w:lineRule="auto"/>
              <w:rPr>
                <w:rFonts w:ascii="Arial" w:eastAsia="Arial" w:hAnsi="Arial" w:cs="Arial"/>
                <w:color w:val="auto"/>
                <w:sz w:val="16"/>
                <w:szCs w:val="16"/>
                <w:lang w:val="en-GB"/>
              </w:rPr>
            </w:pPr>
          </w:p>
          <w:p w14:paraId="541F3613" w14:textId="77777777" w:rsidR="00774A51" w:rsidRPr="007634CA" w:rsidRDefault="00774A51" w:rsidP="00774A51">
            <w:pPr>
              <w:spacing w:line="276" w:lineRule="auto"/>
              <w:contextualSpacing/>
              <w:rPr>
                <w:rFonts w:ascii="Arial" w:eastAsia="Arial" w:hAnsi="Arial" w:cs="Arial"/>
                <w:color w:val="auto"/>
                <w:sz w:val="16"/>
                <w:szCs w:val="16"/>
                <w:lang w:val="en-GB"/>
              </w:rPr>
            </w:pPr>
          </w:p>
        </w:tc>
        <w:tc>
          <w:tcPr>
            <w:tcW w:w="1275" w:type="dxa"/>
            <w:tcBorders>
              <w:top w:val="single" w:sz="4" w:space="0" w:color="auto"/>
              <w:bottom w:val="single" w:sz="4" w:space="0" w:color="auto"/>
            </w:tcBorders>
          </w:tcPr>
          <w:p w14:paraId="2C5C356F" w14:textId="77777777" w:rsidR="00774A51" w:rsidRPr="007634CA" w:rsidRDefault="00774A51" w:rsidP="00774A51">
            <w:pPr>
              <w:spacing w:line="276" w:lineRule="auto"/>
              <w:rPr>
                <w:rFonts w:ascii="Arial" w:eastAsia="Arial" w:hAnsi="Arial" w:cs="Arial"/>
                <w:color w:val="auto"/>
                <w:sz w:val="16"/>
                <w:szCs w:val="16"/>
                <w:lang w:val="en-GB"/>
              </w:rPr>
            </w:pPr>
            <w:r w:rsidRPr="007634CA">
              <w:rPr>
                <w:rFonts w:ascii="Arial" w:eastAsia="Arial" w:hAnsi="Arial" w:cs="Arial"/>
                <w:color w:val="auto"/>
                <w:sz w:val="16"/>
                <w:szCs w:val="16"/>
                <w:lang w:val="en-GB"/>
              </w:rPr>
              <w:t>At least 4 (1 per year of implementation) / At least 2 (50% of total events)</w:t>
            </w:r>
          </w:p>
          <w:p w14:paraId="687AAD80" w14:textId="77777777" w:rsidR="00774A51" w:rsidRPr="007634CA" w:rsidRDefault="00774A51" w:rsidP="00774A51">
            <w:pPr>
              <w:spacing w:line="276" w:lineRule="auto"/>
              <w:rPr>
                <w:rFonts w:ascii="Arial" w:eastAsia="Arial" w:hAnsi="Arial" w:cs="Arial"/>
                <w:color w:val="auto"/>
                <w:sz w:val="16"/>
                <w:szCs w:val="16"/>
                <w:lang w:val="en-GB"/>
              </w:rPr>
            </w:pPr>
          </w:p>
          <w:p w14:paraId="455F00F5" w14:textId="77777777" w:rsidR="00774A51" w:rsidRPr="007634CA" w:rsidRDefault="00774A51" w:rsidP="00774A51">
            <w:pPr>
              <w:spacing w:line="276" w:lineRule="auto"/>
              <w:rPr>
                <w:rFonts w:ascii="Arial" w:eastAsia="Arial" w:hAnsi="Arial" w:cs="Arial"/>
                <w:color w:val="auto"/>
                <w:sz w:val="16"/>
                <w:szCs w:val="16"/>
                <w:lang w:val="en-GB"/>
              </w:rPr>
            </w:pPr>
          </w:p>
          <w:p w14:paraId="68B4A1B3" w14:textId="77777777" w:rsidR="00774A51" w:rsidRPr="007634CA" w:rsidRDefault="00774A51" w:rsidP="00774A51">
            <w:pPr>
              <w:spacing w:line="276" w:lineRule="auto"/>
              <w:rPr>
                <w:rFonts w:ascii="Arial" w:eastAsia="Arial" w:hAnsi="Arial" w:cs="Arial"/>
                <w:color w:val="auto"/>
                <w:sz w:val="16"/>
                <w:szCs w:val="16"/>
                <w:lang w:val="en-GB"/>
              </w:rPr>
            </w:pPr>
          </w:p>
          <w:p w14:paraId="4C6A5576" w14:textId="6015E7EB" w:rsidR="00774A51" w:rsidRPr="007634CA" w:rsidRDefault="00774A51" w:rsidP="00774A51">
            <w:pPr>
              <w:spacing w:line="276" w:lineRule="auto"/>
              <w:rPr>
                <w:rFonts w:ascii="Arial" w:eastAsia="Arial" w:hAnsi="Arial" w:cs="Arial"/>
                <w:color w:val="auto"/>
                <w:sz w:val="16"/>
                <w:szCs w:val="16"/>
                <w:lang w:val="en-GB"/>
              </w:rPr>
            </w:pPr>
          </w:p>
        </w:tc>
        <w:tc>
          <w:tcPr>
            <w:tcW w:w="1276" w:type="dxa"/>
            <w:vMerge/>
            <w:vAlign w:val="center"/>
          </w:tcPr>
          <w:p w14:paraId="265D728D" w14:textId="77777777" w:rsidR="00774A51" w:rsidRPr="007634CA" w:rsidRDefault="00774A51" w:rsidP="00774A51">
            <w:pPr>
              <w:spacing w:line="276" w:lineRule="auto"/>
              <w:jc w:val="center"/>
              <w:rPr>
                <w:rFonts w:ascii="Arial" w:eastAsia="Arial" w:hAnsi="Arial" w:cs="Arial"/>
                <w:color w:val="auto"/>
                <w:sz w:val="16"/>
                <w:szCs w:val="16"/>
              </w:rPr>
            </w:pPr>
          </w:p>
        </w:tc>
        <w:tc>
          <w:tcPr>
            <w:tcW w:w="1820" w:type="dxa"/>
            <w:vMerge/>
          </w:tcPr>
          <w:p w14:paraId="6A00472A" w14:textId="77777777" w:rsidR="00774A51" w:rsidRPr="007634CA" w:rsidRDefault="00774A51" w:rsidP="00774A51">
            <w:pPr>
              <w:spacing w:line="276" w:lineRule="auto"/>
              <w:rPr>
                <w:rFonts w:ascii="Arial" w:eastAsia="Arial" w:hAnsi="Arial" w:cs="Arial"/>
                <w:b/>
                <w:bCs/>
                <w:color w:val="auto"/>
                <w:sz w:val="16"/>
                <w:szCs w:val="16"/>
              </w:rPr>
            </w:pPr>
          </w:p>
        </w:tc>
      </w:tr>
      <w:tr w:rsidR="00774A51" w:rsidRPr="00306F4D" w14:paraId="27573FB2" w14:textId="77777777" w:rsidTr="00E47DE1">
        <w:trPr>
          <w:trHeight w:val="3323"/>
        </w:trPr>
        <w:tc>
          <w:tcPr>
            <w:tcW w:w="2547" w:type="dxa"/>
            <w:tcBorders>
              <w:top w:val="single" w:sz="4" w:space="0" w:color="auto"/>
            </w:tcBorders>
          </w:tcPr>
          <w:p w14:paraId="4A9E3FFC" w14:textId="77777777" w:rsidR="00774A51" w:rsidRPr="007634CA" w:rsidRDefault="00774A51" w:rsidP="00774A51">
            <w:pPr>
              <w:spacing w:line="276" w:lineRule="auto"/>
              <w:rPr>
                <w:rFonts w:ascii="Arial" w:eastAsia="Arial" w:hAnsi="Arial" w:cs="Arial"/>
                <w:b/>
                <w:bCs/>
                <w:color w:val="auto"/>
                <w:sz w:val="16"/>
                <w:szCs w:val="16"/>
                <w:lang w:val="en-GB"/>
              </w:rPr>
            </w:pPr>
            <w:r w:rsidRPr="007634CA">
              <w:rPr>
                <w:rFonts w:ascii="Arial" w:eastAsia="Arial" w:hAnsi="Arial" w:cs="Arial"/>
                <w:b/>
                <w:bCs/>
                <w:color w:val="auto"/>
                <w:sz w:val="16"/>
                <w:szCs w:val="16"/>
                <w:lang w:val="en-GB"/>
              </w:rPr>
              <w:t xml:space="preserve">Output 3.2: </w:t>
            </w:r>
            <w:r w:rsidRPr="007634CA">
              <w:rPr>
                <w:rFonts w:ascii="Arial" w:eastAsia="Arial" w:hAnsi="Arial" w:cs="Arial"/>
                <w:color w:val="auto"/>
                <w:sz w:val="16"/>
                <w:szCs w:val="16"/>
                <w:lang w:val="en-GB"/>
              </w:rPr>
              <w:t>Insights, lessons learned, and good practices from adaptation pilots are systematically documented, synthesized, and disseminated to inform future programming and policy across countries.</w:t>
            </w:r>
          </w:p>
        </w:tc>
        <w:tc>
          <w:tcPr>
            <w:tcW w:w="1984" w:type="dxa"/>
            <w:tcBorders>
              <w:top w:val="single" w:sz="4" w:space="0" w:color="auto"/>
            </w:tcBorders>
          </w:tcPr>
          <w:p w14:paraId="40FEC2E6" w14:textId="0F1E3B88" w:rsidR="00774A51" w:rsidRPr="007634CA" w:rsidRDefault="00774A51" w:rsidP="00774A51">
            <w:pPr>
              <w:spacing w:line="276" w:lineRule="auto"/>
              <w:jc w:val="both"/>
              <w:rPr>
                <w:rFonts w:ascii="Arial" w:eastAsia="Arial" w:hAnsi="Arial" w:cs="Arial"/>
                <w:color w:val="auto"/>
                <w:sz w:val="16"/>
                <w:szCs w:val="16"/>
                <w:lang w:val="en-GB"/>
              </w:rPr>
            </w:pPr>
            <w:r w:rsidRPr="007634CA">
              <w:rPr>
                <w:rFonts w:ascii="Arial" w:eastAsia="Arial" w:hAnsi="Arial" w:cs="Arial"/>
                <w:color w:val="auto"/>
                <w:sz w:val="16"/>
                <w:szCs w:val="16"/>
                <w:lang w:val="en-GB"/>
              </w:rPr>
              <w:t xml:space="preserve">3.2.1 No of knowledge products developed and disseminated  </w:t>
            </w:r>
          </w:p>
          <w:p w14:paraId="0887BBBD" w14:textId="77777777" w:rsidR="00774A51" w:rsidRPr="007634CA" w:rsidRDefault="00774A51" w:rsidP="00774A51">
            <w:pPr>
              <w:spacing w:line="276" w:lineRule="auto"/>
              <w:jc w:val="both"/>
              <w:rPr>
                <w:rFonts w:ascii="Arial" w:eastAsia="Arial" w:hAnsi="Arial" w:cs="Arial"/>
                <w:color w:val="auto"/>
                <w:sz w:val="16"/>
                <w:szCs w:val="16"/>
                <w:lang w:val="en-GB"/>
              </w:rPr>
            </w:pPr>
          </w:p>
          <w:p w14:paraId="5A39EE64" w14:textId="77777777" w:rsidR="00774A51" w:rsidRPr="007634CA" w:rsidRDefault="00774A51" w:rsidP="00774A51">
            <w:pPr>
              <w:spacing w:line="276" w:lineRule="auto"/>
              <w:jc w:val="both"/>
              <w:rPr>
                <w:rFonts w:ascii="Arial" w:eastAsia="Arial" w:hAnsi="Arial" w:cs="Arial"/>
                <w:sz w:val="16"/>
                <w:szCs w:val="16"/>
                <w:lang w:val="en-GB"/>
              </w:rPr>
            </w:pPr>
          </w:p>
          <w:p w14:paraId="7B7B5D06" w14:textId="607C2E6C" w:rsidR="00774A51" w:rsidRPr="007634CA" w:rsidRDefault="00774A51" w:rsidP="00774A51">
            <w:pPr>
              <w:spacing w:line="276" w:lineRule="auto"/>
              <w:jc w:val="both"/>
              <w:rPr>
                <w:rFonts w:ascii="Arial" w:eastAsia="Arial" w:hAnsi="Arial" w:cs="Arial"/>
                <w:sz w:val="16"/>
                <w:szCs w:val="16"/>
                <w:lang w:val="en-GB"/>
              </w:rPr>
            </w:pPr>
            <w:r w:rsidRPr="007634CA">
              <w:rPr>
                <w:rFonts w:ascii="Arial" w:eastAsia="Arial" w:hAnsi="Arial" w:cs="Arial"/>
                <w:sz w:val="16"/>
                <w:szCs w:val="16"/>
                <w:lang w:val="en-GB"/>
              </w:rPr>
              <w:t>3.2.2 No of case studies from the target countries, highlighting women-led adaptation innovations published</w:t>
            </w:r>
          </w:p>
          <w:p w14:paraId="46ACA232" w14:textId="77777777" w:rsidR="00774A51" w:rsidRPr="007634CA" w:rsidRDefault="00774A51" w:rsidP="00774A51">
            <w:pPr>
              <w:rPr>
                <w:rFonts w:ascii="Arial" w:eastAsia="Arial" w:hAnsi="Arial" w:cs="Arial"/>
                <w:sz w:val="16"/>
                <w:szCs w:val="16"/>
                <w:lang w:val="en-GB"/>
              </w:rPr>
            </w:pPr>
          </w:p>
          <w:p w14:paraId="67D72B1C" w14:textId="77777777" w:rsidR="00774A51" w:rsidRPr="007634CA" w:rsidRDefault="00774A51" w:rsidP="00774A51">
            <w:pPr>
              <w:spacing w:line="276" w:lineRule="auto"/>
              <w:rPr>
                <w:rFonts w:ascii="Arial" w:eastAsia="Arial" w:hAnsi="Arial" w:cs="Arial"/>
                <w:sz w:val="16"/>
                <w:szCs w:val="16"/>
                <w:lang w:val="en-GB"/>
              </w:rPr>
            </w:pPr>
          </w:p>
          <w:p w14:paraId="34098914" w14:textId="432086AF" w:rsidR="00774A51" w:rsidRPr="007634CA" w:rsidRDefault="00774A51" w:rsidP="00E47DE1">
            <w:pPr>
              <w:spacing w:line="276" w:lineRule="auto"/>
              <w:rPr>
                <w:rFonts w:ascii="Arial" w:eastAsia="Arial" w:hAnsi="Arial" w:cs="Arial"/>
                <w:color w:val="auto"/>
                <w:sz w:val="16"/>
                <w:szCs w:val="16"/>
                <w:lang w:val="en-GB"/>
              </w:rPr>
            </w:pPr>
            <w:r w:rsidRPr="007634CA">
              <w:rPr>
                <w:rFonts w:ascii="Arial" w:eastAsia="Arial" w:hAnsi="Arial" w:cs="Arial"/>
                <w:sz w:val="16"/>
                <w:szCs w:val="16"/>
                <w:lang w:val="en-GB"/>
              </w:rPr>
              <w:t>3.2.3. Number of gender and social inclusion-focused learning briefs produced</w:t>
            </w:r>
          </w:p>
        </w:tc>
        <w:tc>
          <w:tcPr>
            <w:tcW w:w="993" w:type="dxa"/>
            <w:tcBorders>
              <w:top w:val="single" w:sz="4" w:space="0" w:color="auto"/>
            </w:tcBorders>
          </w:tcPr>
          <w:p w14:paraId="10615B98" w14:textId="77777777" w:rsidR="00774A51" w:rsidRPr="007634CA" w:rsidRDefault="00774A51" w:rsidP="00774A51">
            <w:pPr>
              <w:spacing w:line="276" w:lineRule="auto"/>
              <w:rPr>
                <w:rFonts w:ascii="Arial" w:eastAsia="Arial" w:hAnsi="Arial" w:cs="Arial"/>
                <w:color w:val="auto"/>
                <w:sz w:val="16"/>
                <w:szCs w:val="16"/>
                <w:lang w:val="en-GB"/>
              </w:rPr>
            </w:pPr>
            <w:r w:rsidRPr="007634CA">
              <w:rPr>
                <w:rFonts w:ascii="Arial" w:eastAsia="Arial" w:hAnsi="Arial" w:cs="Arial"/>
                <w:color w:val="auto"/>
                <w:sz w:val="16"/>
                <w:szCs w:val="16"/>
                <w:lang w:val="en-GB"/>
              </w:rPr>
              <w:t>0</w:t>
            </w:r>
          </w:p>
          <w:p w14:paraId="02038820" w14:textId="77777777" w:rsidR="00774A51" w:rsidRPr="007634CA" w:rsidRDefault="00774A51" w:rsidP="00774A51">
            <w:pPr>
              <w:spacing w:line="276" w:lineRule="auto"/>
              <w:rPr>
                <w:rFonts w:ascii="Arial" w:eastAsia="Arial" w:hAnsi="Arial" w:cs="Arial"/>
                <w:color w:val="auto"/>
                <w:sz w:val="16"/>
                <w:szCs w:val="16"/>
                <w:lang w:val="en-GB"/>
              </w:rPr>
            </w:pPr>
          </w:p>
          <w:p w14:paraId="5C89E60D" w14:textId="77777777" w:rsidR="00774A51" w:rsidRPr="007634CA" w:rsidRDefault="00774A51" w:rsidP="00774A51">
            <w:pPr>
              <w:spacing w:line="276" w:lineRule="auto"/>
              <w:rPr>
                <w:rFonts w:ascii="Arial" w:eastAsia="Arial" w:hAnsi="Arial" w:cs="Arial"/>
                <w:color w:val="auto"/>
                <w:sz w:val="16"/>
                <w:szCs w:val="16"/>
                <w:lang w:val="en-GB"/>
              </w:rPr>
            </w:pPr>
          </w:p>
          <w:p w14:paraId="314B63EE" w14:textId="77777777" w:rsidR="00774A51" w:rsidRPr="007634CA" w:rsidRDefault="00774A51" w:rsidP="00774A51">
            <w:pPr>
              <w:spacing w:line="276" w:lineRule="auto"/>
              <w:rPr>
                <w:rFonts w:ascii="Arial" w:eastAsia="Arial" w:hAnsi="Arial" w:cs="Arial"/>
                <w:color w:val="auto"/>
                <w:sz w:val="16"/>
                <w:szCs w:val="16"/>
                <w:lang w:val="en-GB"/>
              </w:rPr>
            </w:pPr>
          </w:p>
          <w:p w14:paraId="34457ED3" w14:textId="77777777" w:rsidR="00774A51" w:rsidRPr="007634CA" w:rsidRDefault="00774A51" w:rsidP="00774A51">
            <w:pPr>
              <w:spacing w:line="276" w:lineRule="auto"/>
              <w:rPr>
                <w:rFonts w:ascii="Arial" w:eastAsia="Arial" w:hAnsi="Arial" w:cs="Arial"/>
                <w:color w:val="auto"/>
                <w:sz w:val="16"/>
                <w:szCs w:val="16"/>
                <w:lang w:val="en-GB"/>
              </w:rPr>
            </w:pPr>
          </w:p>
          <w:p w14:paraId="691F2490" w14:textId="77777777" w:rsidR="00774A51" w:rsidRPr="007634CA" w:rsidRDefault="00774A51" w:rsidP="00774A51">
            <w:pPr>
              <w:spacing w:line="276" w:lineRule="auto"/>
              <w:rPr>
                <w:rFonts w:ascii="Arial" w:eastAsia="Arial" w:hAnsi="Arial" w:cs="Arial"/>
                <w:color w:val="auto"/>
                <w:sz w:val="16"/>
                <w:szCs w:val="16"/>
                <w:lang w:val="en-GB"/>
              </w:rPr>
            </w:pPr>
            <w:r w:rsidRPr="007634CA">
              <w:rPr>
                <w:rFonts w:ascii="Arial" w:eastAsia="Arial" w:hAnsi="Arial" w:cs="Arial"/>
                <w:color w:val="auto"/>
                <w:sz w:val="16"/>
                <w:szCs w:val="16"/>
                <w:lang w:val="en-GB"/>
              </w:rPr>
              <w:t>0</w:t>
            </w:r>
          </w:p>
          <w:p w14:paraId="6ACAA631" w14:textId="77777777" w:rsidR="00774A51" w:rsidRPr="007634CA" w:rsidRDefault="00774A51" w:rsidP="00774A51">
            <w:pPr>
              <w:spacing w:line="276" w:lineRule="auto"/>
              <w:rPr>
                <w:rFonts w:ascii="Arial" w:eastAsia="Arial" w:hAnsi="Arial" w:cs="Arial"/>
                <w:color w:val="auto"/>
                <w:sz w:val="16"/>
                <w:szCs w:val="16"/>
                <w:lang w:val="en-GB"/>
              </w:rPr>
            </w:pPr>
          </w:p>
          <w:p w14:paraId="7B5685A1" w14:textId="77777777" w:rsidR="00774A51" w:rsidRPr="007634CA" w:rsidRDefault="00774A51" w:rsidP="00774A51">
            <w:pPr>
              <w:spacing w:line="276" w:lineRule="auto"/>
              <w:contextualSpacing/>
              <w:rPr>
                <w:rFonts w:ascii="Arial" w:eastAsia="Arial" w:hAnsi="Arial" w:cs="Arial"/>
                <w:color w:val="auto"/>
                <w:sz w:val="16"/>
                <w:szCs w:val="16"/>
                <w:lang w:val="en-GB"/>
              </w:rPr>
            </w:pPr>
          </w:p>
          <w:p w14:paraId="41517DFB" w14:textId="77777777" w:rsidR="00774A51" w:rsidRPr="007634CA" w:rsidRDefault="00774A51" w:rsidP="00774A51">
            <w:pPr>
              <w:spacing w:line="276" w:lineRule="auto"/>
              <w:contextualSpacing/>
              <w:rPr>
                <w:rFonts w:ascii="Arial" w:eastAsia="Arial" w:hAnsi="Arial" w:cs="Arial"/>
                <w:color w:val="auto"/>
                <w:sz w:val="16"/>
                <w:szCs w:val="16"/>
                <w:lang w:val="en-GB"/>
              </w:rPr>
            </w:pPr>
          </w:p>
          <w:p w14:paraId="6E5ACFD6" w14:textId="77777777" w:rsidR="00774A51" w:rsidRPr="007634CA" w:rsidRDefault="00774A51" w:rsidP="00774A51">
            <w:pPr>
              <w:spacing w:line="276" w:lineRule="auto"/>
              <w:contextualSpacing/>
              <w:rPr>
                <w:rFonts w:ascii="Arial" w:eastAsia="Arial" w:hAnsi="Arial" w:cs="Arial"/>
                <w:color w:val="auto"/>
                <w:sz w:val="16"/>
                <w:szCs w:val="16"/>
                <w:lang w:val="en-GB"/>
              </w:rPr>
            </w:pPr>
          </w:p>
          <w:p w14:paraId="27190666" w14:textId="77777777" w:rsidR="00774A51" w:rsidRPr="007634CA" w:rsidRDefault="00774A51" w:rsidP="00774A51">
            <w:pPr>
              <w:spacing w:line="276" w:lineRule="auto"/>
              <w:contextualSpacing/>
              <w:rPr>
                <w:rFonts w:ascii="Arial" w:eastAsia="Arial" w:hAnsi="Arial" w:cs="Arial"/>
                <w:color w:val="auto"/>
                <w:sz w:val="16"/>
                <w:szCs w:val="16"/>
                <w:lang w:val="en-GB"/>
              </w:rPr>
            </w:pPr>
          </w:p>
          <w:p w14:paraId="0617340D" w14:textId="77777777" w:rsidR="00774A51" w:rsidRPr="007634CA" w:rsidRDefault="00774A51" w:rsidP="00774A51">
            <w:pPr>
              <w:spacing w:line="276" w:lineRule="auto"/>
              <w:contextualSpacing/>
              <w:rPr>
                <w:rFonts w:ascii="Arial" w:eastAsia="Arial" w:hAnsi="Arial" w:cs="Arial"/>
                <w:color w:val="auto"/>
                <w:sz w:val="16"/>
                <w:szCs w:val="16"/>
                <w:lang w:val="en-GB"/>
              </w:rPr>
            </w:pPr>
          </w:p>
          <w:p w14:paraId="433484A7" w14:textId="77777777" w:rsidR="00774A51" w:rsidRPr="007634CA" w:rsidRDefault="00774A51" w:rsidP="00774A51">
            <w:pPr>
              <w:spacing w:line="276" w:lineRule="auto"/>
              <w:contextualSpacing/>
              <w:rPr>
                <w:rFonts w:ascii="Arial" w:eastAsia="Arial" w:hAnsi="Arial" w:cs="Arial"/>
                <w:color w:val="auto"/>
                <w:sz w:val="16"/>
                <w:szCs w:val="16"/>
                <w:lang w:val="en-GB"/>
              </w:rPr>
            </w:pPr>
            <w:r w:rsidRPr="007634CA">
              <w:rPr>
                <w:rFonts w:ascii="Arial" w:eastAsia="Arial" w:hAnsi="Arial" w:cs="Arial"/>
                <w:color w:val="auto"/>
                <w:sz w:val="16"/>
                <w:szCs w:val="16"/>
                <w:lang w:val="en-GB"/>
              </w:rPr>
              <w:t>0</w:t>
            </w:r>
          </w:p>
          <w:p w14:paraId="6CDC98A2" w14:textId="77777777" w:rsidR="00774A51" w:rsidRPr="007634CA" w:rsidRDefault="00774A51" w:rsidP="00774A51">
            <w:pPr>
              <w:spacing w:line="276" w:lineRule="auto"/>
              <w:contextualSpacing/>
              <w:rPr>
                <w:rFonts w:ascii="Arial" w:eastAsia="Arial" w:hAnsi="Arial" w:cs="Arial"/>
                <w:color w:val="auto"/>
                <w:sz w:val="16"/>
                <w:szCs w:val="16"/>
                <w:lang w:val="en-GB"/>
              </w:rPr>
            </w:pPr>
          </w:p>
        </w:tc>
        <w:tc>
          <w:tcPr>
            <w:tcW w:w="1275" w:type="dxa"/>
            <w:tcBorders>
              <w:top w:val="single" w:sz="4" w:space="0" w:color="auto"/>
            </w:tcBorders>
          </w:tcPr>
          <w:p w14:paraId="3CE675AA" w14:textId="15DE8994" w:rsidR="00774A51" w:rsidRPr="007634CA" w:rsidRDefault="00774A51" w:rsidP="00774A51">
            <w:pPr>
              <w:spacing w:line="276" w:lineRule="auto"/>
              <w:rPr>
                <w:rFonts w:ascii="Arial" w:eastAsia="Arial" w:hAnsi="Arial" w:cs="Arial"/>
                <w:color w:val="auto"/>
                <w:sz w:val="16"/>
                <w:szCs w:val="16"/>
                <w:lang w:val="en-GB"/>
              </w:rPr>
            </w:pPr>
            <w:r w:rsidRPr="007634CA">
              <w:rPr>
                <w:rFonts w:ascii="Arial" w:eastAsia="Arial" w:hAnsi="Arial" w:cs="Arial"/>
                <w:color w:val="auto"/>
                <w:sz w:val="16"/>
                <w:szCs w:val="16"/>
                <w:lang w:val="en-GB"/>
              </w:rPr>
              <w:t>10</w:t>
            </w:r>
          </w:p>
          <w:p w14:paraId="703CE18F" w14:textId="77777777" w:rsidR="00774A51" w:rsidRPr="007634CA" w:rsidRDefault="00774A51" w:rsidP="00774A51">
            <w:pPr>
              <w:spacing w:line="276" w:lineRule="auto"/>
              <w:rPr>
                <w:rFonts w:ascii="Arial" w:eastAsia="Arial" w:hAnsi="Arial" w:cs="Arial"/>
                <w:color w:val="auto"/>
                <w:sz w:val="16"/>
                <w:szCs w:val="16"/>
                <w:lang w:val="en-GB"/>
              </w:rPr>
            </w:pPr>
          </w:p>
          <w:p w14:paraId="6AA60CE1" w14:textId="77777777" w:rsidR="00774A51" w:rsidRPr="007634CA" w:rsidRDefault="00774A51" w:rsidP="00774A51">
            <w:pPr>
              <w:spacing w:line="276" w:lineRule="auto"/>
              <w:rPr>
                <w:rFonts w:ascii="Arial" w:eastAsia="Arial" w:hAnsi="Arial" w:cs="Arial"/>
                <w:color w:val="auto"/>
                <w:sz w:val="16"/>
                <w:szCs w:val="16"/>
                <w:lang w:val="en-GB"/>
              </w:rPr>
            </w:pPr>
          </w:p>
          <w:p w14:paraId="7F48FD29" w14:textId="77777777" w:rsidR="00774A51" w:rsidRPr="007634CA" w:rsidRDefault="00774A51" w:rsidP="00774A51">
            <w:pPr>
              <w:spacing w:line="276" w:lineRule="auto"/>
              <w:rPr>
                <w:rFonts w:ascii="Arial" w:eastAsia="Arial" w:hAnsi="Arial" w:cs="Arial"/>
                <w:color w:val="auto"/>
                <w:sz w:val="16"/>
                <w:szCs w:val="16"/>
                <w:lang w:val="en-GB"/>
              </w:rPr>
            </w:pPr>
          </w:p>
          <w:p w14:paraId="2E24FD8A" w14:textId="77777777" w:rsidR="00774A51" w:rsidRPr="007634CA" w:rsidRDefault="00774A51" w:rsidP="00774A51">
            <w:pPr>
              <w:spacing w:line="276" w:lineRule="auto"/>
              <w:rPr>
                <w:rFonts w:ascii="Arial" w:eastAsia="Arial" w:hAnsi="Arial" w:cs="Arial"/>
                <w:color w:val="auto"/>
                <w:sz w:val="16"/>
                <w:szCs w:val="16"/>
                <w:lang w:val="en-GB"/>
              </w:rPr>
            </w:pPr>
          </w:p>
          <w:p w14:paraId="3B386968" w14:textId="4048950E" w:rsidR="00774A51" w:rsidRPr="007634CA" w:rsidRDefault="00774A51" w:rsidP="00774A51">
            <w:pPr>
              <w:spacing w:line="276" w:lineRule="auto"/>
              <w:rPr>
                <w:rFonts w:ascii="Arial" w:eastAsia="Arial" w:hAnsi="Arial" w:cs="Arial"/>
                <w:color w:val="auto"/>
                <w:sz w:val="16"/>
                <w:szCs w:val="16"/>
                <w:lang w:val="en-GB"/>
              </w:rPr>
            </w:pPr>
            <w:r w:rsidRPr="007634CA">
              <w:rPr>
                <w:rFonts w:ascii="Arial" w:eastAsia="Arial" w:hAnsi="Arial" w:cs="Arial"/>
                <w:color w:val="auto"/>
                <w:sz w:val="16"/>
                <w:szCs w:val="16"/>
                <w:lang w:val="en-GB"/>
              </w:rPr>
              <w:t>5</w:t>
            </w:r>
          </w:p>
          <w:p w14:paraId="7E30A10E" w14:textId="77777777" w:rsidR="00774A51" w:rsidRPr="007634CA" w:rsidRDefault="00774A51" w:rsidP="00774A51">
            <w:pPr>
              <w:spacing w:line="276" w:lineRule="auto"/>
              <w:rPr>
                <w:rFonts w:ascii="Arial" w:eastAsia="Arial" w:hAnsi="Arial" w:cs="Arial"/>
                <w:color w:val="auto"/>
                <w:sz w:val="16"/>
                <w:szCs w:val="16"/>
                <w:lang w:val="en-GB"/>
              </w:rPr>
            </w:pPr>
          </w:p>
          <w:p w14:paraId="2A9F93F8" w14:textId="77777777" w:rsidR="00774A51" w:rsidRPr="007634CA" w:rsidRDefault="00774A51" w:rsidP="00774A51">
            <w:pPr>
              <w:spacing w:line="276" w:lineRule="auto"/>
              <w:rPr>
                <w:rFonts w:ascii="Arial" w:eastAsia="Arial" w:hAnsi="Arial" w:cs="Arial"/>
                <w:color w:val="auto"/>
                <w:sz w:val="16"/>
                <w:szCs w:val="16"/>
                <w:lang w:val="en-GB"/>
              </w:rPr>
            </w:pPr>
          </w:p>
          <w:p w14:paraId="46FC4A90" w14:textId="77777777" w:rsidR="00774A51" w:rsidRPr="007634CA" w:rsidRDefault="00774A51" w:rsidP="00774A51">
            <w:pPr>
              <w:spacing w:line="276" w:lineRule="auto"/>
              <w:rPr>
                <w:rFonts w:ascii="Arial" w:eastAsia="Arial" w:hAnsi="Arial" w:cs="Arial"/>
                <w:color w:val="auto"/>
                <w:sz w:val="16"/>
                <w:szCs w:val="16"/>
                <w:lang w:val="en-GB"/>
              </w:rPr>
            </w:pPr>
          </w:p>
          <w:p w14:paraId="57C55C5D" w14:textId="77777777" w:rsidR="00774A51" w:rsidRPr="007634CA" w:rsidRDefault="00774A51" w:rsidP="00774A51">
            <w:pPr>
              <w:spacing w:line="276" w:lineRule="auto"/>
              <w:rPr>
                <w:rFonts w:ascii="Arial" w:eastAsia="Arial" w:hAnsi="Arial" w:cs="Arial"/>
                <w:color w:val="auto"/>
                <w:sz w:val="16"/>
                <w:szCs w:val="16"/>
                <w:lang w:val="en-GB"/>
              </w:rPr>
            </w:pPr>
          </w:p>
          <w:p w14:paraId="6EDB2BDF" w14:textId="77777777" w:rsidR="00774A51" w:rsidRPr="007634CA" w:rsidRDefault="00774A51" w:rsidP="00774A51">
            <w:pPr>
              <w:spacing w:line="276" w:lineRule="auto"/>
              <w:rPr>
                <w:rFonts w:ascii="Arial" w:eastAsia="Arial" w:hAnsi="Arial" w:cs="Arial"/>
                <w:color w:val="auto"/>
                <w:sz w:val="16"/>
                <w:szCs w:val="16"/>
                <w:lang w:val="en-GB"/>
              </w:rPr>
            </w:pPr>
          </w:p>
          <w:p w14:paraId="497544C2" w14:textId="77777777" w:rsidR="00774A51" w:rsidRPr="007634CA" w:rsidRDefault="00774A51" w:rsidP="00774A51">
            <w:pPr>
              <w:spacing w:line="276" w:lineRule="auto"/>
              <w:rPr>
                <w:rFonts w:ascii="Arial" w:eastAsia="Arial" w:hAnsi="Arial" w:cs="Arial"/>
                <w:color w:val="auto"/>
                <w:sz w:val="16"/>
                <w:szCs w:val="16"/>
                <w:lang w:val="en-GB"/>
              </w:rPr>
            </w:pPr>
          </w:p>
          <w:p w14:paraId="65D86CEB" w14:textId="77777777" w:rsidR="00774A51" w:rsidRPr="00306F4D" w:rsidRDefault="00774A51" w:rsidP="00774A51">
            <w:pPr>
              <w:spacing w:line="276" w:lineRule="auto"/>
              <w:rPr>
                <w:rFonts w:ascii="Arial" w:eastAsia="Arial" w:hAnsi="Arial" w:cs="Arial"/>
                <w:color w:val="auto"/>
                <w:sz w:val="16"/>
                <w:szCs w:val="16"/>
                <w:lang w:val="en-GB"/>
              </w:rPr>
            </w:pPr>
            <w:r w:rsidRPr="007634CA">
              <w:rPr>
                <w:rFonts w:ascii="Arial" w:eastAsia="Arial" w:hAnsi="Arial" w:cs="Arial"/>
                <w:color w:val="auto"/>
                <w:sz w:val="16"/>
                <w:szCs w:val="16"/>
                <w:lang w:val="en-GB"/>
              </w:rPr>
              <w:t>3</w:t>
            </w:r>
          </w:p>
        </w:tc>
        <w:tc>
          <w:tcPr>
            <w:tcW w:w="1276" w:type="dxa"/>
            <w:vMerge/>
            <w:vAlign w:val="center"/>
          </w:tcPr>
          <w:p w14:paraId="3AD76D21" w14:textId="77777777" w:rsidR="00774A51" w:rsidRPr="00306F4D" w:rsidRDefault="00774A51" w:rsidP="00774A51">
            <w:pPr>
              <w:spacing w:line="276" w:lineRule="auto"/>
              <w:jc w:val="center"/>
              <w:rPr>
                <w:rFonts w:ascii="Arial" w:eastAsia="Arial" w:hAnsi="Arial" w:cs="Arial"/>
                <w:color w:val="auto"/>
                <w:sz w:val="16"/>
                <w:szCs w:val="16"/>
              </w:rPr>
            </w:pPr>
          </w:p>
        </w:tc>
        <w:tc>
          <w:tcPr>
            <w:tcW w:w="1820" w:type="dxa"/>
            <w:vMerge/>
          </w:tcPr>
          <w:p w14:paraId="75826B31" w14:textId="77777777" w:rsidR="00774A51" w:rsidRPr="00306F4D" w:rsidRDefault="00774A51" w:rsidP="00774A51">
            <w:pPr>
              <w:spacing w:line="276" w:lineRule="auto"/>
              <w:rPr>
                <w:rFonts w:ascii="Arial" w:eastAsia="Arial" w:hAnsi="Arial" w:cs="Arial"/>
                <w:b/>
                <w:bCs/>
                <w:color w:val="auto"/>
                <w:sz w:val="16"/>
                <w:szCs w:val="16"/>
              </w:rPr>
            </w:pPr>
          </w:p>
        </w:tc>
      </w:tr>
    </w:tbl>
    <w:p w14:paraId="3EA81F3A" w14:textId="77777777" w:rsidR="004A554F" w:rsidRPr="00306F4D" w:rsidRDefault="004A554F" w:rsidP="004A554F">
      <w:pPr>
        <w:pStyle w:val="Footer"/>
        <w:tabs>
          <w:tab w:val="clear" w:pos="4680"/>
          <w:tab w:val="clear" w:pos="9360"/>
        </w:tabs>
        <w:spacing w:line="276" w:lineRule="auto"/>
        <w:ind w:left="360"/>
        <w:rPr>
          <w:rFonts w:ascii="Arial" w:eastAsia="Arial" w:hAnsi="Arial" w:cs="Arial"/>
          <w:color w:val="AEAAAA" w:themeColor="background2" w:themeShade="BF"/>
          <w:lang w:val="en-GB"/>
        </w:rPr>
      </w:pPr>
      <w:bookmarkStart w:id="205" w:name="_Toc21352675"/>
      <w:bookmarkStart w:id="206" w:name="_Toc1446156318"/>
      <w:bookmarkStart w:id="207" w:name="_Toc202165727"/>
      <w:bookmarkStart w:id="208" w:name="_Toc202893759"/>
    </w:p>
    <w:p w14:paraId="7F996956" w14:textId="0838F747" w:rsidR="118D55AB" w:rsidRPr="00306F4D" w:rsidDel="00E524D6" w:rsidRDefault="118D55AB" w:rsidP="008611DD">
      <w:pPr>
        <w:spacing w:after="0"/>
        <w:rPr>
          <w:rFonts w:ascii="Arial" w:eastAsia="Arial" w:hAnsi="Arial" w:cs="Arial"/>
          <w:b/>
          <w:sz w:val="20"/>
          <w:szCs w:val="20"/>
        </w:rPr>
      </w:pPr>
      <w:r w:rsidRPr="00306F4D" w:rsidDel="00E524D6">
        <w:rPr>
          <w:rFonts w:ascii="Arial" w:eastAsia="Arial" w:hAnsi="Arial" w:cs="Arial"/>
          <w:b/>
          <w:sz w:val="20"/>
          <w:szCs w:val="20"/>
        </w:rPr>
        <w:t>Core Impact Indicator Summary Table</w:t>
      </w:r>
    </w:p>
    <w:p w14:paraId="56865106" w14:textId="41DDD0A3" w:rsidR="00DA4A00" w:rsidRPr="00306F4D" w:rsidRDefault="00DA4A00" w:rsidP="00DA4A00">
      <w:pPr>
        <w:jc w:val="center"/>
        <w:rPr>
          <w:rFonts w:ascii="Arial" w:hAnsi="Arial" w:cs="Arial"/>
          <w:b/>
          <w:smallCaps/>
        </w:rPr>
      </w:pPr>
    </w:p>
    <w:tbl>
      <w:tblPr>
        <w:tblW w:w="5000" w:type="pct"/>
        <w:jc w:val="center"/>
        <w:tblLook w:val="04A0" w:firstRow="1" w:lastRow="0" w:firstColumn="1" w:lastColumn="0" w:noHBand="0" w:noVBand="1"/>
      </w:tblPr>
      <w:tblGrid>
        <w:gridCol w:w="4898"/>
        <w:gridCol w:w="1017"/>
        <w:gridCol w:w="4047"/>
      </w:tblGrid>
      <w:tr w:rsidR="00DA4A00" w:rsidRPr="00306F4D" w14:paraId="02F6FD2C" w14:textId="77777777" w:rsidTr="00A34B6C">
        <w:trPr>
          <w:trHeight w:val="260"/>
          <w:jc w:val="center"/>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9DF34BC" w14:textId="77777777" w:rsidR="00DA4A00" w:rsidRPr="00306F4D" w:rsidRDefault="00DA4A00" w:rsidP="00501159">
            <w:pPr>
              <w:rPr>
                <w:rFonts w:ascii="Arial" w:hAnsi="Arial" w:cs="Arial"/>
                <w:b/>
                <w:sz w:val="18"/>
                <w:szCs w:val="18"/>
              </w:rPr>
            </w:pPr>
            <w:r w:rsidRPr="00306F4D">
              <w:rPr>
                <w:rFonts w:ascii="Arial" w:hAnsi="Arial" w:cs="Arial"/>
                <w:b/>
                <w:sz w:val="18"/>
                <w:szCs w:val="18"/>
              </w:rPr>
              <w:t>Adaptation Fund Core Impact Indicator “Number of Beneficiaries”</w:t>
            </w:r>
          </w:p>
        </w:tc>
      </w:tr>
      <w:tr w:rsidR="004D174C" w:rsidRPr="00306F4D" w14:paraId="5F05ABAA" w14:textId="77777777" w:rsidTr="00A34B6C">
        <w:trPr>
          <w:trHeight w:val="522"/>
          <w:jc w:val="center"/>
        </w:trPr>
        <w:tc>
          <w:tcPr>
            <w:tcW w:w="2997"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bottom"/>
          </w:tcPr>
          <w:p w14:paraId="2455CB26" w14:textId="77777777" w:rsidR="00DA4A00" w:rsidRPr="00306F4D" w:rsidRDefault="00DA4A00">
            <w:pPr>
              <w:rPr>
                <w:rFonts w:ascii="Arial" w:hAnsi="Arial" w:cs="Arial"/>
                <w:sz w:val="18"/>
                <w:szCs w:val="18"/>
              </w:rPr>
            </w:pPr>
            <w:r w:rsidRPr="00306F4D">
              <w:rPr>
                <w:rFonts w:ascii="Arial" w:hAnsi="Arial" w:cs="Arial"/>
                <w:sz w:val="18"/>
                <w:szCs w:val="18"/>
              </w:rPr>
              <w:t> </w:t>
            </w:r>
          </w:p>
        </w:tc>
        <w:tc>
          <w:tcPr>
            <w:tcW w:w="59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A5F3478" w14:textId="77777777" w:rsidR="00DA4A00" w:rsidRPr="00306F4D" w:rsidRDefault="00DA4A00">
            <w:pPr>
              <w:rPr>
                <w:rFonts w:ascii="Arial" w:hAnsi="Arial" w:cs="Arial"/>
                <w:b/>
                <w:sz w:val="18"/>
                <w:szCs w:val="18"/>
              </w:rPr>
            </w:pPr>
            <w:r w:rsidRPr="00306F4D">
              <w:rPr>
                <w:rFonts w:ascii="Arial" w:hAnsi="Arial" w:cs="Arial"/>
                <w:b/>
                <w:sz w:val="18"/>
                <w:szCs w:val="18"/>
              </w:rPr>
              <w:t xml:space="preserve">Baseline </w:t>
            </w:r>
            <w:r w:rsidRPr="00306F4D">
              <w:rPr>
                <w:rFonts w:ascii="Arial" w:hAnsi="Arial" w:cs="Arial"/>
                <w:b/>
                <w:i/>
                <w:sz w:val="18"/>
                <w:szCs w:val="18"/>
              </w:rPr>
              <w:t>(absolute number)</w:t>
            </w:r>
          </w:p>
        </w:tc>
        <w:tc>
          <w:tcPr>
            <w:tcW w:w="1146" w:type="pct"/>
            <w:tcBorders>
              <w:top w:val="single" w:sz="4" w:space="0" w:color="000000"/>
              <w:left w:val="single" w:sz="4" w:space="0" w:color="000000"/>
              <w:bottom w:val="single" w:sz="4" w:space="0" w:color="000000"/>
              <w:right w:val="single" w:sz="4" w:space="0" w:color="000000"/>
            </w:tcBorders>
            <w:shd w:val="clear" w:color="auto" w:fill="FFFFFF" w:themeFill="background1"/>
            <w:noWrap/>
          </w:tcPr>
          <w:p w14:paraId="016C93E6" w14:textId="77777777" w:rsidR="00DA4A00" w:rsidRPr="00306F4D" w:rsidRDefault="00DA4A00">
            <w:pPr>
              <w:rPr>
                <w:rFonts w:ascii="Arial" w:hAnsi="Arial" w:cs="Arial"/>
                <w:b/>
                <w:i/>
                <w:sz w:val="18"/>
                <w:szCs w:val="18"/>
              </w:rPr>
            </w:pPr>
            <w:r w:rsidRPr="00306F4D">
              <w:rPr>
                <w:rFonts w:ascii="Arial" w:hAnsi="Arial" w:cs="Arial"/>
                <w:b/>
                <w:sz w:val="18"/>
                <w:szCs w:val="18"/>
              </w:rPr>
              <w:t>Target at project approval</w:t>
            </w:r>
            <w:r w:rsidRPr="00306F4D">
              <w:rPr>
                <w:rFonts w:ascii="Arial" w:hAnsi="Arial" w:cs="Arial"/>
                <w:b/>
                <w:i/>
                <w:sz w:val="18"/>
                <w:szCs w:val="18"/>
              </w:rPr>
              <w:t xml:space="preserve"> (absolute number)</w:t>
            </w:r>
          </w:p>
        </w:tc>
      </w:tr>
      <w:tr w:rsidR="004D174C" w:rsidRPr="00306F4D" w14:paraId="41552FBA" w14:textId="77777777" w:rsidTr="00A34B6C">
        <w:trPr>
          <w:trHeight w:val="324"/>
          <w:jc w:val="center"/>
        </w:trPr>
        <w:tc>
          <w:tcPr>
            <w:tcW w:w="299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7977DE8" w14:textId="77777777" w:rsidR="00DA4A00" w:rsidRPr="00306F4D" w:rsidRDefault="00DA4A00">
            <w:pPr>
              <w:rPr>
                <w:rFonts w:ascii="Arial" w:hAnsi="Arial" w:cs="Arial"/>
                <w:b/>
                <w:sz w:val="18"/>
                <w:szCs w:val="18"/>
              </w:rPr>
            </w:pPr>
            <w:r w:rsidRPr="00306F4D">
              <w:rPr>
                <w:rFonts w:ascii="Arial" w:hAnsi="Arial" w:cs="Arial"/>
                <w:b/>
                <w:sz w:val="18"/>
                <w:szCs w:val="18"/>
              </w:rPr>
              <w:t xml:space="preserve">Direct beneficiaries supported by the project </w:t>
            </w:r>
          </w:p>
        </w:tc>
        <w:tc>
          <w:tcPr>
            <w:tcW w:w="59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9C635BB" w14:textId="77777777" w:rsidR="00DA4A00" w:rsidRPr="00306F4D" w:rsidRDefault="00DA4A00">
            <w:pPr>
              <w:rPr>
                <w:rFonts w:ascii="Arial" w:hAnsi="Arial" w:cs="Arial"/>
                <w:sz w:val="18"/>
                <w:szCs w:val="18"/>
              </w:rPr>
            </w:pPr>
            <w:r w:rsidRPr="00306F4D">
              <w:rPr>
                <w:rFonts w:ascii="Arial" w:hAnsi="Arial" w:cs="Arial"/>
                <w:sz w:val="18"/>
                <w:szCs w:val="18"/>
              </w:rPr>
              <w:t>0</w:t>
            </w:r>
          </w:p>
        </w:tc>
        <w:tc>
          <w:tcPr>
            <w:tcW w:w="1146" w:type="pct"/>
            <w:tcBorders>
              <w:top w:val="single" w:sz="4" w:space="0" w:color="000000"/>
              <w:left w:val="single" w:sz="4" w:space="0" w:color="000000"/>
              <w:bottom w:val="single" w:sz="4" w:space="0" w:color="000000"/>
              <w:right w:val="single" w:sz="4" w:space="0" w:color="000000"/>
            </w:tcBorders>
            <w:shd w:val="clear" w:color="auto" w:fill="FFFFFF" w:themeFill="background1"/>
            <w:noWrap/>
          </w:tcPr>
          <w:p w14:paraId="1407F192" w14:textId="77777777" w:rsidR="00DA4A00" w:rsidRPr="00306F4D" w:rsidRDefault="00DA4A00">
            <w:pPr>
              <w:rPr>
                <w:rFonts w:ascii="Arial" w:hAnsi="Arial" w:cs="Arial"/>
                <w:sz w:val="18"/>
                <w:szCs w:val="18"/>
              </w:rPr>
            </w:pPr>
            <w:r w:rsidRPr="00306F4D">
              <w:rPr>
                <w:rFonts w:ascii="Arial" w:hAnsi="Arial" w:cs="Arial"/>
                <w:sz w:val="18"/>
                <w:szCs w:val="18"/>
              </w:rPr>
              <w:t>40,000</w:t>
            </w:r>
          </w:p>
        </w:tc>
      </w:tr>
      <w:tr w:rsidR="004D174C" w:rsidRPr="00306F4D" w14:paraId="1711B982" w14:textId="77777777" w:rsidTr="00A34B6C">
        <w:trPr>
          <w:trHeight w:val="279"/>
          <w:jc w:val="center"/>
        </w:trPr>
        <w:tc>
          <w:tcPr>
            <w:tcW w:w="299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14B7E0" w14:textId="77777777" w:rsidR="00DA4A00" w:rsidRPr="00306F4D" w:rsidRDefault="00DA4A00">
            <w:pPr>
              <w:rPr>
                <w:rFonts w:ascii="Arial" w:hAnsi="Arial" w:cs="Arial"/>
                <w:i/>
                <w:sz w:val="18"/>
                <w:szCs w:val="18"/>
              </w:rPr>
            </w:pPr>
            <w:r w:rsidRPr="00306F4D">
              <w:rPr>
                <w:rFonts w:ascii="Arial" w:hAnsi="Arial" w:cs="Arial"/>
                <w:i/>
                <w:sz w:val="18"/>
                <w:szCs w:val="18"/>
              </w:rPr>
              <w:t xml:space="preserve">Female direct beneficiaries </w:t>
            </w:r>
          </w:p>
        </w:tc>
        <w:tc>
          <w:tcPr>
            <w:tcW w:w="59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1DF18B7" w14:textId="77777777" w:rsidR="00DA4A00" w:rsidRPr="00306F4D" w:rsidRDefault="00DA4A00">
            <w:pPr>
              <w:rPr>
                <w:rFonts w:ascii="Arial" w:hAnsi="Arial" w:cs="Arial"/>
                <w:sz w:val="18"/>
                <w:szCs w:val="18"/>
              </w:rPr>
            </w:pPr>
            <w:r w:rsidRPr="00306F4D">
              <w:rPr>
                <w:rFonts w:ascii="Arial" w:hAnsi="Arial" w:cs="Arial"/>
                <w:sz w:val="18"/>
                <w:szCs w:val="18"/>
              </w:rPr>
              <w:t>0</w:t>
            </w:r>
          </w:p>
        </w:tc>
        <w:tc>
          <w:tcPr>
            <w:tcW w:w="1146" w:type="pct"/>
            <w:tcBorders>
              <w:top w:val="single" w:sz="4" w:space="0" w:color="000000"/>
              <w:left w:val="single" w:sz="4" w:space="0" w:color="000000"/>
              <w:bottom w:val="single" w:sz="4" w:space="0" w:color="000000"/>
              <w:right w:val="single" w:sz="4" w:space="0" w:color="000000"/>
            </w:tcBorders>
            <w:shd w:val="clear" w:color="auto" w:fill="FFFFFF" w:themeFill="background1"/>
            <w:noWrap/>
          </w:tcPr>
          <w:p w14:paraId="26C40690" w14:textId="77777777" w:rsidR="00DA4A00" w:rsidRPr="00306F4D" w:rsidRDefault="00DA4A00">
            <w:pPr>
              <w:rPr>
                <w:rFonts w:ascii="Arial" w:hAnsi="Arial" w:cs="Arial"/>
                <w:sz w:val="18"/>
                <w:szCs w:val="18"/>
              </w:rPr>
            </w:pPr>
            <w:r w:rsidRPr="00306F4D">
              <w:rPr>
                <w:rFonts w:ascii="Arial" w:hAnsi="Arial" w:cs="Arial"/>
                <w:sz w:val="18"/>
                <w:szCs w:val="18"/>
              </w:rPr>
              <w:t>20,660</w:t>
            </w:r>
          </w:p>
        </w:tc>
      </w:tr>
      <w:tr w:rsidR="004D174C" w:rsidRPr="00306F4D" w14:paraId="477AFF6C" w14:textId="77777777" w:rsidTr="00A34B6C">
        <w:trPr>
          <w:trHeight w:val="873"/>
          <w:jc w:val="center"/>
        </w:trPr>
        <w:tc>
          <w:tcPr>
            <w:tcW w:w="299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06783C" w14:textId="77777777" w:rsidR="00DA4A00" w:rsidRPr="00306F4D" w:rsidRDefault="00DA4A00">
            <w:pPr>
              <w:rPr>
                <w:rFonts w:ascii="Arial" w:hAnsi="Arial" w:cs="Arial"/>
                <w:i/>
                <w:sz w:val="18"/>
                <w:szCs w:val="18"/>
              </w:rPr>
            </w:pPr>
            <w:r w:rsidRPr="00306F4D">
              <w:rPr>
                <w:rFonts w:ascii="Arial" w:hAnsi="Arial" w:cs="Arial"/>
                <w:i/>
                <w:sz w:val="18"/>
                <w:szCs w:val="18"/>
              </w:rPr>
              <w:lastRenderedPageBreak/>
              <w:t>Youth direct beneficiaries</w:t>
            </w:r>
          </w:p>
          <w:p w14:paraId="793F5EA0" w14:textId="77777777" w:rsidR="00DA4A00" w:rsidRPr="00306F4D" w:rsidRDefault="00DA4A00">
            <w:pPr>
              <w:rPr>
                <w:rFonts w:ascii="Arial" w:hAnsi="Arial" w:cs="Arial"/>
                <w:sz w:val="18"/>
                <w:szCs w:val="18"/>
              </w:rPr>
            </w:pPr>
            <w:r w:rsidRPr="00306F4D">
              <w:rPr>
                <w:rFonts w:ascii="Arial" w:hAnsi="Arial" w:cs="Arial"/>
                <w:sz w:val="18"/>
                <w:szCs w:val="18"/>
              </w:rPr>
              <w:t xml:space="preserve">Youth defined as ages 15–24; country shares use 2020 est. as latest consolidated public figures; will be updated in Year 1 using actual grantee data </w:t>
            </w:r>
          </w:p>
        </w:tc>
        <w:tc>
          <w:tcPr>
            <w:tcW w:w="59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F1E0F3F" w14:textId="77777777" w:rsidR="00DA4A00" w:rsidRPr="00306F4D" w:rsidRDefault="00DA4A00">
            <w:pPr>
              <w:rPr>
                <w:rFonts w:ascii="Arial" w:hAnsi="Arial" w:cs="Arial"/>
                <w:sz w:val="18"/>
                <w:szCs w:val="18"/>
              </w:rPr>
            </w:pPr>
            <w:r w:rsidRPr="00306F4D">
              <w:rPr>
                <w:rFonts w:ascii="Arial" w:hAnsi="Arial" w:cs="Arial"/>
                <w:sz w:val="18"/>
                <w:szCs w:val="18"/>
              </w:rPr>
              <w:t>0</w:t>
            </w:r>
          </w:p>
        </w:tc>
        <w:tc>
          <w:tcPr>
            <w:tcW w:w="1146" w:type="pct"/>
            <w:tcBorders>
              <w:top w:val="single" w:sz="4" w:space="0" w:color="000000"/>
              <w:left w:val="single" w:sz="4" w:space="0" w:color="000000"/>
              <w:bottom w:val="single" w:sz="4" w:space="0" w:color="000000"/>
              <w:right w:val="single" w:sz="4" w:space="0" w:color="000000"/>
            </w:tcBorders>
            <w:shd w:val="clear" w:color="auto" w:fill="FFFFFF" w:themeFill="background1"/>
            <w:noWrap/>
          </w:tcPr>
          <w:p w14:paraId="0F3BA5C1" w14:textId="77777777" w:rsidR="00DA4A00" w:rsidRPr="00306F4D" w:rsidRDefault="00DA4A00">
            <w:pPr>
              <w:rPr>
                <w:rFonts w:ascii="Arial" w:hAnsi="Arial" w:cs="Arial"/>
                <w:sz w:val="18"/>
                <w:szCs w:val="18"/>
              </w:rPr>
            </w:pPr>
            <w:r w:rsidRPr="00306F4D">
              <w:rPr>
                <w:rFonts w:ascii="Arial" w:hAnsi="Arial" w:cs="Arial"/>
                <w:sz w:val="18"/>
                <w:szCs w:val="18"/>
              </w:rPr>
              <w:t>4,730</w:t>
            </w:r>
          </w:p>
        </w:tc>
      </w:tr>
      <w:tr w:rsidR="004D174C" w:rsidRPr="00306F4D" w14:paraId="7850644C" w14:textId="77777777" w:rsidTr="00A34B6C">
        <w:trPr>
          <w:trHeight w:val="306"/>
          <w:jc w:val="center"/>
        </w:trPr>
        <w:tc>
          <w:tcPr>
            <w:tcW w:w="299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4A5B357" w14:textId="77777777" w:rsidR="00DA4A00" w:rsidRPr="00306F4D" w:rsidRDefault="00DA4A00">
            <w:pPr>
              <w:rPr>
                <w:rFonts w:ascii="Arial" w:hAnsi="Arial" w:cs="Arial"/>
                <w:b/>
                <w:sz w:val="18"/>
                <w:szCs w:val="18"/>
              </w:rPr>
            </w:pPr>
            <w:r w:rsidRPr="00306F4D">
              <w:rPr>
                <w:rFonts w:ascii="Arial" w:hAnsi="Arial" w:cs="Arial"/>
                <w:b/>
                <w:sz w:val="18"/>
                <w:szCs w:val="18"/>
              </w:rPr>
              <w:t xml:space="preserve">Indirect beneficiaries supported by the project </w:t>
            </w:r>
          </w:p>
        </w:tc>
        <w:tc>
          <w:tcPr>
            <w:tcW w:w="59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3DDFA07" w14:textId="77777777" w:rsidR="00DA4A00" w:rsidRPr="00306F4D" w:rsidRDefault="00DA4A00">
            <w:pPr>
              <w:rPr>
                <w:rFonts w:ascii="Arial" w:hAnsi="Arial" w:cs="Arial"/>
                <w:sz w:val="18"/>
                <w:szCs w:val="18"/>
              </w:rPr>
            </w:pPr>
            <w:r w:rsidRPr="00306F4D">
              <w:rPr>
                <w:rFonts w:ascii="Arial" w:hAnsi="Arial" w:cs="Arial"/>
                <w:sz w:val="18"/>
                <w:szCs w:val="18"/>
              </w:rPr>
              <w:t>0</w:t>
            </w:r>
          </w:p>
        </w:tc>
        <w:tc>
          <w:tcPr>
            <w:tcW w:w="1146" w:type="pct"/>
            <w:tcBorders>
              <w:top w:val="single" w:sz="4" w:space="0" w:color="000000"/>
              <w:left w:val="single" w:sz="4" w:space="0" w:color="000000"/>
              <w:bottom w:val="single" w:sz="4" w:space="0" w:color="000000"/>
              <w:right w:val="single" w:sz="4" w:space="0" w:color="000000"/>
            </w:tcBorders>
            <w:shd w:val="clear" w:color="auto" w:fill="FFFFFF" w:themeFill="background1"/>
            <w:noWrap/>
          </w:tcPr>
          <w:p w14:paraId="25CDCE30" w14:textId="77777777" w:rsidR="00DA4A00" w:rsidRPr="00306F4D" w:rsidRDefault="00DA4A00">
            <w:pPr>
              <w:rPr>
                <w:rFonts w:ascii="Arial" w:hAnsi="Arial" w:cs="Arial"/>
                <w:sz w:val="18"/>
                <w:szCs w:val="18"/>
              </w:rPr>
            </w:pPr>
            <w:r w:rsidRPr="00306F4D">
              <w:rPr>
                <w:rFonts w:ascii="Arial" w:hAnsi="Arial" w:cs="Arial"/>
                <w:sz w:val="18"/>
                <w:szCs w:val="18"/>
              </w:rPr>
              <w:t>100,000</w:t>
            </w:r>
          </w:p>
        </w:tc>
      </w:tr>
      <w:tr w:rsidR="004D174C" w:rsidRPr="00306F4D" w14:paraId="20E19A40" w14:textId="77777777" w:rsidTr="00A34B6C">
        <w:trPr>
          <w:trHeight w:val="261"/>
          <w:jc w:val="center"/>
        </w:trPr>
        <w:tc>
          <w:tcPr>
            <w:tcW w:w="299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F24B57D" w14:textId="77777777" w:rsidR="00DA4A00" w:rsidRPr="00306F4D" w:rsidRDefault="00DA4A00">
            <w:pPr>
              <w:rPr>
                <w:rFonts w:ascii="Arial" w:hAnsi="Arial" w:cs="Arial"/>
                <w:i/>
                <w:sz w:val="18"/>
                <w:szCs w:val="18"/>
              </w:rPr>
            </w:pPr>
            <w:r w:rsidRPr="00306F4D">
              <w:rPr>
                <w:rFonts w:ascii="Arial" w:hAnsi="Arial" w:cs="Arial"/>
                <w:i/>
                <w:sz w:val="18"/>
                <w:szCs w:val="18"/>
              </w:rPr>
              <w:t>Female indirect beneficiaries</w:t>
            </w:r>
          </w:p>
        </w:tc>
        <w:tc>
          <w:tcPr>
            <w:tcW w:w="59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E535C3D" w14:textId="77777777" w:rsidR="00DA4A00" w:rsidRPr="00306F4D" w:rsidRDefault="00DA4A00">
            <w:pPr>
              <w:rPr>
                <w:rFonts w:ascii="Arial" w:hAnsi="Arial" w:cs="Arial"/>
                <w:sz w:val="18"/>
                <w:szCs w:val="18"/>
              </w:rPr>
            </w:pPr>
            <w:r w:rsidRPr="00306F4D">
              <w:rPr>
                <w:rFonts w:ascii="Arial" w:hAnsi="Arial" w:cs="Arial"/>
                <w:sz w:val="18"/>
                <w:szCs w:val="18"/>
              </w:rPr>
              <w:t>0</w:t>
            </w:r>
          </w:p>
        </w:tc>
        <w:tc>
          <w:tcPr>
            <w:tcW w:w="1146" w:type="pct"/>
            <w:tcBorders>
              <w:top w:val="single" w:sz="4" w:space="0" w:color="000000"/>
              <w:left w:val="single" w:sz="4" w:space="0" w:color="000000"/>
              <w:bottom w:val="single" w:sz="4" w:space="0" w:color="000000"/>
              <w:right w:val="single" w:sz="4" w:space="0" w:color="000000"/>
            </w:tcBorders>
            <w:shd w:val="clear" w:color="auto" w:fill="FFFFFF" w:themeFill="background1"/>
            <w:noWrap/>
          </w:tcPr>
          <w:p w14:paraId="5F069C93" w14:textId="77777777" w:rsidR="00DA4A00" w:rsidRPr="00306F4D" w:rsidRDefault="00DA4A00">
            <w:pPr>
              <w:rPr>
                <w:rFonts w:ascii="Arial" w:hAnsi="Arial" w:cs="Arial"/>
                <w:sz w:val="18"/>
                <w:szCs w:val="18"/>
              </w:rPr>
            </w:pPr>
            <w:r w:rsidRPr="00306F4D">
              <w:rPr>
                <w:rFonts w:ascii="Arial" w:hAnsi="Arial" w:cs="Arial"/>
                <w:sz w:val="18"/>
                <w:szCs w:val="18"/>
              </w:rPr>
              <w:t>51,650</w:t>
            </w:r>
          </w:p>
        </w:tc>
      </w:tr>
      <w:tr w:rsidR="004D174C" w:rsidRPr="00306F4D" w14:paraId="00FE1867" w14:textId="77777777" w:rsidTr="00A34B6C">
        <w:trPr>
          <w:trHeight w:val="557"/>
          <w:jc w:val="center"/>
        </w:trPr>
        <w:tc>
          <w:tcPr>
            <w:tcW w:w="299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9E7572E" w14:textId="77777777" w:rsidR="00DA4A00" w:rsidRPr="00306F4D" w:rsidRDefault="00DA4A00">
            <w:pPr>
              <w:rPr>
                <w:rFonts w:ascii="Arial" w:hAnsi="Arial" w:cs="Arial"/>
                <w:i/>
                <w:sz w:val="18"/>
                <w:szCs w:val="18"/>
              </w:rPr>
            </w:pPr>
            <w:r w:rsidRPr="00306F4D">
              <w:rPr>
                <w:rFonts w:ascii="Arial" w:hAnsi="Arial" w:cs="Arial"/>
                <w:i/>
                <w:sz w:val="18"/>
                <w:szCs w:val="18"/>
              </w:rPr>
              <w:t>Youth indirect beneficiaries</w:t>
            </w:r>
          </w:p>
          <w:p w14:paraId="0B082F98" w14:textId="77777777" w:rsidR="00DA4A00" w:rsidRPr="00306F4D" w:rsidRDefault="00DA4A00">
            <w:pPr>
              <w:rPr>
                <w:rFonts w:ascii="Arial" w:hAnsi="Arial" w:cs="Arial"/>
                <w:i/>
                <w:sz w:val="18"/>
                <w:szCs w:val="18"/>
              </w:rPr>
            </w:pPr>
            <w:r w:rsidRPr="00306F4D">
              <w:rPr>
                <w:rFonts w:ascii="Arial" w:hAnsi="Arial" w:cs="Arial"/>
                <w:sz w:val="18"/>
                <w:szCs w:val="18"/>
              </w:rPr>
              <w:t>Youth defined as ages 15–24; country shares use 2020 est. as latest consolidated public figures; will be updated in Year 1 using actual grantee data</w:t>
            </w:r>
          </w:p>
        </w:tc>
        <w:tc>
          <w:tcPr>
            <w:tcW w:w="59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4169051" w14:textId="77777777" w:rsidR="00DA4A00" w:rsidRPr="00306F4D" w:rsidRDefault="00DA4A00">
            <w:pPr>
              <w:rPr>
                <w:rFonts w:ascii="Arial" w:hAnsi="Arial" w:cs="Arial"/>
                <w:sz w:val="18"/>
                <w:szCs w:val="18"/>
              </w:rPr>
            </w:pPr>
            <w:r w:rsidRPr="00306F4D">
              <w:rPr>
                <w:rFonts w:ascii="Arial" w:hAnsi="Arial" w:cs="Arial"/>
                <w:sz w:val="18"/>
                <w:szCs w:val="18"/>
              </w:rPr>
              <w:t>0</w:t>
            </w:r>
          </w:p>
        </w:tc>
        <w:tc>
          <w:tcPr>
            <w:tcW w:w="1146" w:type="pct"/>
            <w:tcBorders>
              <w:top w:val="single" w:sz="4" w:space="0" w:color="000000"/>
              <w:left w:val="single" w:sz="4" w:space="0" w:color="000000"/>
              <w:bottom w:val="single" w:sz="4" w:space="0" w:color="000000"/>
              <w:right w:val="single" w:sz="4" w:space="0" w:color="000000"/>
            </w:tcBorders>
            <w:shd w:val="clear" w:color="auto" w:fill="FFFFFF" w:themeFill="background1"/>
            <w:noWrap/>
          </w:tcPr>
          <w:p w14:paraId="00AB52D0" w14:textId="77777777" w:rsidR="00DA4A00" w:rsidRPr="00306F4D" w:rsidRDefault="00DA4A00">
            <w:pPr>
              <w:rPr>
                <w:rFonts w:ascii="Arial" w:hAnsi="Arial" w:cs="Arial"/>
                <w:sz w:val="18"/>
                <w:szCs w:val="18"/>
              </w:rPr>
            </w:pPr>
            <w:r w:rsidRPr="00306F4D">
              <w:rPr>
                <w:rFonts w:ascii="Arial" w:hAnsi="Arial" w:cs="Arial"/>
                <w:sz w:val="18"/>
                <w:szCs w:val="18"/>
              </w:rPr>
              <w:t>11,825</w:t>
            </w:r>
          </w:p>
        </w:tc>
      </w:tr>
    </w:tbl>
    <w:p w14:paraId="0D9586BF" w14:textId="77777777" w:rsidR="00DA4A00" w:rsidRPr="00306F4D" w:rsidRDefault="00DA4A00" w:rsidP="6487361F">
      <w:pPr>
        <w:pStyle w:val="Footer"/>
        <w:tabs>
          <w:tab w:val="clear" w:pos="4680"/>
          <w:tab w:val="clear" w:pos="9360"/>
        </w:tabs>
        <w:spacing w:line="276" w:lineRule="auto"/>
        <w:rPr>
          <w:rFonts w:ascii="Arial" w:eastAsia="Arial" w:hAnsi="Arial" w:cs="Arial"/>
          <w:color w:val="AEAAAA" w:themeColor="background2" w:themeShade="BF"/>
          <w:lang w:val="en-GB"/>
        </w:rPr>
      </w:pPr>
    </w:p>
    <w:tbl>
      <w:tblPr>
        <w:tblStyle w:val="TableGrid"/>
        <w:tblW w:w="5000" w:type="pct"/>
        <w:tblLook w:val="04A0" w:firstRow="1" w:lastRow="0" w:firstColumn="1" w:lastColumn="0" w:noHBand="0" w:noVBand="1"/>
      </w:tblPr>
      <w:tblGrid>
        <w:gridCol w:w="3172"/>
        <w:gridCol w:w="1636"/>
        <w:gridCol w:w="5154"/>
      </w:tblGrid>
      <w:tr w:rsidR="00094044" w:rsidRPr="00306F4D" w14:paraId="08ED6566" w14:textId="77777777" w:rsidTr="00A34B6C">
        <w:tc>
          <w:tcPr>
            <w:tcW w:w="5000" w:type="pct"/>
            <w:gridSpan w:val="3"/>
          </w:tcPr>
          <w:p w14:paraId="72E6523A" w14:textId="77777777" w:rsidR="00094044" w:rsidRPr="00306F4D" w:rsidRDefault="00094044">
            <w:pPr>
              <w:rPr>
                <w:rFonts w:ascii="Arial" w:hAnsi="Arial" w:cs="Arial"/>
                <w:b/>
                <w:sz w:val="18"/>
                <w:szCs w:val="18"/>
              </w:rPr>
            </w:pPr>
            <w:r w:rsidRPr="00306F4D">
              <w:rPr>
                <w:rFonts w:ascii="Arial" w:hAnsi="Arial" w:cs="Arial"/>
                <w:b/>
                <w:sz w:val="18"/>
                <w:szCs w:val="18"/>
              </w:rPr>
              <w:t>Adaptation Fund Core Impact Indicator “Assets Produced, Developed, Improved, or Strengthened”</w:t>
            </w:r>
          </w:p>
        </w:tc>
      </w:tr>
      <w:tr w:rsidR="00094044" w:rsidRPr="00306F4D" w14:paraId="5F627990" w14:textId="77777777" w:rsidTr="00A34B6C">
        <w:tc>
          <w:tcPr>
            <w:tcW w:w="1592" w:type="pct"/>
          </w:tcPr>
          <w:p w14:paraId="7705E799" w14:textId="77777777" w:rsidR="00094044" w:rsidRPr="00306F4D" w:rsidRDefault="00094044">
            <w:pPr>
              <w:rPr>
                <w:rFonts w:ascii="Arial" w:hAnsi="Arial" w:cs="Arial"/>
                <w:sz w:val="18"/>
                <w:szCs w:val="18"/>
              </w:rPr>
            </w:pPr>
          </w:p>
        </w:tc>
        <w:tc>
          <w:tcPr>
            <w:tcW w:w="821" w:type="pct"/>
          </w:tcPr>
          <w:p w14:paraId="3892C202" w14:textId="77777777" w:rsidR="00094044" w:rsidRPr="00306F4D" w:rsidRDefault="00094044">
            <w:pPr>
              <w:rPr>
                <w:rFonts w:ascii="Arial" w:hAnsi="Arial" w:cs="Arial"/>
                <w:sz w:val="18"/>
                <w:szCs w:val="18"/>
              </w:rPr>
            </w:pPr>
            <w:r w:rsidRPr="00306F4D">
              <w:rPr>
                <w:rFonts w:ascii="Arial" w:hAnsi="Arial" w:cs="Arial"/>
                <w:sz w:val="18"/>
                <w:szCs w:val="18"/>
              </w:rPr>
              <w:t>Baseline</w:t>
            </w:r>
          </w:p>
        </w:tc>
        <w:tc>
          <w:tcPr>
            <w:tcW w:w="2587" w:type="pct"/>
          </w:tcPr>
          <w:p w14:paraId="71299014" w14:textId="77777777" w:rsidR="00094044" w:rsidRPr="00306F4D" w:rsidRDefault="00094044">
            <w:pPr>
              <w:rPr>
                <w:rFonts w:ascii="Arial" w:hAnsi="Arial" w:cs="Arial"/>
                <w:sz w:val="18"/>
                <w:szCs w:val="18"/>
              </w:rPr>
            </w:pPr>
            <w:r w:rsidRPr="00306F4D">
              <w:rPr>
                <w:rFonts w:ascii="Arial" w:hAnsi="Arial" w:cs="Arial"/>
                <w:sz w:val="18"/>
                <w:szCs w:val="18"/>
              </w:rPr>
              <w:t>Target at project approval</w:t>
            </w:r>
          </w:p>
        </w:tc>
      </w:tr>
      <w:tr w:rsidR="00094044" w:rsidRPr="00306F4D" w14:paraId="7644DE9F" w14:textId="77777777" w:rsidTr="00A34B6C">
        <w:tc>
          <w:tcPr>
            <w:tcW w:w="1592" w:type="pct"/>
          </w:tcPr>
          <w:p w14:paraId="08F42EC1" w14:textId="77777777" w:rsidR="00E53EA0" w:rsidRPr="00306F4D" w:rsidRDefault="00E53EA0">
            <w:pPr>
              <w:rPr>
                <w:rFonts w:ascii="Arial" w:hAnsi="Arial" w:cs="Arial"/>
                <w:sz w:val="18"/>
                <w:szCs w:val="18"/>
              </w:rPr>
            </w:pPr>
            <w:r w:rsidRPr="00306F4D">
              <w:rPr>
                <w:rFonts w:ascii="Arial" w:hAnsi="Arial" w:cs="Arial"/>
                <w:sz w:val="18"/>
                <w:szCs w:val="18"/>
              </w:rPr>
              <w:t>Sector</w:t>
            </w:r>
            <w:r w:rsidR="00EE5E0D" w:rsidRPr="00306F4D">
              <w:rPr>
                <w:rFonts w:ascii="Arial" w:hAnsi="Arial" w:cs="Arial"/>
                <w:sz w:val="18"/>
                <w:szCs w:val="18"/>
              </w:rPr>
              <w:t>:</w:t>
            </w:r>
            <w:r w:rsidR="0025481E" w:rsidRPr="00306F4D">
              <w:rPr>
                <w:rFonts w:ascii="Arial" w:hAnsi="Arial" w:cs="Arial"/>
                <w:sz w:val="18"/>
                <w:szCs w:val="18"/>
              </w:rPr>
              <w:t xml:space="preserve"> Multi-sector (agriculture, coastal</w:t>
            </w:r>
            <w:r w:rsidR="007C4B7D" w:rsidRPr="00306F4D">
              <w:rPr>
                <w:rFonts w:ascii="Arial" w:hAnsi="Arial" w:cs="Arial"/>
                <w:sz w:val="18"/>
                <w:szCs w:val="18"/>
              </w:rPr>
              <w:t xml:space="preserve"> management, disaster risk reduction, </w:t>
            </w:r>
            <w:r w:rsidR="003D3E64" w:rsidRPr="00306F4D">
              <w:rPr>
                <w:rFonts w:ascii="Arial" w:hAnsi="Arial" w:cs="Arial"/>
                <w:sz w:val="18"/>
                <w:szCs w:val="18"/>
              </w:rPr>
              <w:t xml:space="preserve">urban development, </w:t>
            </w:r>
            <w:r w:rsidR="00E77B71" w:rsidRPr="00306F4D">
              <w:rPr>
                <w:rFonts w:ascii="Arial" w:hAnsi="Arial" w:cs="Arial"/>
                <w:sz w:val="18"/>
                <w:szCs w:val="18"/>
              </w:rPr>
              <w:t xml:space="preserve">water management, </w:t>
            </w:r>
            <w:r w:rsidR="00882C36" w:rsidRPr="00306F4D">
              <w:rPr>
                <w:rFonts w:ascii="Arial" w:hAnsi="Arial" w:cs="Arial"/>
                <w:sz w:val="18"/>
                <w:szCs w:val="18"/>
              </w:rPr>
              <w:t>food security, health)</w:t>
            </w:r>
          </w:p>
          <w:p w14:paraId="5FDE7AAD" w14:textId="07AFC2BE" w:rsidR="00094044" w:rsidRPr="00306F4D" w:rsidRDefault="00CE10FB">
            <w:pPr>
              <w:rPr>
                <w:rFonts w:ascii="Arial" w:hAnsi="Arial" w:cs="Arial"/>
                <w:sz w:val="18"/>
                <w:szCs w:val="18"/>
              </w:rPr>
            </w:pPr>
            <w:r w:rsidRPr="00306F4D">
              <w:rPr>
                <w:rFonts w:ascii="Arial" w:hAnsi="Arial" w:cs="Arial"/>
                <w:sz w:val="18"/>
                <w:szCs w:val="18"/>
              </w:rPr>
              <w:t>*</w:t>
            </w:r>
            <w:r w:rsidR="006C0F04" w:rsidRPr="00306F4D">
              <w:rPr>
                <w:rFonts w:ascii="Arial" w:hAnsi="Arial" w:cs="Arial"/>
                <w:sz w:val="18"/>
                <w:szCs w:val="18"/>
              </w:rPr>
              <w:t>Target sectors to be defined upon selection of grantees</w:t>
            </w:r>
          </w:p>
        </w:tc>
        <w:tc>
          <w:tcPr>
            <w:tcW w:w="821" w:type="pct"/>
          </w:tcPr>
          <w:p w14:paraId="7515383B" w14:textId="0196D7E2" w:rsidR="00094044" w:rsidRPr="00306F4D" w:rsidRDefault="00094044">
            <w:pPr>
              <w:rPr>
                <w:rFonts w:ascii="Arial" w:hAnsi="Arial" w:cs="Arial"/>
                <w:sz w:val="18"/>
                <w:szCs w:val="18"/>
              </w:rPr>
            </w:pPr>
          </w:p>
        </w:tc>
        <w:tc>
          <w:tcPr>
            <w:tcW w:w="2587" w:type="pct"/>
          </w:tcPr>
          <w:p w14:paraId="4A1B132A" w14:textId="2C59D2E1" w:rsidR="00094044" w:rsidRPr="00306F4D" w:rsidRDefault="00094044">
            <w:pPr>
              <w:rPr>
                <w:rFonts w:ascii="Arial" w:hAnsi="Arial" w:cs="Arial"/>
                <w:sz w:val="18"/>
                <w:szCs w:val="18"/>
              </w:rPr>
            </w:pPr>
          </w:p>
        </w:tc>
      </w:tr>
      <w:tr w:rsidR="00094044" w:rsidRPr="00306F4D" w14:paraId="7107C068" w14:textId="77777777" w:rsidTr="00A34B6C">
        <w:tc>
          <w:tcPr>
            <w:tcW w:w="1592" w:type="pct"/>
          </w:tcPr>
          <w:p w14:paraId="4B1D67C2" w14:textId="591CE103" w:rsidR="00094044" w:rsidRPr="00306F4D" w:rsidRDefault="00094044">
            <w:pPr>
              <w:rPr>
                <w:rFonts w:ascii="Arial" w:hAnsi="Arial" w:cs="Arial"/>
                <w:sz w:val="18"/>
                <w:szCs w:val="18"/>
              </w:rPr>
            </w:pPr>
            <w:r w:rsidRPr="00306F4D">
              <w:rPr>
                <w:rFonts w:ascii="Arial" w:hAnsi="Arial" w:cs="Arial"/>
                <w:sz w:val="18"/>
                <w:szCs w:val="18"/>
              </w:rPr>
              <w:t>Targeted Asset</w:t>
            </w:r>
            <w:r w:rsidRPr="00306F4D">
              <w:rPr>
                <w:rFonts w:ascii="Arial" w:hAnsi="Arial" w:cs="Arial"/>
                <w:sz w:val="18"/>
                <w:szCs w:val="18"/>
              </w:rPr>
              <w:br/>
            </w:r>
            <w:r w:rsidRPr="00306F4D">
              <w:rPr>
                <w:rFonts w:ascii="Arial" w:hAnsi="Arial" w:cs="Arial"/>
                <w:sz w:val="18"/>
                <w:szCs w:val="18"/>
              </w:rPr>
              <w:br/>
              <w:t>2) Physical asset (produced/improved/strengthened)</w:t>
            </w:r>
          </w:p>
        </w:tc>
        <w:tc>
          <w:tcPr>
            <w:tcW w:w="821" w:type="pct"/>
          </w:tcPr>
          <w:p w14:paraId="422249D4" w14:textId="77777777" w:rsidR="00094044" w:rsidRPr="00306F4D" w:rsidRDefault="00094044">
            <w:pPr>
              <w:rPr>
                <w:rFonts w:ascii="Arial" w:hAnsi="Arial" w:cs="Arial"/>
                <w:sz w:val="18"/>
                <w:szCs w:val="18"/>
              </w:rPr>
            </w:pPr>
            <w:r w:rsidRPr="00306F4D">
              <w:rPr>
                <w:rFonts w:ascii="Arial" w:hAnsi="Arial" w:cs="Arial"/>
                <w:sz w:val="18"/>
                <w:szCs w:val="18"/>
              </w:rPr>
              <w:t>0</w:t>
            </w:r>
          </w:p>
        </w:tc>
        <w:tc>
          <w:tcPr>
            <w:tcW w:w="2587" w:type="pct"/>
          </w:tcPr>
          <w:p w14:paraId="38772761" w14:textId="77777777" w:rsidR="00094044" w:rsidRPr="00306F4D" w:rsidRDefault="00094044">
            <w:pPr>
              <w:rPr>
                <w:rFonts w:ascii="Arial" w:hAnsi="Arial" w:cs="Arial"/>
                <w:sz w:val="18"/>
                <w:szCs w:val="18"/>
              </w:rPr>
            </w:pPr>
            <w:r w:rsidRPr="00306F4D">
              <w:rPr>
                <w:rFonts w:ascii="Arial" w:hAnsi="Arial" w:cs="Arial"/>
                <w:sz w:val="18"/>
                <w:szCs w:val="18"/>
              </w:rPr>
              <w:t>(a) 30 piloted; (b) 5 scaled</w:t>
            </w:r>
          </w:p>
        </w:tc>
      </w:tr>
      <w:tr w:rsidR="00094044" w:rsidRPr="00306F4D" w14:paraId="51DA17B1" w14:textId="77777777" w:rsidTr="00A34B6C">
        <w:tc>
          <w:tcPr>
            <w:tcW w:w="1592" w:type="pct"/>
          </w:tcPr>
          <w:p w14:paraId="516D3BD5" w14:textId="77777777" w:rsidR="00094044" w:rsidRPr="00306F4D" w:rsidRDefault="00094044">
            <w:pPr>
              <w:rPr>
                <w:rFonts w:ascii="Arial" w:hAnsi="Arial" w:cs="Arial"/>
                <w:sz w:val="18"/>
                <w:szCs w:val="18"/>
              </w:rPr>
            </w:pPr>
            <w:r w:rsidRPr="00306F4D">
              <w:rPr>
                <w:rFonts w:ascii="Arial" w:hAnsi="Arial" w:cs="Arial"/>
                <w:sz w:val="18"/>
                <w:szCs w:val="18"/>
              </w:rPr>
              <w:t>Changes in Asset (Quantitative or qualitative depending on the asset)</w:t>
            </w:r>
          </w:p>
        </w:tc>
        <w:tc>
          <w:tcPr>
            <w:tcW w:w="821" w:type="pct"/>
          </w:tcPr>
          <w:p w14:paraId="669D4380" w14:textId="7564B8E7" w:rsidR="00094044" w:rsidRPr="00306F4D" w:rsidRDefault="00865B46">
            <w:pPr>
              <w:rPr>
                <w:rFonts w:ascii="Arial" w:hAnsi="Arial" w:cs="Arial"/>
                <w:sz w:val="18"/>
                <w:szCs w:val="18"/>
              </w:rPr>
            </w:pPr>
            <w:r w:rsidRPr="00306F4D">
              <w:rPr>
                <w:rFonts w:ascii="Arial" w:hAnsi="Arial" w:cs="Arial"/>
                <w:sz w:val="18"/>
                <w:szCs w:val="18"/>
              </w:rPr>
              <w:t>Not improved</w:t>
            </w:r>
          </w:p>
        </w:tc>
        <w:tc>
          <w:tcPr>
            <w:tcW w:w="2587" w:type="pct"/>
          </w:tcPr>
          <w:p w14:paraId="3A337FA2" w14:textId="08DB09F9" w:rsidR="00094044" w:rsidRPr="00306F4D" w:rsidRDefault="00DB7735">
            <w:pPr>
              <w:rPr>
                <w:rFonts w:ascii="Arial" w:hAnsi="Arial" w:cs="Arial"/>
                <w:sz w:val="18"/>
                <w:szCs w:val="18"/>
              </w:rPr>
            </w:pPr>
            <w:r w:rsidRPr="00306F4D">
              <w:rPr>
                <w:rFonts w:ascii="Arial" w:hAnsi="Arial" w:cs="Arial"/>
                <w:sz w:val="18"/>
                <w:szCs w:val="18"/>
              </w:rPr>
              <w:t>Mostly improved</w:t>
            </w:r>
          </w:p>
        </w:tc>
      </w:tr>
    </w:tbl>
    <w:p w14:paraId="36CBBDD7" w14:textId="77777777" w:rsidR="00094044" w:rsidRPr="00306F4D" w:rsidRDefault="00094044" w:rsidP="00094044"/>
    <w:tbl>
      <w:tblPr>
        <w:tblStyle w:val="TableGrid"/>
        <w:tblW w:w="5000" w:type="pct"/>
        <w:tblLook w:val="04A0" w:firstRow="1" w:lastRow="0" w:firstColumn="1" w:lastColumn="0" w:noHBand="0" w:noVBand="1"/>
      </w:tblPr>
      <w:tblGrid>
        <w:gridCol w:w="3042"/>
        <w:gridCol w:w="1841"/>
        <w:gridCol w:w="5079"/>
      </w:tblGrid>
      <w:tr w:rsidR="00A14B50" w:rsidRPr="00306F4D" w14:paraId="156824E2" w14:textId="77777777" w:rsidTr="00A34B6C">
        <w:tc>
          <w:tcPr>
            <w:tcW w:w="5000" w:type="pct"/>
            <w:gridSpan w:val="3"/>
          </w:tcPr>
          <w:p w14:paraId="71FD16FF" w14:textId="2EDD9E4F" w:rsidR="00A14B50" w:rsidRPr="00306F4D" w:rsidRDefault="00A14B50">
            <w:pPr>
              <w:rPr>
                <w:rFonts w:ascii="Arial" w:hAnsi="Arial" w:cs="Arial"/>
                <w:b/>
                <w:bCs/>
                <w:sz w:val="18"/>
                <w:szCs w:val="18"/>
              </w:rPr>
            </w:pPr>
            <w:r w:rsidRPr="00306F4D">
              <w:rPr>
                <w:rFonts w:ascii="Arial" w:hAnsi="Arial" w:cs="Arial"/>
                <w:b/>
                <w:bCs/>
                <w:sz w:val="18"/>
                <w:szCs w:val="18"/>
              </w:rPr>
              <w:t>Adaptation Fund Indicator “</w:t>
            </w:r>
            <w:r w:rsidR="00673D77" w:rsidRPr="00306F4D">
              <w:rPr>
                <w:rFonts w:ascii="Arial" w:hAnsi="Arial" w:cs="Arial"/>
                <w:b/>
                <w:bCs/>
                <w:sz w:val="18"/>
                <w:szCs w:val="18"/>
              </w:rPr>
              <w:t xml:space="preserve">Number of innovative adaptation practices, tools and technologies accelerated, </w:t>
            </w:r>
            <w:proofErr w:type="gramStart"/>
            <w:r w:rsidR="00673D77" w:rsidRPr="00306F4D">
              <w:rPr>
                <w:rFonts w:ascii="Arial" w:hAnsi="Arial" w:cs="Arial"/>
                <w:b/>
                <w:bCs/>
                <w:sz w:val="18"/>
                <w:szCs w:val="18"/>
              </w:rPr>
              <w:t>scaled-up</w:t>
            </w:r>
            <w:proofErr w:type="gramEnd"/>
            <w:r w:rsidR="00673D77" w:rsidRPr="00306F4D">
              <w:rPr>
                <w:rFonts w:ascii="Arial" w:hAnsi="Arial" w:cs="Arial"/>
                <w:b/>
                <w:bCs/>
                <w:sz w:val="18"/>
                <w:szCs w:val="18"/>
              </w:rPr>
              <w:t xml:space="preserve"> and/or replicated</w:t>
            </w:r>
            <w:r w:rsidRPr="00306F4D">
              <w:rPr>
                <w:rFonts w:ascii="Arial" w:hAnsi="Arial" w:cs="Arial"/>
                <w:b/>
                <w:bCs/>
                <w:sz w:val="18"/>
                <w:szCs w:val="18"/>
              </w:rPr>
              <w:t>”</w:t>
            </w:r>
          </w:p>
        </w:tc>
      </w:tr>
      <w:tr w:rsidR="00A14B50" w:rsidRPr="00306F4D" w14:paraId="38CF621C" w14:textId="77777777" w:rsidTr="00A34B6C">
        <w:tc>
          <w:tcPr>
            <w:tcW w:w="1527" w:type="pct"/>
          </w:tcPr>
          <w:p w14:paraId="575BA979" w14:textId="77777777" w:rsidR="00A14B50" w:rsidRPr="00306F4D" w:rsidRDefault="00A14B50">
            <w:pPr>
              <w:rPr>
                <w:rFonts w:ascii="Arial" w:hAnsi="Arial" w:cs="Arial"/>
                <w:sz w:val="18"/>
                <w:szCs w:val="18"/>
              </w:rPr>
            </w:pPr>
          </w:p>
        </w:tc>
        <w:tc>
          <w:tcPr>
            <w:tcW w:w="924" w:type="pct"/>
          </w:tcPr>
          <w:p w14:paraId="728169B6" w14:textId="77777777" w:rsidR="00A14B50" w:rsidRPr="00306F4D" w:rsidRDefault="00A14B50">
            <w:pPr>
              <w:rPr>
                <w:rFonts w:ascii="Arial" w:hAnsi="Arial" w:cs="Arial"/>
                <w:sz w:val="18"/>
                <w:szCs w:val="18"/>
              </w:rPr>
            </w:pPr>
            <w:r w:rsidRPr="00306F4D">
              <w:rPr>
                <w:rFonts w:ascii="Arial" w:hAnsi="Arial" w:cs="Arial"/>
                <w:sz w:val="18"/>
                <w:szCs w:val="18"/>
              </w:rPr>
              <w:t>Baseline</w:t>
            </w:r>
          </w:p>
        </w:tc>
        <w:tc>
          <w:tcPr>
            <w:tcW w:w="2549" w:type="pct"/>
          </w:tcPr>
          <w:p w14:paraId="69C15464" w14:textId="77777777" w:rsidR="00A14B50" w:rsidRPr="00306F4D" w:rsidRDefault="00A14B50">
            <w:pPr>
              <w:rPr>
                <w:rFonts w:ascii="Arial" w:hAnsi="Arial" w:cs="Arial"/>
                <w:sz w:val="18"/>
                <w:szCs w:val="18"/>
              </w:rPr>
            </w:pPr>
            <w:r w:rsidRPr="00306F4D">
              <w:rPr>
                <w:rFonts w:ascii="Arial" w:hAnsi="Arial" w:cs="Arial"/>
                <w:sz w:val="18"/>
                <w:szCs w:val="18"/>
              </w:rPr>
              <w:t>Target at project approval</w:t>
            </w:r>
          </w:p>
        </w:tc>
      </w:tr>
      <w:tr w:rsidR="00A14B50" w:rsidRPr="00306F4D" w14:paraId="6A1BB6E5" w14:textId="77777777" w:rsidTr="00A34B6C">
        <w:tc>
          <w:tcPr>
            <w:tcW w:w="1527" w:type="pct"/>
          </w:tcPr>
          <w:p w14:paraId="4C70F00C" w14:textId="2FCD9217" w:rsidR="00A14B50" w:rsidRPr="00306F4D" w:rsidRDefault="004747AD">
            <w:pPr>
              <w:rPr>
                <w:rFonts w:ascii="Arial" w:hAnsi="Arial" w:cs="Arial"/>
                <w:sz w:val="18"/>
                <w:szCs w:val="18"/>
              </w:rPr>
            </w:pPr>
            <w:r w:rsidRPr="00306F4D">
              <w:rPr>
                <w:rFonts w:ascii="Arial" w:hAnsi="Arial" w:cs="Arial"/>
                <w:sz w:val="18"/>
                <w:szCs w:val="18"/>
              </w:rPr>
              <w:t>No. of innovative practices/tools</w:t>
            </w:r>
            <w:r w:rsidR="00DD718A" w:rsidRPr="00306F4D">
              <w:rPr>
                <w:rFonts w:ascii="Arial" w:hAnsi="Arial" w:cs="Arial"/>
                <w:sz w:val="18"/>
                <w:szCs w:val="18"/>
              </w:rPr>
              <w:t xml:space="preserve"> and technologies</w:t>
            </w:r>
          </w:p>
        </w:tc>
        <w:tc>
          <w:tcPr>
            <w:tcW w:w="924" w:type="pct"/>
          </w:tcPr>
          <w:p w14:paraId="23B5CBEF" w14:textId="24259F20" w:rsidR="00A14B50" w:rsidRPr="00306F4D" w:rsidRDefault="008956FC">
            <w:pPr>
              <w:rPr>
                <w:rFonts w:ascii="Arial" w:hAnsi="Arial" w:cs="Arial"/>
                <w:sz w:val="18"/>
                <w:szCs w:val="18"/>
              </w:rPr>
            </w:pPr>
            <w:r w:rsidRPr="00306F4D">
              <w:rPr>
                <w:rFonts w:ascii="Arial" w:hAnsi="Arial" w:cs="Arial"/>
                <w:sz w:val="18"/>
                <w:szCs w:val="18"/>
              </w:rPr>
              <w:t>0</w:t>
            </w:r>
          </w:p>
        </w:tc>
        <w:tc>
          <w:tcPr>
            <w:tcW w:w="2549" w:type="pct"/>
          </w:tcPr>
          <w:p w14:paraId="105D65EC" w14:textId="35FA064F" w:rsidR="00A14B50" w:rsidRPr="00306F4D" w:rsidRDefault="008956FC">
            <w:pPr>
              <w:rPr>
                <w:rFonts w:ascii="Arial" w:hAnsi="Arial" w:cs="Arial"/>
                <w:sz w:val="18"/>
                <w:szCs w:val="18"/>
              </w:rPr>
            </w:pPr>
            <w:r w:rsidRPr="00306F4D">
              <w:rPr>
                <w:rFonts w:ascii="Arial" w:hAnsi="Arial" w:cs="Arial"/>
                <w:sz w:val="18"/>
                <w:szCs w:val="18"/>
              </w:rPr>
              <w:t>4 (at least 1 per country)</w:t>
            </w:r>
          </w:p>
        </w:tc>
      </w:tr>
      <w:tr w:rsidR="00A14B50" w:rsidRPr="00306F4D" w14:paraId="75028E10" w14:textId="77777777" w:rsidTr="00A34B6C">
        <w:tc>
          <w:tcPr>
            <w:tcW w:w="1527" w:type="pct"/>
          </w:tcPr>
          <w:p w14:paraId="4AD66DC7" w14:textId="77777777" w:rsidR="004747AD" w:rsidRPr="00306F4D" w:rsidRDefault="004747AD" w:rsidP="004747AD">
            <w:pPr>
              <w:rPr>
                <w:rFonts w:ascii="Arial" w:hAnsi="Arial" w:cs="Arial"/>
                <w:sz w:val="18"/>
                <w:szCs w:val="18"/>
              </w:rPr>
            </w:pPr>
            <w:r w:rsidRPr="00306F4D">
              <w:rPr>
                <w:rFonts w:ascii="Arial" w:hAnsi="Arial" w:cs="Arial"/>
                <w:sz w:val="18"/>
                <w:szCs w:val="18"/>
              </w:rPr>
              <w:t>Sector: Multi-sector (agriculture, coastal management, disaster risk reduction, urban development, water management, food security, health)</w:t>
            </w:r>
          </w:p>
          <w:p w14:paraId="444456D1" w14:textId="1F3E571E" w:rsidR="00A14B50" w:rsidRPr="00306F4D" w:rsidRDefault="004747AD" w:rsidP="004747AD">
            <w:pPr>
              <w:rPr>
                <w:rFonts w:ascii="Arial" w:hAnsi="Arial" w:cs="Arial"/>
                <w:sz w:val="18"/>
                <w:szCs w:val="18"/>
              </w:rPr>
            </w:pPr>
            <w:r w:rsidRPr="00306F4D">
              <w:rPr>
                <w:rFonts w:ascii="Arial" w:hAnsi="Arial" w:cs="Arial"/>
                <w:sz w:val="18"/>
                <w:szCs w:val="18"/>
              </w:rPr>
              <w:t>*Target sectors to be defined upon selection of grantees</w:t>
            </w:r>
          </w:p>
        </w:tc>
        <w:tc>
          <w:tcPr>
            <w:tcW w:w="924" w:type="pct"/>
          </w:tcPr>
          <w:p w14:paraId="0CC371C9" w14:textId="5A89F1E0" w:rsidR="00A14B50" w:rsidRPr="00306F4D" w:rsidRDefault="00A14B50">
            <w:pPr>
              <w:rPr>
                <w:rFonts w:ascii="Arial" w:hAnsi="Arial" w:cs="Arial"/>
                <w:sz w:val="18"/>
                <w:szCs w:val="18"/>
              </w:rPr>
            </w:pPr>
          </w:p>
        </w:tc>
        <w:tc>
          <w:tcPr>
            <w:tcW w:w="2549" w:type="pct"/>
          </w:tcPr>
          <w:p w14:paraId="40F0E80A" w14:textId="74256B15" w:rsidR="00A14B50" w:rsidRPr="00306F4D" w:rsidRDefault="00A14B50">
            <w:pPr>
              <w:rPr>
                <w:rFonts w:ascii="Arial" w:hAnsi="Arial" w:cs="Arial"/>
                <w:sz w:val="18"/>
                <w:szCs w:val="18"/>
              </w:rPr>
            </w:pPr>
          </w:p>
        </w:tc>
      </w:tr>
      <w:tr w:rsidR="00A14B50" w:rsidRPr="00306F4D" w14:paraId="33A136C0" w14:textId="77777777" w:rsidTr="00A34B6C">
        <w:tc>
          <w:tcPr>
            <w:tcW w:w="1527" w:type="pct"/>
          </w:tcPr>
          <w:p w14:paraId="7E10F21F" w14:textId="3C4E8A50" w:rsidR="00A14B50" w:rsidRPr="00306F4D" w:rsidRDefault="00914E4D">
            <w:pPr>
              <w:rPr>
                <w:rFonts w:ascii="Arial" w:hAnsi="Arial" w:cs="Arial"/>
                <w:sz w:val="18"/>
                <w:szCs w:val="18"/>
              </w:rPr>
            </w:pPr>
            <w:r w:rsidRPr="00306F4D">
              <w:rPr>
                <w:rFonts w:ascii="Arial" w:hAnsi="Arial" w:cs="Arial"/>
                <w:sz w:val="18"/>
                <w:szCs w:val="18"/>
              </w:rPr>
              <w:t>Status</w:t>
            </w:r>
          </w:p>
        </w:tc>
        <w:tc>
          <w:tcPr>
            <w:tcW w:w="924" w:type="pct"/>
          </w:tcPr>
          <w:p w14:paraId="6B258845" w14:textId="72E30FAB" w:rsidR="00A14B50" w:rsidRPr="00306F4D" w:rsidRDefault="00B55297">
            <w:pPr>
              <w:rPr>
                <w:rFonts w:ascii="Arial" w:hAnsi="Arial" w:cs="Arial"/>
                <w:sz w:val="18"/>
                <w:szCs w:val="18"/>
              </w:rPr>
            </w:pPr>
            <w:r w:rsidRPr="00306F4D">
              <w:rPr>
                <w:rFonts w:ascii="Arial" w:hAnsi="Arial" w:cs="Arial"/>
                <w:sz w:val="18"/>
                <w:szCs w:val="18"/>
              </w:rPr>
              <w:t>No innovative practices</w:t>
            </w:r>
          </w:p>
        </w:tc>
        <w:tc>
          <w:tcPr>
            <w:tcW w:w="2549" w:type="pct"/>
          </w:tcPr>
          <w:p w14:paraId="19E9A665" w14:textId="701E26E7" w:rsidR="00A14B50" w:rsidRPr="00306F4D" w:rsidRDefault="00D966EC">
            <w:pPr>
              <w:rPr>
                <w:rFonts w:ascii="Arial" w:hAnsi="Arial" w:cs="Arial"/>
                <w:sz w:val="18"/>
                <w:szCs w:val="18"/>
              </w:rPr>
            </w:pPr>
            <w:r w:rsidRPr="00306F4D">
              <w:rPr>
                <w:rFonts w:ascii="Arial" w:hAnsi="Arial" w:cs="Arial"/>
                <w:sz w:val="18"/>
                <w:szCs w:val="18"/>
              </w:rPr>
              <w:t>Completed innovative practices</w:t>
            </w:r>
          </w:p>
        </w:tc>
      </w:tr>
      <w:tr w:rsidR="00ED2AE7" w:rsidRPr="00306F4D" w14:paraId="291DA482" w14:textId="77777777" w:rsidTr="00A34B6C">
        <w:tc>
          <w:tcPr>
            <w:tcW w:w="1527" w:type="pct"/>
          </w:tcPr>
          <w:p w14:paraId="1E33814C" w14:textId="388EDD6E" w:rsidR="00ED2AE7" w:rsidRPr="00306F4D" w:rsidRDefault="00B42936">
            <w:pPr>
              <w:rPr>
                <w:rFonts w:ascii="Arial" w:hAnsi="Arial" w:cs="Arial"/>
                <w:sz w:val="18"/>
                <w:szCs w:val="18"/>
              </w:rPr>
            </w:pPr>
            <w:r w:rsidRPr="00306F4D">
              <w:rPr>
                <w:rFonts w:ascii="Arial" w:hAnsi="Arial" w:cs="Arial"/>
                <w:sz w:val="18"/>
                <w:szCs w:val="18"/>
              </w:rPr>
              <w:t>Effectiveness</w:t>
            </w:r>
          </w:p>
        </w:tc>
        <w:tc>
          <w:tcPr>
            <w:tcW w:w="924" w:type="pct"/>
          </w:tcPr>
          <w:p w14:paraId="38F3F536" w14:textId="3DE79E6C" w:rsidR="00ED2AE7" w:rsidRPr="00306F4D" w:rsidRDefault="00200F9D">
            <w:pPr>
              <w:rPr>
                <w:rFonts w:ascii="Arial" w:hAnsi="Arial" w:cs="Arial"/>
                <w:sz w:val="18"/>
                <w:szCs w:val="18"/>
              </w:rPr>
            </w:pPr>
            <w:r w:rsidRPr="00306F4D">
              <w:rPr>
                <w:rFonts w:ascii="Arial" w:hAnsi="Arial" w:cs="Arial"/>
                <w:sz w:val="18"/>
                <w:szCs w:val="18"/>
              </w:rPr>
              <w:t xml:space="preserve">2. </w:t>
            </w:r>
            <w:r w:rsidR="002D7587" w:rsidRPr="00306F4D">
              <w:rPr>
                <w:rFonts w:ascii="Arial" w:hAnsi="Arial" w:cs="Arial"/>
                <w:sz w:val="18"/>
                <w:szCs w:val="18"/>
              </w:rPr>
              <w:t>Partially effective</w:t>
            </w:r>
          </w:p>
        </w:tc>
        <w:tc>
          <w:tcPr>
            <w:tcW w:w="2549" w:type="pct"/>
          </w:tcPr>
          <w:p w14:paraId="0212DFBA" w14:textId="164BBB55" w:rsidR="00ED2AE7" w:rsidRPr="00306F4D" w:rsidRDefault="00200F9D">
            <w:pPr>
              <w:rPr>
                <w:rFonts w:ascii="Arial" w:hAnsi="Arial" w:cs="Arial"/>
                <w:sz w:val="18"/>
                <w:szCs w:val="18"/>
              </w:rPr>
            </w:pPr>
            <w:r w:rsidRPr="00306F4D">
              <w:rPr>
                <w:rFonts w:ascii="Arial" w:hAnsi="Arial" w:cs="Arial"/>
                <w:sz w:val="18"/>
                <w:szCs w:val="18"/>
              </w:rPr>
              <w:t>4.Effective</w:t>
            </w:r>
          </w:p>
        </w:tc>
      </w:tr>
    </w:tbl>
    <w:p w14:paraId="165DAC9E" w14:textId="77777777" w:rsidR="00122593" w:rsidRPr="00306F4D" w:rsidRDefault="00122593" w:rsidP="6487361F">
      <w:pPr>
        <w:pStyle w:val="Footer"/>
        <w:tabs>
          <w:tab w:val="clear" w:pos="4680"/>
          <w:tab w:val="clear" w:pos="9360"/>
        </w:tabs>
        <w:spacing w:line="276" w:lineRule="auto"/>
        <w:rPr>
          <w:rFonts w:ascii="Arial" w:eastAsia="Arial" w:hAnsi="Arial" w:cs="Arial"/>
          <w:color w:val="AEAAAA" w:themeColor="background2" w:themeShade="BF"/>
          <w:lang w:val="en-GB"/>
        </w:rPr>
      </w:pPr>
    </w:p>
    <w:p w14:paraId="1F5FC179" w14:textId="18A44450" w:rsidR="22DD41F7" w:rsidRPr="00306F4D" w:rsidRDefault="22DD41F7" w:rsidP="22DD41F7">
      <w:pPr>
        <w:pStyle w:val="Footer"/>
        <w:tabs>
          <w:tab w:val="clear" w:pos="4680"/>
          <w:tab w:val="clear" w:pos="9360"/>
        </w:tabs>
        <w:spacing w:line="276" w:lineRule="auto"/>
        <w:ind w:left="360"/>
        <w:rPr>
          <w:rFonts w:ascii="Arial" w:eastAsia="Arial" w:hAnsi="Arial" w:cs="Arial"/>
          <w:color w:val="AEAAAA" w:themeColor="background2" w:themeShade="BF"/>
          <w:lang w:val="en-GB"/>
        </w:rPr>
      </w:pPr>
    </w:p>
    <w:p w14:paraId="7FE896BB" w14:textId="1BBD0CFE" w:rsidR="004A554F" w:rsidRPr="00306F4D" w:rsidRDefault="004A554F" w:rsidP="004A554F">
      <w:pPr>
        <w:pStyle w:val="Footer"/>
        <w:numPr>
          <w:ilvl w:val="0"/>
          <w:numId w:val="24"/>
        </w:numPr>
        <w:tabs>
          <w:tab w:val="clear" w:pos="720"/>
          <w:tab w:val="clear" w:pos="4680"/>
          <w:tab w:val="clear" w:pos="9360"/>
          <w:tab w:val="num" w:pos="360"/>
        </w:tabs>
        <w:spacing w:line="276" w:lineRule="auto"/>
        <w:ind w:left="360"/>
        <w:rPr>
          <w:rFonts w:ascii="Arial" w:eastAsia="Arial" w:hAnsi="Arial" w:cs="Arial"/>
          <w:color w:val="AEAAAA" w:themeColor="background2" w:themeShade="BF"/>
          <w:lang w:val="en-GB"/>
        </w:rPr>
      </w:pPr>
      <w:r w:rsidRPr="00306F4D">
        <w:rPr>
          <w:rFonts w:ascii="Arial" w:eastAsia="Arial" w:hAnsi="Arial" w:cs="Arial"/>
          <w:color w:val="AEAAAA" w:themeColor="background2" w:themeShade="BF"/>
          <w:lang w:val="en-GB"/>
        </w:rPr>
        <w:t>Demonstrate how the project / programme aligns with the Results Framework of the Adaptation Fund</w:t>
      </w:r>
    </w:p>
    <w:p w14:paraId="40761D36" w14:textId="77777777" w:rsidR="004B18B5" w:rsidRPr="00306F4D" w:rsidRDefault="004B18B5" w:rsidP="58D8FBEF">
      <w:pPr>
        <w:pStyle w:val="Heading2"/>
        <w:spacing w:line="276" w:lineRule="auto"/>
        <w:rPr>
          <w:rFonts w:ascii="Arial" w:eastAsia="Arial" w:hAnsi="Arial" w:cs="Arial"/>
          <w:sz w:val="20"/>
          <w:szCs w:val="20"/>
          <w:lang w:val="en-GB"/>
        </w:rPr>
      </w:pPr>
    </w:p>
    <w:p w14:paraId="07ABAD55" w14:textId="263FC00C" w:rsidR="19313159" w:rsidRPr="00306F4D" w:rsidRDefault="34DFD6CE" w:rsidP="58D8FBEF">
      <w:pPr>
        <w:pStyle w:val="Heading2"/>
        <w:spacing w:line="276" w:lineRule="auto"/>
        <w:rPr>
          <w:rFonts w:ascii="Arial" w:eastAsia="Arial" w:hAnsi="Arial" w:cs="Arial"/>
          <w:sz w:val="20"/>
          <w:szCs w:val="20"/>
          <w:lang w:val="en-GB"/>
        </w:rPr>
      </w:pPr>
      <w:r w:rsidRPr="00306F4D">
        <w:rPr>
          <w:rFonts w:ascii="Arial" w:eastAsia="Arial" w:hAnsi="Arial" w:cs="Arial"/>
          <w:sz w:val="20"/>
          <w:szCs w:val="20"/>
          <w:lang w:val="en-GB"/>
        </w:rPr>
        <w:t>Alignment of the Project with the Adaptation Fund's Results Framework</w:t>
      </w:r>
      <w:bookmarkEnd w:id="205"/>
      <w:bookmarkEnd w:id="206"/>
      <w:bookmarkEnd w:id="207"/>
      <w:bookmarkEnd w:id="208"/>
    </w:p>
    <w:p w14:paraId="2EDDB36E" w14:textId="77777777" w:rsidR="00F04FEE" w:rsidRPr="00306F4D" w:rsidRDefault="00F04FEE" w:rsidP="00FC2E4E">
      <w:pPr>
        <w:pStyle w:val="Footer"/>
        <w:spacing w:line="276" w:lineRule="auto"/>
        <w:ind w:left="360"/>
        <w:rPr>
          <w:rFonts w:ascii="Arial" w:eastAsia="Arial" w:hAnsi="Arial" w:cs="Arial"/>
          <w:sz w:val="20"/>
          <w:szCs w:val="20"/>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9"/>
        <w:gridCol w:w="1963"/>
        <w:gridCol w:w="1935"/>
        <w:gridCol w:w="2395"/>
        <w:gridCol w:w="2040"/>
      </w:tblGrid>
      <w:tr w:rsidR="0097496C" w:rsidRPr="00306F4D" w14:paraId="006961DB" w14:textId="6687149F" w:rsidTr="003A2E26">
        <w:trPr>
          <w:trHeight w:val="300"/>
        </w:trPr>
        <w:tc>
          <w:tcPr>
            <w:tcW w:w="818" w:type="pct"/>
            <w:shd w:val="clear" w:color="auto" w:fill="B1D34A"/>
            <w:vAlign w:val="center"/>
          </w:tcPr>
          <w:p w14:paraId="6A1CE031" w14:textId="77777777" w:rsidR="00944B23" w:rsidRPr="00306F4D" w:rsidRDefault="00944B23" w:rsidP="00FC2E4E">
            <w:pPr>
              <w:spacing w:before="120" w:after="120" w:line="276" w:lineRule="auto"/>
              <w:jc w:val="center"/>
              <w:rPr>
                <w:rFonts w:ascii="Arial" w:eastAsia="Arial" w:hAnsi="Arial" w:cs="Arial"/>
                <w:b/>
                <w:color w:val="000000" w:themeColor="text1"/>
                <w:sz w:val="20"/>
                <w:szCs w:val="20"/>
                <w:vertAlign w:val="superscript"/>
              </w:rPr>
            </w:pPr>
            <w:r w:rsidRPr="00306F4D">
              <w:rPr>
                <w:rFonts w:ascii="Arial" w:eastAsia="Arial" w:hAnsi="Arial" w:cs="Arial"/>
                <w:b/>
                <w:color w:val="000000" w:themeColor="text1"/>
                <w:sz w:val="20"/>
                <w:szCs w:val="20"/>
              </w:rPr>
              <w:lastRenderedPageBreak/>
              <w:t>Project Objective(s)</w:t>
            </w:r>
          </w:p>
        </w:tc>
        <w:tc>
          <w:tcPr>
            <w:tcW w:w="985" w:type="pct"/>
            <w:shd w:val="clear" w:color="auto" w:fill="B1D34A"/>
            <w:vAlign w:val="center"/>
          </w:tcPr>
          <w:p w14:paraId="70D1BA66" w14:textId="77777777" w:rsidR="00944B23" w:rsidRPr="00306F4D" w:rsidRDefault="00944B23" w:rsidP="00FC2E4E">
            <w:pPr>
              <w:spacing w:before="120" w:after="120" w:line="276" w:lineRule="auto"/>
              <w:ind w:right="-558"/>
              <w:jc w:val="center"/>
              <w:rPr>
                <w:rFonts w:ascii="Arial" w:eastAsia="Arial" w:hAnsi="Arial" w:cs="Arial"/>
                <w:b/>
                <w:color w:val="000000" w:themeColor="text1"/>
                <w:sz w:val="20"/>
                <w:szCs w:val="20"/>
              </w:rPr>
            </w:pPr>
            <w:r w:rsidRPr="00306F4D">
              <w:rPr>
                <w:rFonts w:ascii="Arial" w:eastAsia="Arial" w:hAnsi="Arial" w:cs="Arial"/>
                <w:b/>
                <w:color w:val="000000" w:themeColor="text1"/>
                <w:sz w:val="20"/>
                <w:szCs w:val="20"/>
              </w:rPr>
              <w:t>Project</w:t>
            </w:r>
            <w:r w:rsidRPr="00306F4D">
              <w:rPr>
                <w:rFonts w:ascii="Arial" w:hAnsi="Arial" w:cs="Arial"/>
                <w:sz w:val="20"/>
                <w:szCs w:val="20"/>
              </w:rPr>
              <w:br/>
            </w:r>
            <w:r w:rsidRPr="00306F4D">
              <w:rPr>
                <w:rFonts w:ascii="Arial" w:eastAsia="Arial" w:hAnsi="Arial" w:cs="Arial"/>
                <w:b/>
                <w:color w:val="000000" w:themeColor="text1"/>
                <w:sz w:val="20"/>
                <w:szCs w:val="20"/>
              </w:rPr>
              <w:t>Objective</w:t>
            </w:r>
            <w:r w:rsidRPr="00306F4D">
              <w:rPr>
                <w:rFonts w:ascii="Arial" w:hAnsi="Arial" w:cs="Arial"/>
                <w:sz w:val="20"/>
                <w:szCs w:val="20"/>
              </w:rPr>
              <w:br/>
            </w:r>
            <w:r w:rsidRPr="00306F4D">
              <w:rPr>
                <w:rFonts w:ascii="Arial" w:eastAsia="Arial" w:hAnsi="Arial" w:cs="Arial"/>
                <w:b/>
                <w:color w:val="000000" w:themeColor="text1"/>
                <w:sz w:val="20"/>
                <w:szCs w:val="20"/>
              </w:rPr>
              <w:t>Indicator(s)</w:t>
            </w:r>
          </w:p>
        </w:tc>
        <w:tc>
          <w:tcPr>
            <w:tcW w:w="971" w:type="pct"/>
            <w:shd w:val="clear" w:color="auto" w:fill="B1D34A"/>
            <w:vAlign w:val="center"/>
          </w:tcPr>
          <w:p w14:paraId="38E8CBE6" w14:textId="77777777" w:rsidR="00944B23" w:rsidRPr="00306F4D" w:rsidRDefault="00944B23" w:rsidP="00FC2E4E">
            <w:pPr>
              <w:spacing w:before="120" w:after="120" w:line="276" w:lineRule="auto"/>
              <w:jc w:val="center"/>
              <w:rPr>
                <w:rFonts w:ascii="Arial" w:eastAsia="Arial" w:hAnsi="Arial" w:cs="Arial"/>
                <w:b/>
                <w:color w:val="000000" w:themeColor="text1"/>
                <w:sz w:val="20"/>
                <w:szCs w:val="20"/>
              </w:rPr>
            </w:pPr>
            <w:r w:rsidRPr="00306F4D">
              <w:rPr>
                <w:rFonts w:ascii="Arial" w:eastAsia="Arial" w:hAnsi="Arial" w:cs="Arial"/>
                <w:b/>
                <w:color w:val="000000" w:themeColor="text1"/>
                <w:sz w:val="20"/>
                <w:szCs w:val="20"/>
              </w:rPr>
              <w:t>Fund Outcome</w:t>
            </w:r>
          </w:p>
        </w:tc>
        <w:tc>
          <w:tcPr>
            <w:tcW w:w="1202" w:type="pct"/>
            <w:shd w:val="clear" w:color="auto" w:fill="B1D34A"/>
            <w:vAlign w:val="center"/>
          </w:tcPr>
          <w:p w14:paraId="55E2FF4F" w14:textId="77777777" w:rsidR="00944B23" w:rsidRPr="00306F4D" w:rsidRDefault="00944B23" w:rsidP="00FC2E4E">
            <w:pPr>
              <w:spacing w:before="120" w:after="120" w:line="276" w:lineRule="auto"/>
              <w:jc w:val="center"/>
              <w:rPr>
                <w:rFonts w:ascii="Arial" w:eastAsia="Arial" w:hAnsi="Arial" w:cs="Arial"/>
                <w:b/>
                <w:color w:val="000000" w:themeColor="text1"/>
                <w:sz w:val="20"/>
                <w:szCs w:val="20"/>
              </w:rPr>
            </w:pPr>
            <w:r w:rsidRPr="00306F4D">
              <w:rPr>
                <w:rFonts w:ascii="Arial" w:eastAsia="Arial" w:hAnsi="Arial" w:cs="Arial"/>
                <w:b/>
                <w:color w:val="000000" w:themeColor="text1"/>
                <w:sz w:val="20"/>
                <w:szCs w:val="20"/>
              </w:rPr>
              <w:t>Fund Outcome Indicator</w:t>
            </w:r>
          </w:p>
        </w:tc>
        <w:tc>
          <w:tcPr>
            <w:tcW w:w="1025" w:type="pct"/>
            <w:shd w:val="clear" w:color="auto" w:fill="B1D34A"/>
          </w:tcPr>
          <w:p w14:paraId="7CF3A3E7" w14:textId="1CE0A179" w:rsidR="00470C91" w:rsidRPr="00306F4D" w:rsidRDefault="00470C91" w:rsidP="00FC2E4E">
            <w:pPr>
              <w:spacing w:before="120" w:after="120" w:line="276" w:lineRule="auto"/>
              <w:jc w:val="center"/>
              <w:rPr>
                <w:rFonts w:ascii="Arial" w:eastAsia="Arial" w:hAnsi="Arial" w:cs="Arial"/>
                <w:b/>
                <w:color w:val="000000" w:themeColor="text1"/>
                <w:sz w:val="20"/>
                <w:szCs w:val="20"/>
              </w:rPr>
            </w:pPr>
            <w:r w:rsidRPr="00306F4D">
              <w:rPr>
                <w:rFonts w:ascii="Arial" w:eastAsia="Arial" w:hAnsi="Arial" w:cs="Arial"/>
                <w:b/>
                <w:color w:val="000000" w:themeColor="text1"/>
                <w:sz w:val="20"/>
                <w:szCs w:val="20"/>
              </w:rPr>
              <w:t>Estimated Budget</w:t>
            </w:r>
          </w:p>
        </w:tc>
      </w:tr>
      <w:tr w:rsidR="00944B23" w:rsidRPr="00306F4D" w14:paraId="32BE75AF" w14:textId="46AF2938" w:rsidTr="003A2E26">
        <w:trPr>
          <w:trHeight w:val="300"/>
        </w:trPr>
        <w:tc>
          <w:tcPr>
            <w:tcW w:w="818" w:type="pct"/>
          </w:tcPr>
          <w:p w14:paraId="65DBAE1A" w14:textId="77777777" w:rsidR="00944B23" w:rsidRPr="00306F4D" w:rsidRDefault="70B47A04" w:rsidP="00FC2E4E">
            <w:pPr>
              <w:spacing w:after="0" w:line="276" w:lineRule="auto"/>
              <w:rPr>
                <w:rFonts w:ascii="Arial" w:eastAsia="Arial" w:hAnsi="Arial" w:cs="Arial"/>
                <w:color w:val="000000" w:themeColor="text1"/>
                <w:sz w:val="20"/>
                <w:szCs w:val="20"/>
                <w:lang w:val="en-GB"/>
              </w:rPr>
            </w:pPr>
            <w:r w:rsidRPr="00306F4D">
              <w:rPr>
                <w:rFonts w:ascii="Arial" w:eastAsia="Arial" w:hAnsi="Arial" w:cs="Arial"/>
                <w:color w:val="000000" w:themeColor="text1"/>
                <w:sz w:val="20"/>
                <w:szCs w:val="20"/>
                <w:lang w:val="en-GB"/>
              </w:rPr>
              <w:t xml:space="preserve">To accelerate </w:t>
            </w:r>
            <w:proofErr w:type="gramStart"/>
            <w:r w:rsidRPr="00306F4D">
              <w:rPr>
                <w:rFonts w:ascii="Arial" w:eastAsia="Arial" w:hAnsi="Arial" w:cs="Arial"/>
                <w:color w:val="000000" w:themeColor="text1"/>
                <w:sz w:val="20"/>
                <w:szCs w:val="20"/>
                <w:lang w:val="en-GB"/>
              </w:rPr>
              <w:t>locally-led</w:t>
            </w:r>
            <w:proofErr w:type="gramEnd"/>
            <w:r w:rsidRPr="00306F4D">
              <w:rPr>
                <w:rFonts w:ascii="Arial" w:eastAsia="Arial" w:hAnsi="Arial" w:cs="Arial"/>
                <w:color w:val="000000" w:themeColor="text1"/>
                <w:sz w:val="20"/>
                <w:szCs w:val="20"/>
                <w:lang w:val="en-GB"/>
              </w:rPr>
              <w:t xml:space="preserve"> adaptation innovation in Bosnia and Herzegovina, Montenegro, North Macedonia, and Serbia by applying an enterprise development approach that strengthens regional collaboration, promotes gender equality and women’s empowerment, supports locally-led innovation and inclusion, and enables knowledge exchange at both regional and global levels.</w:t>
            </w:r>
          </w:p>
        </w:tc>
        <w:tc>
          <w:tcPr>
            <w:tcW w:w="985" w:type="pct"/>
          </w:tcPr>
          <w:p w14:paraId="55F5A0F7" w14:textId="77777777" w:rsidR="00944B23" w:rsidRPr="001C02CB" w:rsidRDefault="70B47A04" w:rsidP="00FC2E4E">
            <w:pPr>
              <w:spacing w:line="276" w:lineRule="auto"/>
              <w:rPr>
                <w:rFonts w:ascii="Arial" w:eastAsia="Arial" w:hAnsi="Arial" w:cs="Arial"/>
                <w:color w:val="000000" w:themeColor="text1"/>
                <w:sz w:val="20"/>
                <w:szCs w:val="20"/>
              </w:rPr>
            </w:pPr>
            <w:r w:rsidRPr="001C02CB">
              <w:rPr>
                <w:rFonts w:ascii="Arial" w:eastAsia="Arial" w:hAnsi="Arial" w:cs="Arial"/>
                <w:color w:val="000000" w:themeColor="text1"/>
                <w:sz w:val="20"/>
                <w:szCs w:val="20"/>
              </w:rPr>
              <w:t xml:space="preserve">Number of people with increased resilience to climate change as a result of </w:t>
            </w:r>
            <w:proofErr w:type="gramStart"/>
            <w:r w:rsidRPr="001C02CB">
              <w:rPr>
                <w:rFonts w:ascii="Arial" w:eastAsia="Arial" w:hAnsi="Arial" w:cs="Arial"/>
                <w:color w:val="000000" w:themeColor="text1"/>
                <w:sz w:val="20"/>
                <w:szCs w:val="20"/>
              </w:rPr>
              <w:t>locally-led</w:t>
            </w:r>
            <w:proofErr w:type="gramEnd"/>
            <w:r w:rsidRPr="001C02CB">
              <w:rPr>
                <w:rFonts w:ascii="Arial" w:eastAsia="Arial" w:hAnsi="Arial" w:cs="Arial"/>
                <w:color w:val="000000" w:themeColor="text1"/>
                <w:sz w:val="20"/>
                <w:szCs w:val="20"/>
              </w:rPr>
              <w:t xml:space="preserve"> adaptation innovations supported, scaled, or replicated through enterprise development and regional collaboration.</w:t>
            </w:r>
          </w:p>
          <w:p w14:paraId="37B30758" w14:textId="0B7D36B8" w:rsidR="00A3073D" w:rsidRPr="001C02CB" w:rsidRDefault="00A3073D" w:rsidP="00A3073D">
            <w:pPr>
              <w:spacing w:line="276" w:lineRule="auto"/>
              <w:rPr>
                <w:rFonts w:ascii="Arial" w:eastAsia="Arial" w:hAnsi="Arial" w:cs="Arial"/>
                <w:color w:val="000000" w:themeColor="text1"/>
                <w:sz w:val="16"/>
                <w:szCs w:val="16"/>
              </w:rPr>
            </w:pPr>
            <w:r w:rsidRPr="001C02CB">
              <w:rPr>
                <w:rFonts w:ascii="Arial" w:eastAsia="Arial" w:hAnsi="Arial" w:cs="Arial"/>
                <w:color w:val="000000" w:themeColor="text1"/>
                <w:sz w:val="20"/>
                <w:szCs w:val="20"/>
              </w:rPr>
              <w:t xml:space="preserve">Number of supported adaptation innovations/number of adaptation assets created or strengthened that contribute </w:t>
            </w:r>
            <w:proofErr w:type="gramStart"/>
            <w:r w:rsidRPr="001C02CB">
              <w:rPr>
                <w:rFonts w:ascii="Arial" w:eastAsia="Arial" w:hAnsi="Arial" w:cs="Arial"/>
                <w:color w:val="000000" w:themeColor="text1"/>
                <w:sz w:val="20"/>
                <w:szCs w:val="20"/>
              </w:rPr>
              <w:t>to:</w:t>
            </w:r>
            <w:proofErr w:type="gramEnd"/>
            <w:r w:rsidRPr="001C02CB">
              <w:rPr>
                <w:rFonts w:ascii="Arial" w:eastAsia="Arial" w:hAnsi="Arial" w:cs="Arial"/>
                <w:color w:val="000000" w:themeColor="text1"/>
                <w:sz w:val="20"/>
                <w:szCs w:val="20"/>
              </w:rPr>
              <w:t xml:space="preserve"> resilience of ecosystems/</w:t>
            </w:r>
            <w:r w:rsidR="003A6DBA" w:rsidRPr="001C02CB">
              <w:rPr>
                <w:rFonts w:ascii="Arial" w:eastAsia="Arial" w:hAnsi="Arial" w:cs="Arial"/>
                <w:color w:val="000000" w:themeColor="text1"/>
                <w:sz w:val="20"/>
                <w:szCs w:val="20"/>
              </w:rPr>
              <w:t xml:space="preserve"> </w:t>
            </w:r>
            <w:r w:rsidRPr="001C02CB">
              <w:rPr>
                <w:rFonts w:ascii="Arial" w:eastAsia="Arial" w:hAnsi="Arial" w:cs="Arial"/>
                <w:color w:val="000000" w:themeColor="text1"/>
                <w:sz w:val="20"/>
                <w:szCs w:val="20"/>
              </w:rPr>
              <w:t>ecosystem services</w:t>
            </w:r>
            <w:r w:rsidR="003A6DBA" w:rsidRPr="001C02CB">
              <w:rPr>
                <w:rFonts w:ascii="Arial" w:eastAsia="Arial" w:hAnsi="Arial" w:cs="Arial"/>
                <w:color w:val="000000" w:themeColor="text1"/>
                <w:sz w:val="20"/>
                <w:szCs w:val="20"/>
              </w:rPr>
              <w:t xml:space="preserve"> and </w:t>
            </w:r>
            <w:r w:rsidRPr="001C02CB">
              <w:rPr>
                <w:rFonts w:ascii="Arial" w:eastAsia="Arial" w:hAnsi="Arial" w:cs="Arial"/>
                <w:color w:val="000000" w:themeColor="text1"/>
                <w:sz w:val="20"/>
                <w:szCs w:val="20"/>
              </w:rPr>
              <w:t>climate-resilient livelihoods.</w:t>
            </w:r>
          </w:p>
        </w:tc>
        <w:tc>
          <w:tcPr>
            <w:tcW w:w="971" w:type="pct"/>
          </w:tcPr>
          <w:p w14:paraId="6A2D9268" w14:textId="77777777" w:rsidR="00944B23" w:rsidRPr="001C02CB" w:rsidRDefault="70B47A04" w:rsidP="00FC2E4E">
            <w:pPr>
              <w:spacing w:after="0" w:line="276" w:lineRule="auto"/>
              <w:rPr>
                <w:rFonts w:ascii="Arial" w:eastAsia="Arial" w:hAnsi="Arial" w:cs="Arial"/>
                <w:color w:val="000000" w:themeColor="text1"/>
                <w:sz w:val="20"/>
                <w:szCs w:val="20"/>
              </w:rPr>
            </w:pPr>
            <w:r w:rsidRPr="001C02CB">
              <w:rPr>
                <w:rFonts w:ascii="Arial" w:eastAsia="Arial" w:hAnsi="Arial" w:cs="Arial"/>
                <w:color w:val="000000" w:themeColor="text1"/>
                <w:sz w:val="20"/>
                <w:szCs w:val="20"/>
              </w:rPr>
              <w:t>Outcome 8: Support the development and diffusion of innovative adaptation practices, tools and technologies</w:t>
            </w:r>
          </w:p>
          <w:p w14:paraId="71569F02" w14:textId="77777777" w:rsidR="00944B23" w:rsidRPr="001C02CB" w:rsidRDefault="00944B23" w:rsidP="00FC2E4E">
            <w:pPr>
              <w:spacing w:after="0" w:line="276" w:lineRule="auto"/>
              <w:rPr>
                <w:rFonts w:ascii="Arial" w:eastAsia="Arial" w:hAnsi="Arial" w:cs="Arial"/>
                <w:color w:val="000000" w:themeColor="text1"/>
                <w:sz w:val="20"/>
                <w:szCs w:val="20"/>
              </w:rPr>
            </w:pPr>
          </w:p>
          <w:p w14:paraId="231EF9E7" w14:textId="29DD2602" w:rsidR="00944B23" w:rsidRPr="001C02CB" w:rsidRDefault="00944B23" w:rsidP="00FC2E4E">
            <w:pPr>
              <w:spacing w:after="0" w:line="276" w:lineRule="auto"/>
              <w:rPr>
                <w:rFonts w:ascii="Arial" w:eastAsia="Arial" w:hAnsi="Arial" w:cs="Arial"/>
                <w:color w:val="000000" w:themeColor="text1"/>
                <w:sz w:val="20"/>
                <w:szCs w:val="20"/>
              </w:rPr>
            </w:pPr>
            <w:r w:rsidRPr="001C02CB">
              <w:rPr>
                <w:rFonts w:ascii="Arial" w:eastAsia="Arial" w:hAnsi="Arial" w:cs="Arial"/>
                <w:color w:val="000000" w:themeColor="text1"/>
                <w:sz w:val="20"/>
                <w:szCs w:val="20"/>
              </w:rPr>
              <w:t xml:space="preserve">Outcome 3: Strengthened awareness and </w:t>
            </w:r>
          </w:p>
          <w:p w14:paraId="7665D53A" w14:textId="77777777" w:rsidR="00944B23" w:rsidRPr="001C02CB" w:rsidRDefault="00944B23" w:rsidP="00FC2E4E">
            <w:pPr>
              <w:spacing w:after="0" w:line="276" w:lineRule="auto"/>
              <w:rPr>
                <w:rFonts w:ascii="Arial" w:eastAsia="Arial" w:hAnsi="Arial" w:cs="Arial"/>
                <w:color w:val="000000" w:themeColor="text1"/>
                <w:sz w:val="20"/>
                <w:szCs w:val="20"/>
              </w:rPr>
            </w:pPr>
            <w:r w:rsidRPr="001C02CB">
              <w:rPr>
                <w:rFonts w:ascii="Arial" w:eastAsia="Arial" w:hAnsi="Arial" w:cs="Arial"/>
                <w:color w:val="000000" w:themeColor="text1"/>
                <w:sz w:val="20"/>
                <w:szCs w:val="20"/>
              </w:rPr>
              <w:t xml:space="preserve">ownership of adaptation and climate risk </w:t>
            </w:r>
          </w:p>
          <w:p w14:paraId="3806C987" w14:textId="15BEF1E5" w:rsidR="00944B23" w:rsidRPr="001C02CB" w:rsidRDefault="00944B23" w:rsidP="00FC2E4E">
            <w:pPr>
              <w:spacing w:after="0" w:line="276" w:lineRule="auto"/>
              <w:rPr>
                <w:rFonts w:ascii="Arial" w:eastAsia="Arial" w:hAnsi="Arial" w:cs="Arial"/>
                <w:color w:val="000000" w:themeColor="text1"/>
                <w:sz w:val="20"/>
                <w:szCs w:val="20"/>
              </w:rPr>
            </w:pPr>
            <w:r w:rsidRPr="001C02CB">
              <w:rPr>
                <w:rFonts w:ascii="Arial" w:eastAsia="Arial" w:hAnsi="Arial" w:cs="Arial"/>
                <w:color w:val="000000" w:themeColor="text1"/>
                <w:sz w:val="20"/>
                <w:szCs w:val="20"/>
              </w:rPr>
              <w:t>reduction processes at local level</w:t>
            </w:r>
          </w:p>
          <w:p w14:paraId="58AD9080" w14:textId="0001EE9B" w:rsidR="45E4A751" w:rsidRPr="001C02CB" w:rsidRDefault="45E4A751" w:rsidP="00FC2E4E">
            <w:pPr>
              <w:spacing w:after="0" w:line="276" w:lineRule="auto"/>
              <w:rPr>
                <w:rFonts w:ascii="Arial" w:eastAsia="Arial" w:hAnsi="Arial" w:cs="Arial"/>
                <w:color w:val="000000" w:themeColor="text1"/>
                <w:sz w:val="20"/>
                <w:szCs w:val="20"/>
              </w:rPr>
            </w:pPr>
          </w:p>
          <w:p w14:paraId="776E0BB8" w14:textId="77777777" w:rsidR="00944B23" w:rsidRPr="001C02CB" w:rsidRDefault="00944B23" w:rsidP="00FC2E4E">
            <w:pPr>
              <w:spacing w:after="0" w:line="276" w:lineRule="auto"/>
              <w:rPr>
                <w:rFonts w:ascii="Arial" w:eastAsia="Arial" w:hAnsi="Arial" w:cs="Arial"/>
                <w:color w:val="000000" w:themeColor="text1"/>
                <w:sz w:val="20"/>
                <w:szCs w:val="20"/>
              </w:rPr>
            </w:pPr>
            <w:r w:rsidRPr="001C02CB">
              <w:rPr>
                <w:rFonts w:ascii="Arial" w:eastAsia="Arial" w:hAnsi="Arial" w:cs="Arial"/>
                <w:color w:val="000000" w:themeColor="text1"/>
                <w:sz w:val="20"/>
                <w:szCs w:val="20"/>
              </w:rPr>
              <w:t>Outcome 5: Increased ecosystem resilience in response to climate change and variability induced stress</w:t>
            </w:r>
          </w:p>
          <w:p w14:paraId="53C47D37" w14:textId="77777777" w:rsidR="00944B23" w:rsidRPr="001C02CB" w:rsidRDefault="00944B23" w:rsidP="00FC2E4E">
            <w:pPr>
              <w:spacing w:after="0" w:line="276" w:lineRule="auto"/>
              <w:rPr>
                <w:rFonts w:ascii="Arial" w:eastAsia="Arial" w:hAnsi="Arial" w:cs="Arial"/>
                <w:color w:val="000000" w:themeColor="text1"/>
                <w:sz w:val="20"/>
                <w:szCs w:val="20"/>
              </w:rPr>
            </w:pPr>
          </w:p>
          <w:p w14:paraId="2D7DF690" w14:textId="58B008A6" w:rsidR="00944B23" w:rsidRPr="001C02CB" w:rsidRDefault="70B47A04" w:rsidP="338C5E83">
            <w:pPr>
              <w:spacing w:after="0" w:line="276" w:lineRule="auto"/>
              <w:rPr>
                <w:rFonts w:ascii="Arial" w:eastAsia="Arial" w:hAnsi="Arial" w:cs="Arial"/>
                <w:color w:val="000000" w:themeColor="text1"/>
                <w:sz w:val="20"/>
                <w:szCs w:val="20"/>
              </w:rPr>
            </w:pPr>
            <w:r w:rsidRPr="001C02CB">
              <w:rPr>
                <w:rFonts w:ascii="Arial" w:eastAsia="Arial" w:hAnsi="Arial" w:cs="Arial"/>
                <w:color w:val="000000" w:themeColor="text1"/>
                <w:sz w:val="20"/>
                <w:szCs w:val="20"/>
              </w:rPr>
              <w:t>Outcome 6: Diversified and strengthened livelihoods and sources of income for vulnerable people in targeted areas</w:t>
            </w:r>
          </w:p>
        </w:tc>
        <w:tc>
          <w:tcPr>
            <w:tcW w:w="1202" w:type="pct"/>
          </w:tcPr>
          <w:p w14:paraId="5468C75B" w14:textId="37A1D420" w:rsidR="00944B23" w:rsidRPr="001C02CB" w:rsidRDefault="27A8341B" w:rsidP="00FC2E4E">
            <w:pPr>
              <w:spacing w:after="0" w:line="276" w:lineRule="auto"/>
              <w:rPr>
                <w:rFonts w:ascii="Arial" w:eastAsia="Arial" w:hAnsi="Arial" w:cs="Arial"/>
                <w:color w:val="000000" w:themeColor="text1"/>
                <w:sz w:val="20"/>
                <w:szCs w:val="20"/>
              </w:rPr>
            </w:pPr>
            <w:r w:rsidRPr="001C02CB">
              <w:rPr>
                <w:rFonts w:ascii="Arial" w:eastAsia="Arial" w:hAnsi="Arial" w:cs="Arial"/>
                <w:color w:val="000000" w:themeColor="text1"/>
                <w:sz w:val="20"/>
                <w:szCs w:val="20"/>
              </w:rPr>
              <w:t xml:space="preserve">8. </w:t>
            </w:r>
            <w:r w:rsidR="61C5772A" w:rsidRPr="001C02CB">
              <w:rPr>
                <w:rFonts w:ascii="Arial" w:eastAsia="Arial" w:hAnsi="Arial" w:cs="Arial"/>
                <w:color w:val="000000" w:themeColor="text1"/>
                <w:sz w:val="20"/>
                <w:szCs w:val="20"/>
              </w:rPr>
              <w:t>Innovative adaptation practices are rolled out, scaled up, encouraged and/or accelerated at regional, national and/or subnational level.</w:t>
            </w:r>
          </w:p>
          <w:p w14:paraId="52B4CE1E" w14:textId="77777777" w:rsidR="00944B23" w:rsidRPr="001C02CB" w:rsidRDefault="00944B23" w:rsidP="00FC2E4E">
            <w:pPr>
              <w:spacing w:after="0" w:line="276" w:lineRule="auto"/>
              <w:rPr>
                <w:rFonts w:ascii="Arial" w:eastAsia="Arial" w:hAnsi="Arial" w:cs="Arial"/>
                <w:color w:val="000000" w:themeColor="text1"/>
                <w:sz w:val="20"/>
                <w:szCs w:val="20"/>
              </w:rPr>
            </w:pPr>
          </w:p>
          <w:p w14:paraId="15A349ED" w14:textId="77777777" w:rsidR="00E17AE9" w:rsidRPr="001C02CB" w:rsidRDefault="00E17AE9" w:rsidP="00FC2E4E">
            <w:pPr>
              <w:spacing w:after="0" w:line="276" w:lineRule="auto"/>
              <w:rPr>
                <w:rFonts w:ascii="Arial" w:eastAsia="Arial" w:hAnsi="Arial" w:cs="Arial"/>
                <w:color w:val="000000" w:themeColor="text1"/>
                <w:sz w:val="20"/>
                <w:szCs w:val="20"/>
              </w:rPr>
            </w:pPr>
          </w:p>
          <w:p w14:paraId="688C2E11" w14:textId="77777777" w:rsidR="00D94600" w:rsidRPr="001C02CB" w:rsidRDefault="00D94600" w:rsidP="00FC2E4E">
            <w:pPr>
              <w:spacing w:after="0" w:line="276" w:lineRule="auto"/>
              <w:rPr>
                <w:rFonts w:ascii="Arial" w:eastAsia="Arial" w:hAnsi="Arial" w:cs="Arial"/>
                <w:color w:val="000000" w:themeColor="text1"/>
                <w:sz w:val="20"/>
                <w:szCs w:val="20"/>
              </w:rPr>
            </w:pPr>
          </w:p>
          <w:p w14:paraId="7D54297D" w14:textId="61D3CE6E" w:rsidR="00944B23" w:rsidRPr="001C02CB" w:rsidRDefault="70B47A04" w:rsidP="00FC2E4E">
            <w:pPr>
              <w:spacing w:after="0" w:line="276" w:lineRule="auto"/>
              <w:rPr>
                <w:rFonts w:ascii="Arial" w:eastAsia="Arial" w:hAnsi="Arial" w:cs="Arial"/>
                <w:color w:val="000000" w:themeColor="text1"/>
                <w:sz w:val="20"/>
                <w:szCs w:val="20"/>
              </w:rPr>
            </w:pPr>
            <w:r w:rsidRPr="001C02CB">
              <w:rPr>
                <w:rFonts w:ascii="Arial" w:eastAsia="Arial" w:hAnsi="Arial" w:cs="Arial"/>
                <w:color w:val="000000" w:themeColor="text1"/>
                <w:sz w:val="20"/>
                <w:szCs w:val="20"/>
              </w:rPr>
              <w:t>3.2. Percentage of targeted population applying appropriate adaptation responses</w:t>
            </w:r>
          </w:p>
          <w:p w14:paraId="20C8A363" w14:textId="77777777" w:rsidR="00944B23" w:rsidRPr="001C02CB" w:rsidRDefault="00944B23" w:rsidP="00FC2E4E">
            <w:pPr>
              <w:spacing w:after="0" w:line="276" w:lineRule="auto"/>
              <w:rPr>
                <w:rFonts w:ascii="Arial" w:eastAsia="Arial" w:hAnsi="Arial" w:cs="Arial"/>
                <w:color w:val="000000" w:themeColor="text1"/>
                <w:sz w:val="20"/>
                <w:szCs w:val="20"/>
              </w:rPr>
            </w:pPr>
          </w:p>
          <w:p w14:paraId="4C30D3EC" w14:textId="77777777" w:rsidR="00944B23" w:rsidRPr="001C02CB" w:rsidRDefault="00944B23" w:rsidP="00FC2E4E">
            <w:pPr>
              <w:spacing w:after="0" w:line="276" w:lineRule="auto"/>
              <w:rPr>
                <w:rFonts w:ascii="Arial" w:eastAsia="Arial" w:hAnsi="Arial" w:cs="Arial"/>
                <w:color w:val="000000" w:themeColor="text1"/>
                <w:sz w:val="20"/>
                <w:szCs w:val="20"/>
              </w:rPr>
            </w:pPr>
          </w:p>
          <w:p w14:paraId="190ABEA6" w14:textId="77777777" w:rsidR="00AB37FF" w:rsidRPr="001C02CB" w:rsidRDefault="00AB37FF" w:rsidP="00FC2E4E">
            <w:pPr>
              <w:spacing w:after="0" w:line="276" w:lineRule="auto"/>
              <w:rPr>
                <w:rFonts w:ascii="Arial" w:eastAsia="Arial" w:hAnsi="Arial" w:cs="Arial"/>
                <w:color w:val="000000" w:themeColor="text1"/>
                <w:sz w:val="20"/>
                <w:szCs w:val="20"/>
              </w:rPr>
            </w:pPr>
          </w:p>
          <w:p w14:paraId="195C701A" w14:textId="77777777" w:rsidR="00644446" w:rsidRPr="001C02CB" w:rsidRDefault="00644446" w:rsidP="00FC2E4E">
            <w:pPr>
              <w:spacing w:after="0" w:line="276" w:lineRule="auto"/>
              <w:rPr>
                <w:rFonts w:ascii="Arial" w:eastAsia="Arial" w:hAnsi="Arial" w:cs="Arial"/>
                <w:color w:val="000000" w:themeColor="text1"/>
                <w:sz w:val="20"/>
                <w:szCs w:val="20"/>
              </w:rPr>
            </w:pPr>
          </w:p>
          <w:p w14:paraId="685ABCAB" w14:textId="77777777" w:rsidR="00AB37FF" w:rsidRPr="001C02CB" w:rsidRDefault="00AB37FF" w:rsidP="00FC2E4E">
            <w:pPr>
              <w:spacing w:after="0" w:line="276" w:lineRule="auto"/>
              <w:rPr>
                <w:rFonts w:ascii="Arial" w:eastAsia="Arial" w:hAnsi="Arial" w:cs="Arial"/>
                <w:color w:val="000000" w:themeColor="text1"/>
                <w:sz w:val="20"/>
                <w:szCs w:val="20"/>
              </w:rPr>
            </w:pPr>
          </w:p>
          <w:p w14:paraId="218737D5" w14:textId="77777777" w:rsidR="00D94600" w:rsidRPr="001C02CB" w:rsidRDefault="00D94600" w:rsidP="00FC2E4E">
            <w:pPr>
              <w:spacing w:after="0" w:line="276" w:lineRule="auto"/>
              <w:rPr>
                <w:rFonts w:ascii="Arial" w:eastAsia="Arial" w:hAnsi="Arial" w:cs="Arial"/>
                <w:color w:val="000000" w:themeColor="text1"/>
                <w:sz w:val="20"/>
                <w:szCs w:val="20"/>
              </w:rPr>
            </w:pPr>
          </w:p>
          <w:p w14:paraId="2C1DBA87" w14:textId="5B0CED25" w:rsidR="00944B23" w:rsidRPr="001C02CB" w:rsidRDefault="70B47A04" w:rsidP="00FC2E4E">
            <w:pPr>
              <w:spacing w:after="0" w:line="276" w:lineRule="auto"/>
              <w:rPr>
                <w:rFonts w:ascii="Arial" w:eastAsia="Arial" w:hAnsi="Arial" w:cs="Arial"/>
                <w:color w:val="000000" w:themeColor="text1"/>
                <w:sz w:val="20"/>
                <w:szCs w:val="20"/>
              </w:rPr>
            </w:pPr>
            <w:r w:rsidRPr="001C02CB">
              <w:rPr>
                <w:rFonts w:ascii="Arial" w:eastAsia="Arial" w:hAnsi="Arial" w:cs="Arial"/>
                <w:color w:val="000000" w:themeColor="text1"/>
                <w:sz w:val="20"/>
                <w:szCs w:val="20"/>
              </w:rPr>
              <w:t>5. Ecosystem services and natural resource assets maintained or improved under climate change and variability-induced stress</w:t>
            </w:r>
          </w:p>
          <w:p w14:paraId="0B899DE5" w14:textId="77777777" w:rsidR="00944B23" w:rsidRPr="001C02CB" w:rsidRDefault="00944B23" w:rsidP="00FC2E4E">
            <w:pPr>
              <w:spacing w:after="0" w:line="276" w:lineRule="auto"/>
              <w:rPr>
                <w:rFonts w:ascii="Arial" w:eastAsia="Arial" w:hAnsi="Arial" w:cs="Arial"/>
                <w:color w:val="000000" w:themeColor="text1"/>
                <w:sz w:val="20"/>
                <w:szCs w:val="20"/>
              </w:rPr>
            </w:pPr>
          </w:p>
          <w:p w14:paraId="7F173E15" w14:textId="77777777" w:rsidR="00AB37FF" w:rsidRPr="001C02CB" w:rsidRDefault="00AB37FF" w:rsidP="00FC2E4E">
            <w:pPr>
              <w:spacing w:after="0" w:line="276" w:lineRule="auto"/>
              <w:rPr>
                <w:rFonts w:ascii="Arial" w:eastAsia="Arial" w:hAnsi="Arial" w:cs="Arial"/>
                <w:color w:val="000000" w:themeColor="text1"/>
                <w:sz w:val="20"/>
                <w:szCs w:val="20"/>
              </w:rPr>
            </w:pPr>
          </w:p>
          <w:p w14:paraId="0B1A8A48" w14:textId="77777777" w:rsidR="00AB37FF" w:rsidRPr="001C02CB" w:rsidRDefault="00AB37FF" w:rsidP="00FC2E4E">
            <w:pPr>
              <w:spacing w:after="0" w:line="276" w:lineRule="auto"/>
              <w:rPr>
                <w:rFonts w:ascii="Arial" w:eastAsia="Arial" w:hAnsi="Arial" w:cs="Arial"/>
                <w:color w:val="000000" w:themeColor="text1"/>
                <w:sz w:val="20"/>
                <w:szCs w:val="20"/>
              </w:rPr>
            </w:pPr>
          </w:p>
          <w:p w14:paraId="40B9CB71" w14:textId="77777777" w:rsidR="00944B23" w:rsidRPr="001C02CB" w:rsidRDefault="61C5772A" w:rsidP="00FC2E4E">
            <w:pPr>
              <w:spacing w:after="0" w:line="276" w:lineRule="auto"/>
              <w:rPr>
                <w:rFonts w:ascii="Arial" w:eastAsia="Arial" w:hAnsi="Arial" w:cs="Arial"/>
                <w:color w:val="000000" w:themeColor="text1"/>
                <w:sz w:val="20"/>
                <w:szCs w:val="20"/>
              </w:rPr>
            </w:pPr>
            <w:r w:rsidRPr="001C02CB">
              <w:rPr>
                <w:rFonts w:ascii="Arial" w:eastAsia="Arial" w:hAnsi="Arial" w:cs="Arial"/>
                <w:color w:val="000000" w:themeColor="text1"/>
                <w:sz w:val="20"/>
                <w:szCs w:val="20"/>
              </w:rPr>
              <w:t>6.2. Percentage of targeted population with sustained climate-resilient alternative livelihoods</w:t>
            </w:r>
          </w:p>
        </w:tc>
        <w:tc>
          <w:tcPr>
            <w:tcW w:w="1025" w:type="pct"/>
          </w:tcPr>
          <w:p w14:paraId="4A45BC49" w14:textId="77777777" w:rsidR="00A01DE6" w:rsidRPr="001C02CB" w:rsidRDefault="00A01DE6" w:rsidP="00FC2E4E">
            <w:pPr>
              <w:spacing w:after="0" w:line="276" w:lineRule="auto"/>
              <w:rPr>
                <w:rFonts w:ascii="Arial" w:eastAsia="Arial" w:hAnsi="Arial" w:cs="Arial"/>
                <w:color w:val="000000" w:themeColor="text1"/>
                <w:sz w:val="20"/>
                <w:szCs w:val="20"/>
              </w:rPr>
            </w:pPr>
          </w:p>
        </w:tc>
      </w:tr>
      <w:tr w:rsidR="0097496C" w:rsidRPr="00306F4D" w14:paraId="4B71C7D2" w14:textId="5B928F23" w:rsidTr="003A2E26">
        <w:trPr>
          <w:trHeight w:val="300"/>
        </w:trPr>
        <w:tc>
          <w:tcPr>
            <w:tcW w:w="818" w:type="pct"/>
            <w:shd w:val="clear" w:color="auto" w:fill="B1D34A"/>
          </w:tcPr>
          <w:p w14:paraId="4FB586ED" w14:textId="77777777" w:rsidR="00944B23" w:rsidRPr="00306F4D" w:rsidRDefault="00944B23" w:rsidP="00FC2E4E">
            <w:pPr>
              <w:spacing w:after="0" w:line="276" w:lineRule="auto"/>
              <w:jc w:val="center"/>
              <w:rPr>
                <w:rFonts w:ascii="Arial" w:eastAsia="Arial" w:hAnsi="Arial" w:cs="Arial"/>
                <w:b/>
                <w:color w:val="000000" w:themeColor="text1"/>
                <w:sz w:val="20"/>
                <w:szCs w:val="20"/>
              </w:rPr>
            </w:pPr>
            <w:r w:rsidRPr="00306F4D">
              <w:rPr>
                <w:rFonts w:ascii="Arial" w:eastAsia="Arial" w:hAnsi="Arial" w:cs="Arial"/>
                <w:b/>
                <w:color w:val="000000" w:themeColor="text1"/>
                <w:sz w:val="20"/>
                <w:szCs w:val="20"/>
              </w:rPr>
              <w:t>Project</w:t>
            </w:r>
            <w:r w:rsidRPr="00306F4D">
              <w:rPr>
                <w:rFonts w:ascii="Arial" w:hAnsi="Arial" w:cs="Arial"/>
                <w:sz w:val="20"/>
                <w:szCs w:val="20"/>
              </w:rPr>
              <w:br/>
            </w:r>
            <w:r w:rsidRPr="00306F4D">
              <w:rPr>
                <w:rFonts w:ascii="Arial" w:eastAsia="Arial" w:hAnsi="Arial" w:cs="Arial"/>
                <w:b/>
                <w:color w:val="000000" w:themeColor="text1"/>
                <w:sz w:val="20"/>
                <w:szCs w:val="20"/>
              </w:rPr>
              <w:t>Outcome(s)</w:t>
            </w:r>
          </w:p>
        </w:tc>
        <w:tc>
          <w:tcPr>
            <w:tcW w:w="985" w:type="pct"/>
            <w:shd w:val="clear" w:color="auto" w:fill="B1D34A"/>
          </w:tcPr>
          <w:p w14:paraId="02060F76" w14:textId="50B903C4" w:rsidR="00944B23" w:rsidRPr="001C02CB" w:rsidRDefault="00944B23" w:rsidP="00FC2E4E">
            <w:pPr>
              <w:spacing w:after="0" w:line="276" w:lineRule="auto"/>
              <w:jc w:val="center"/>
              <w:rPr>
                <w:rFonts w:ascii="Arial" w:eastAsia="Arial" w:hAnsi="Arial" w:cs="Arial"/>
                <w:b/>
                <w:color w:val="000000" w:themeColor="text1"/>
                <w:sz w:val="20"/>
                <w:szCs w:val="20"/>
              </w:rPr>
            </w:pPr>
            <w:r w:rsidRPr="001C02CB">
              <w:rPr>
                <w:rFonts w:ascii="Arial" w:eastAsia="Arial" w:hAnsi="Arial" w:cs="Arial"/>
                <w:b/>
                <w:color w:val="000000" w:themeColor="text1"/>
                <w:sz w:val="20"/>
                <w:szCs w:val="20"/>
              </w:rPr>
              <w:t>Project Outcome Indicator(s)</w:t>
            </w:r>
          </w:p>
        </w:tc>
        <w:tc>
          <w:tcPr>
            <w:tcW w:w="971" w:type="pct"/>
            <w:shd w:val="clear" w:color="auto" w:fill="B1D34A"/>
          </w:tcPr>
          <w:p w14:paraId="3D8BE1C8" w14:textId="77777777" w:rsidR="00944B23" w:rsidRPr="001C02CB" w:rsidRDefault="00944B23" w:rsidP="00FC2E4E">
            <w:pPr>
              <w:spacing w:after="0" w:line="276" w:lineRule="auto"/>
              <w:jc w:val="center"/>
              <w:rPr>
                <w:rFonts w:ascii="Arial" w:eastAsia="Arial" w:hAnsi="Arial" w:cs="Arial"/>
                <w:b/>
                <w:color w:val="000000" w:themeColor="text1"/>
                <w:sz w:val="20"/>
                <w:szCs w:val="20"/>
              </w:rPr>
            </w:pPr>
            <w:r w:rsidRPr="001C02CB">
              <w:rPr>
                <w:rFonts w:ascii="Arial" w:eastAsia="Arial" w:hAnsi="Arial" w:cs="Arial"/>
                <w:b/>
                <w:color w:val="000000" w:themeColor="text1"/>
                <w:sz w:val="20"/>
                <w:szCs w:val="20"/>
              </w:rPr>
              <w:t>Fund Output</w:t>
            </w:r>
          </w:p>
        </w:tc>
        <w:tc>
          <w:tcPr>
            <w:tcW w:w="1202" w:type="pct"/>
            <w:shd w:val="clear" w:color="auto" w:fill="B1D34A"/>
          </w:tcPr>
          <w:p w14:paraId="3A618D2D" w14:textId="77777777" w:rsidR="00944B23" w:rsidRPr="001C02CB" w:rsidRDefault="00944B23" w:rsidP="00FC2E4E">
            <w:pPr>
              <w:spacing w:after="0" w:line="276" w:lineRule="auto"/>
              <w:jc w:val="center"/>
              <w:rPr>
                <w:rFonts w:ascii="Arial" w:eastAsia="Arial" w:hAnsi="Arial" w:cs="Arial"/>
                <w:b/>
                <w:color w:val="000000" w:themeColor="text1"/>
                <w:sz w:val="20"/>
                <w:szCs w:val="20"/>
              </w:rPr>
            </w:pPr>
            <w:r w:rsidRPr="001C02CB">
              <w:rPr>
                <w:rFonts w:ascii="Arial" w:eastAsia="Arial" w:hAnsi="Arial" w:cs="Arial"/>
                <w:b/>
                <w:color w:val="000000" w:themeColor="text1"/>
                <w:sz w:val="20"/>
                <w:szCs w:val="20"/>
              </w:rPr>
              <w:t>Fund Output Indicator</w:t>
            </w:r>
          </w:p>
        </w:tc>
        <w:tc>
          <w:tcPr>
            <w:tcW w:w="1025" w:type="pct"/>
            <w:shd w:val="clear" w:color="auto" w:fill="B1D34A"/>
          </w:tcPr>
          <w:p w14:paraId="02FC570D" w14:textId="77777777" w:rsidR="00A01DE6" w:rsidRPr="001C02CB" w:rsidRDefault="00A01DE6" w:rsidP="00FC2E4E">
            <w:pPr>
              <w:spacing w:after="0" w:line="276" w:lineRule="auto"/>
              <w:jc w:val="center"/>
              <w:rPr>
                <w:rFonts w:ascii="Arial" w:eastAsia="Arial" w:hAnsi="Arial" w:cs="Arial"/>
                <w:b/>
                <w:color w:val="000000" w:themeColor="text1"/>
                <w:sz w:val="20"/>
                <w:szCs w:val="20"/>
              </w:rPr>
            </w:pPr>
          </w:p>
        </w:tc>
      </w:tr>
      <w:tr w:rsidR="003A2E26" w:rsidRPr="00306F4D" w14:paraId="5B6080EF" w14:textId="253A3319" w:rsidTr="00CB73F2">
        <w:trPr>
          <w:trHeight w:val="3303"/>
        </w:trPr>
        <w:tc>
          <w:tcPr>
            <w:tcW w:w="818" w:type="pct"/>
            <w:vMerge w:val="restart"/>
          </w:tcPr>
          <w:p w14:paraId="670BA046" w14:textId="3555F803" w:rsidR="003A2E26" w:rsidRPr="00306F4D" w:rsidRDefault="003A2E26" w:rsidP="00FC2E4E">
            <w:pPr>
              <w:spacing w:after="0" w:line="276" w:lineRule="auto"/>
              <w:rPr>
                <w:rFonts w:ascii="Arial" w:eastAsia="Arial" w:hAnsi="Arial" w:cs="Arial"/>
                <w:b/>
                <w:color w:val="000000" w:themeColor="text1"/>
                <w:sz w:val="20"/>
                <w:szCs w:val="20"/>
              </w:rPr>
            </w:pPr>
            <w:r w:rsidRPr="00306F4D">
              <w:rPr>
                <w:rFonts w:ascii="Arial" w:eastAsia="Arial" w:hAnsi="Arial" w:cs="Arial"/>
                <w:color w:val="000000" w:themeColor="text1"/>
                <w:sz w:val="20"/>
                <w:szCs w:val="20"/>
              </w:rPr>
              <w:lastRenderedPageBreak/>
              <w:t xml:space="preserve"> </w:t>
            </w:r>
            <w:r w:rsidRPr="00306F4D">
              <w:rPr>
                <w:rFonts w:ascii="Arial" w:eastAsia="Arial" w:hAnsi="Arial" w:cs="Arial"/>
                <w:b/>
                <w:color w:val="70AD47" w:themeColor="accent6"/>
                <w:sz w:val="20"/>
                <w:szCs w:val="20"/>
              </w:rPr>
              <w:t xml:space="preserve">AF MTS ER3, ER4  </w:t>
            </w:r>
          </w:p>
          <w:p w14:paraId="4B2CB6F4" w14:textId="52A1D7C2" w:rsidR="003A2E26" w:rsidRPr="00306F4D" w:rsidRDefault="003A2E26" w:rsidP="00FC2E4E">
            <w:pPr>
              <w:spacing w:after="0" w:line="276" w:lineRule="auto"/>
              <w:rPr>
                <w:rFonts w:ascii="Arial" w:eastAsia="Arial" w:hAnsi="Arial" w:cs="Arial"/>
                <w:color w:val="000000" w:themeColor="text1"/>
                <w:sz w:val="20"/>
                <w:szCs w:val="20"/>
              </w:rPr>
            </w:pPr>
            <w:r w:rsidRPr="00306F4D">
              <w:rPr>
                <w:rFonts w:ascii="Arial" w:eastAsia="Arial" w:hAnsi="Arial" w:cs="Arial"/>
                <w:b/>
                <w:color w:val="000000" w:themeColor="text1"/>
                <w:sz w:val="20"/>
                <w:szCs w:val="20"/>
              </w:rPr>
              <w:t xml:space="preserve">Outcome 1: </w:t>
            </w:r>
            <w:r w:rsidRPr="00306F4D">
              <w:rPr>
                <w:rFonts w:ascii="Arial" w:eastAsia="Arial" w:hAnsi="Arial" w:cs="Arial"/>
                <w:color w:val="000000" w:themeColor="text1"/>
                <w:sz w:val="20"/>
                <w:szCs w:val="20"/>
              </w:rPr>
              <w:t xml:space="preserve">Development, promotion, and acceleration of </w:t>
            </w:r>
            <w:proofErr w:type="gramStart"/>
            <w:r w:rsidRPr="00306F4D">
              <w:rPr>
                <w:rFonts w:ascii="Arial" w:eastAsia="Arial" w:hAnsi="Arial" w:cs="Arial"/>
                <w:color w:val="000000" w:themeColor="text1"/>
                <w:sz w:val="20"/>
                <w:szCs w:val="20"/>
              </w:rPr>
              <w:t>locally-led</w:t>
            </w:r>
            <w:proofErr w:type="gramEnd"/>
            <w:r w:rsidRPr="00306F4D">
              <w:rPr>
                <w:rFonts w:ascii="Arial" w:eastAsia="Arial" w:hAnsi="Arial" w:cs="Arial"/>
                <w:color w:val="000000" w:themeColor="text1"/>
                <w:sz w:val="20"/>
                <w:szCs w:val="20"/>
              </w:rPr>
              <w:t xml:space="preserve"> innovative climate adaptation solutions in four Balkans countries, with particular emphasis on approaches that advance gender equality and women’s empowerment, and which address priority climate risks</w:t>
            </w:r>
          </w:p>
        </w:tc>
        <w:tc>
          <w:tcPr>
            <w:tcW w:w="985" w:type="pct"/>
            <w:vMerge w:val="restart"/>
          </w:tcPr>
          <w:p w14:paraId="27A321B0" w14:textId="5281B05E" w:rsidR="003A2E26" w:rsidRPr="001C02CB" w:rsidRDefault="003A2E26" w:rsidP="00FC2E4E">
            <w:pPr>
              <w:spacing w:line="276" w:lineRule="auto"/>
              <w:rPr>
                <w:rFonts w:ascii="Arial" w:eastAsia="Arial" w:hAnsi="Arial" w:cs="Arial"/>
                <w:color w:val="000000" w:themeColor="text1"/>
                <w:sz w:val="24"/>
                <w:szCs w:val="24"/>
              </w:rPr>
            </w:pPr>
            <w:r w:rsidRPr="001C02CB">
              <w:rPr>
                <w:rFonts w:ascii="Arial" w:eastAsia="Arial" w:hAnsi="Arial" w:cs="Arial"/>
                <w:color w:val="000000" w:themeColor="text1"/>
                <w:sz w:val="20"/>
                <w:szCs w:val="20"/>
                <w:lang w:val="en-GB"/>
              </w:rPr>
              <w:t>Number of climate adaptation, climate resilient production and consumption, and nature-based solutions piloted</w:t>
            </w:r>
          </w:p>
          <w:p w14:paraId="385031C2" w14:textId="77777777" w:rsidR="003A2E26" w:rsidRPr="001C02CB" w:rsidRDefault="003A2E26" w:rsidP="00FC2E4E">
            <w:pPr>
              <w:spacing w:line="276" w:lineRule="auto"/>
              <w:rPr>
                <w:rFonts w:ascii="Arial" w:eastAsia="Arial" w:hAnsi="Arial" w:cs="Arial"/>
                <w:color w:val="000000" w:themeColor="text1"/>
                <w:sz w:val="20"/>
                <w:szCs w:val="20"/>
              </w:rPr>
            </w:pPr>
          </w:p>
          <w:p w14:paraId="7791AAA0" w14:textId="77777777" w:rsidR="003A2E26" w:rsidRPr="001C02CB" w:rsidRDefault="003A2E26" w:rsidP="00FC2E4E">
            <w:pPr>
              <w:spacing w:line="276" w:lineRule="auto"/>
              <w:rPr>
                <w:rFonts w:ascii="Arial" w:eastAsia="Arial" w:hAnsi="Arial" w:cs="Arial"/>
                <w:color w:val="000000" w:themeColor="text1"/>
                <w:sz w:val="20"/>
                <w:szCs w:val="20"/>
              </w:rPr>
            </w:pPr>
          </w:p>
        </w:tc>
        <w:tc>
          <w:tcPr>
            <w:tcW w:w="971" w:type="pct"/>
          </w:tcPr>
          <w:tbl>
            <w:tblPr>
              <w:tblW w:w="0" w:type="auto"/>
              <w:tblBorders>
                <w:top w:val="nil"/>
                <w:left w:val="nil"/>
                <w:bottom w:val="nil"/>
                <w:right w:val="nil"/>
              </w:tblBorders>
              <w:tblLook w:val="0000" w:firstRow="0" w:lastRow="0" w:firstColumn="0" w:lastColumn="0" w:noHBand="0" w:noVBand="0"/>
            </w:tblPr>
            <w:tblGrid>
              <w:gridCol w:w="222"/>
            </w:tblGrid>
            <w:tr w:rsidR="003A2E26" w:rsidRPr="001C02CB" w14:paraId="3795C80D" w14:textId="77777777" w:rsidTr="0025418E">
              <w:tc>
                <w:tcPr>
                  <w:tcW w:w="0" w:type="auto"/>
                </w:tcPr>
                <w:p w14:paraId="2A4BC372" w14:textId="77777777" w:rsidR="003A2E26" w:rsidRPr="001C02CB" w:rsidRDefault="003A2E26" w:rsidP="00CB73F2">
                  <w:pPr>
                    <w:spacing w:after="0" w:line="240" w:lineRule="auto"/>
                    <w:ind w:left="-84"/>
                    <w:rPr>
                      <w:rFonts w:ascii="Arial" w:eastAsia="Arial" w:hAnsi="Arial" w:cs="Arial"/>
                      <w:b/>
                      <w:bCs/>
                      <w:color w:val="000000" w:themeColor="text1"/>
                      <w:sz w:val="20"/>
                      <w:szCs w:val="20"/>
                    </w:rPr>
                  </w:pPr>
                </w:p>
              </w:tc>
            </w:tr>
          </w:tbl>
          <w:p w14:paraId="77073308" w14:textId="13441BE6" w:rsidR="003A2E26" w:rsidRPr="001C02CB" w:rsidRDefault="00CB73F2" w:rsidP="00CB73F2">
            <w:pPr>
              <w:spacing w:after="0" w:line="240" w:lineRule="auto"/>
              <w:rPr>
                <w:rFonts w:ascii="Arial" w:eastAsia="Arial" w:hAnsi="Arial" w:cs="Arial"/>
                <w:color w:val="000000" w:themeColor="text1"/>
                <w:sz w:val="20"/>
                <w:szCs w:val="20"/>
              </w:rPr>
            </w:pPr>
            <w:r>
              <w:rPr>
                <w:rFonts w:ascii="Arial" w:eastAsia="Arial" w:hAnsi="Arial" w:cs="Arial"/>
                <w:b/>
                <w:bCs/>
                <w:color w:val="000000" w:themeColor="text1"/>
                <w:sz w:val="20"/>
                <w:szCs w:val="20"/>
              </w:rPr>
              <w:t>O</w:t>
            </w:r>
            <w:r w:rsidR="003A2E26" w:rsidRPr="001C02CB">
              <w:rPr>
                <w:rFonts w:ascii="Arial" w:eastAsia="Arial" w:hAnsi="Arial" w:cs="Arial"/>
                <w:b/>
                <w:bCs/>
                <w:color w:val="000000" w:themeColor="text1"/>
                <w:sz w:val="20"/>
                <w:szCs w:val="20"/>
              </w:rPr>
              <w:t>utput 5</w:t>
            </w:r>
            <w:r w:rsidR="003A2E26" w:rsidRPr="001C02CB">
              <w:rPr>
                <w:rFonts w:ascii="Arial" w:eastAsia="Arial" w:hAnsi="Arial" w:cs="Arial"/>
                <w:color w:val="000000" w:themeColor="text1"/>
                <w:sz w:val="20"/>
                <w:szCs w:val="20"/>
              </w:rPr>
              <w:t xml:space="preserve">: Vulnerable ecosystem services and natural </w:t>
            </w:r>
          </w:p>
          <w:p w14:paraId="6A3DB6BC" w14:textId="77777777" w:rsidR="003A2E26" w:rsidRPr="001C02CB" w:rsidRDefault="003A2E26" w:rsidP="00CB73F2">
            <w:pPr>
              <w:spacing w:after="0" w:line="240" w:lineRule="auto"/>
              <w:rPr>
                <w:rFonts w:ascii="Arial" w:eastAsia="Arial" w:hAnsi="Arial" w:cs="Arial"/>
                <w:color w:val="000000" w:themeColor="text1"/>
                <w:sz w:val="20"/>
                <w:szCs w:val="20"/>
              </w:rPr>
            </w:pPr>
            <w:r w:rsidRPr="001C02CB">
              <w:rPr>
                <w:rFonts w:ascii="Arial" w:eastAsia="Arial" w:hAnsi="Arial" w:cs="Arial"/>
                <w:color w:val="000000" w:themeColor="text1"/>
                <w:sz w:val="20"/>
                <w:szCs w:val="20"/>
              </w:rPr>
              <w:t xml:space="preserve">resource assets strengthened in response to climate </w:t>
            </w:r>
          </w:p>
          <w:p w14:paraId="08287A2F" w14:textId="1C963575" w:rsidR="003A2E26" w:rsidRPr="001C02CB" w:rsidRDefault="003A2E26" w:rsidP="00CB73F2">
            <w:pPr>
              <w:spacing w:after="0" w:line="240" w:lineRule="auto"/>
              <w:rPr>
                <w:rFonts w:ascii="Arial" w:eastAsia="Arial" w:hAnsi="Arial" w:cs="Arial"/>
                <w:color w:val="000000" w:themeColor="text1"/>
                <w:sz w:val="20"/>
                <w:szCs w:val="20"/>
              </w:rPr>
            </w:pPr>
            <w:r w:rsidRPr="001C02CB">
              <w:rPr>
                <w:rFonts w:ascii="Arial" w:eastAsia="Arial" w:hAnsi="Arial" w:cs="Arial"/>
                <w:color w:val="000000" w:themeColor="text1"/>
                <w:sz w:val="20"/>
                <w:szCs w:val="20"/>
              </w:rPr>
              <w:t>change impacts, including variability</w:t>
            </w:r>
          </w:p>
        </w:tc>
        <w:tc>
          <w:tcPr>
            <w:tcW w:w="1202" w:type="pct"/>
          </w:tcPr>
          <w:p w14:paraId="6413819E" w14:textId="35508FC6" w:rsidR="003A2E26" w:rsidRPr="001C02CB" w:rsidRDefault="003A2E26" w:rsidP="003A2E26">
            <w:pPr>
              <w:spacing w:after="0" w:line="276" w:lineRule="auto"/>
              <w:rPr>
                <w:rFonts w:ascii="Arial" w:eastAsia="Arial" w:hAnsi="Arial" w:cs="Arial"/>
                <w:color w:val="000000" w:themeColor="text1"/>
                <w:sz w:val="20"/>
                <w:szCs w:val="20"/>
              </w:rPr>
            </w:pPr>
            <w:r w:rsidRPr="001C02CB">
              <w:rPr>
                <w:rFonts w:ascii="Arial" w:eastAsia="Arial" w:hAnsi="Arial" w:cs="Arial"/>
                <w:color w:val="000000" w:themeColor="text1"/>
                <w:sz w:val="20"/>
                <w:szCs w:val="20"/>
              </w:rPr>
              <w:t>5.1 N</w:t>
            </w:r>
            <w:r w:rsidRPr="001C02CB">
              <w:rPr>
                <w:rFonts w:ascii="Arial" w:eastAsia="Arial" w:hAnsi="Arial" w:cs="Arial"/>
                <w:sz w:val="20"/>
                <w:szCs w:val="20"/>
              </w:rPr>
              <w:t>umber of natural resources assets created, maintained or improved to withstand conditions resulting from climate variability and change (by type and scale)</w:t>
            </w:r>
          </w:p>
        </w:tc>
        <w:tc>
          <w:tcPr>
            <w:tcW w:w="1025" w:type="pct"/>
          </w:tcPr>
          <w:p w14:paraId="340DAC9F" w14:textId="7DE618EF" w:rsidR="003A2E26" w:rsidRPr="001C02CB" w:rsidRDefault="003A2E26" w:rsidP="000C413D">
            <w:pPr>
              <w:spacing w:after="0" w:line="276" w:lineRule="auto"/>
              <w:rPr>
                <w:rFonts w:ascii="Arial" w:eastAsia="Arial" w:hAnsi="Arial" w:cs="Arial"/>
                <w:color w:val="000000" w:themeColor="text1"/>
                <w:sz w:val="20"/>
                <w:szCs w:val="20"/>
              </w:rPr>
            </w:pPr>
            <w:r w:rsidRPr="001C02CB">
              <w:rPr>
                <w:rFonts w:ascii="Arial" w:eastAsia="Arial" w:hAnsi="Arial" w:cs="Arial"/>
                <w:color w:val="000000" w:themeColor="text1"/>
                <w:sz w:val="20"/>
                <w:szCs w:val="20"/>
              </w:rPr>
              <w:t>$</w:t>
            </w:r>
            <w:r w:rsidR="005B4D65" w:rsidRPr="001C02CB">
              <w:rPr>
                <w:rFonts w:ascii="Arial" w:eastAsia="Arial" w:hAnsi="Arial" w:cs="Arial"/>
                <w:color w:val="000000" w:themeColor="text1"/>
                <w:sz w:val="20"/>
                <w:szCs w:val="20"/>
              </w:rPr>
              <w:t>1,381,396</w:t>
            </w:r>
          </w:p>
        </w:tc>
      </w:tr>
      <w:tr w:rsidR="003A2E26" w:rsidRPr="00306F4D" w14:paraId="3443A005" w14:textId="77777777" w:rsidTr="001C02CB">
        <w:trPr>
          <w:trHeight w:val="2601"/>
        </w:trPr>
        <w:tc>
          <w:tcPr>
            <w:tcW w:w="818" w:type="pct"/>
            <w:vMerge/>
          </w:tcPr>
          <w:p w14:paraId="46B23003" w14:textId="77777777" w:rsidR="003A2E26" w:rsidRPr="00306F4D" w:rsidRDefault="003A2E26" w:rsidP="00FC2E4E">
            <w:pPr>
              <w:spacing w:after="0" w:line="276" w:lineRule="auto"/>
              <w:rPr>
                <w:rFonts w:ascii="Arial" w:eastAsia="Arial" w:hAnsi="Arial" w:cs="Arial"/>
                <w:color w:val="000000" w:themeColor="text1"/>
                <w:sz w:val="20"/>
                <w:szCs w:val="20"/>
              </w:rPr>
            </w:pPr>
          </w:p>
        </w:tc>
        <w:tc>
          <w:tcPr>
            <w:tcW w:w="985" w:type="pct"/>
            <w:vMerge/>
          </w:tcPr>
          <w:p w14:paraId="3CE8B80F" w14:textId="77777777" w:rsidR="003A2E26" w:rsidRPr="001C02CB" w:rsidRDefault="003A2E26" w:rsidP="00FC2E4E">
            <w:pPr>
              <w:spacing w:line="276" w:lineRule="auto"/>
              <w:rPr>
                <w:rFonts w:ascii="Arial" w:eastAsia="Arial" w:hAnsi="Arial" w:cs="Arial"/>
                <w:color w:val="000000" w:themeColor="text1"/>
                <w:sz w:val="20"/>
                <w:szCs w:val="20"/>
                <w:lang w:val="en-GB"/>
              </w:rPr>
            </w:pPr>
          </w:p>
        </w:tc>
        <w:tc>
          <w:tcPr>
            <w:tcW w:w="971" w:type="pct"/>
          </w:tcPr>
          <w:p w14:paraId="323A1B42" w14:textId="73259C7D" w:rsidR="003A2E26" w:rsidRPr="001C02CB" w:rsidRDefault="003A2E26" w:rsidP="003A2E26">
            <w:pPr>
              <w:spacing w:after="0" w:line="276" w:lineRule="auto"/>
              <w:rPr>
                <w:rFonts w:ascii="Arial" w:eastAsia="Arial" w:hAnsi="Arial" w:cs="Arial"/>
                <w:color w:val="000000" w:themeColor="text1"/>
                <w:sz w:val="20"/>
                <w:szCs w:val="20"/>
              </w:rPr>
            </w:pPr>
            <w:r w:rsidRPr="001C02CB">
              <w:rPr>
                <w:rFonts w:ascii="Arial" w:eastAsia="Arial" w:hAnsi="Arial" w:cs="Arial"/>
                <w:b/>
                <w:bCs/>
                <w:color w:val="000000" w:themeColor="text1"/>
                <w:sz w:val="20"/>
                <w:szCs w:val="20"/>
              </w:rPr>
              <w:t>Output 6:</w:t>
            </w:r>
            <w:r w:rsidRPr="001C02CB">
              <w:rPr>
                <w:rFonts w:ascii="Arial" w:eastAsia="Arial" w:hAnsi="Arial" w:cs="Arial"/>
                <w:color w:val="000000" w:themeColor="text1"/>
                <w:sz w:val="20"/>
                <w:szCs w:val="20"/>
              </w:rPr>
              <w:t xml:space="preserve"> Targeted individual and community </w:t>
            </w:r>
          </w:p>
          <w:p w14:paraId="7A348BEA" w14:textId="77777777" w:rsidR="003A2E26" w:rsidRPr="001C02CB" w:rsidRDefault="003A2E26" w:rsidP="003A2E26">
            <w:pPr>
              <w:spacing w:after="0" w:line="276" w:lineRule="auto"/>
              <w:rPr>
                <w:rFonts w:ascii="Arial" w:eastAsia="Arial" w:hAnsi="Arial" w:cs="Arial"/>
                <w:color w:val="000000" w:themeColor="text1"/>
                <w:sz w:val="20"/>
                <w:szCs w:val="20"/>
              </w:rPr>
            </w:pPr>
            <w:r w:rsidRPr="001C02CB">
              <w:rPr>
                <w:rFonts w:ascii="Arial" w:eastAsia="Arial" w:hAnsi="Arial" w:cs="Arial"/>
                <w:color w:val="000000" w:themeColor="text1"/>
                <w:sz w:val="20"/>
                <w:szCs w:val="20"/>
              </w:rPr>
              <w:t xml:space="preserve">livelihood strategies strengthened in relation to </w:t>
            </w:r>
          </w:p>
          <w:p w14:paraId="46E9F08A" w14:textId="77777777" w:rsidR="003A2E26" w:rsidRPr="001C02CB" w:rsidDel="00E60FC1" w:rsidRDefault="003A2E26" w:rsidP="003A2E26">
            <w:pPr>
              <w:spacing w:after="0" w:line="276" w:lineRule="auto"/>
              <w:rPr>
                <w:rFonts w:ascii="Arial" w:eastAsia="Arial" w:hAnsi="Arial" w:cs="Arial"/>
                <w:b/>
                <w:bCs/>
                <w:color w:val="000000" w:themeColor="text1"/>
                <w:sz w:val="20"/>
                <w:szCs w:val="20"/>
              </w:rPr>
            </w:pPr>
            <w:r w:rsidRPr="001C02CB">
              <w:rPr>
                <w:rFonts w:ascii="Arial" w:eastAsia="Arial" w:hAnsi="Arial" w:cs="Arial"/>
                <w:color w:val="000000" w:themeColor="text1"/>
                <w:sz w:val="20"/>
                <w:szCs w:val="20"/>
              </w:rPr>
              <w:t>climate change impacts, including variability</w:t>
            </w:r>
          </w:p>
        </w:tc>
        <w:tc>
          <w:tcPr>
            <w:tcW w:w="1202" w:type="pct"/>
          </w:tcPr>
          <w:p w14:paraId="4F0DBA92" w14:textId="117CEDC1" w:rsidR="003A2E26" w:rsidRPr="001C02CB" w:rsidRDefault="003A2E26" w:rsidP="003A2E26">
            <w:pPr>
              <w:spacing w:after="0" w:line="276" w:lineRule="auto"/>
              <w:rPr>
                <w:rFonts w:ascii="Arial" w:eastAsia="Arial" w:hAnsi="Arial" w:cs="Arial"/>
                <w:color w:val="000000" w:themeColor="text1"/>
                <w:sz w:val="20"/>
                <w:szCs w:val="20"/>
              </w:rPr>
            </w:pPr>
            <w:r w:rsidRPr="001C02CB">
              <w:rPr>
                <w:rFonts w:ascii="Arial" w:eastAsia="Arial" w:hAnsi="Arial" w:cs="Arial"/>
                <w:color w:val="000000" w:themeColor="text1"/>
                <w:sz w:val="20"/>
                <w:szCs w:val="20"/>
              </w:rPr>
              <w:t>6.1.1. Number and type of adaptation assets (tangible and intangible) created or strengthened in support of individual or community livelihood strategies</w:t>
            </w:r>
          </w:p>
          <w:p w14:paraId="17BDB6DA" w14:textId="77777777" w:rsidR="003A2E26" w:rsidRPr="001C02CB" w:rsidDel="00E60FC1" w:rsidRDefault="003A2E26" w:rsidP="00FC2E4E">
            <w:pPr>
              <w:spacing w:after="0" w:line="276" w:lineRule="auto"/>
              <w:rPr>
                <w:rFonts w:ascii="Arial" w:eastAsia="Arial" w:hAnsi="Arial" w:cs="Arial"/>
                <w:color w:val="000000" w:themeColor="text1"/>
                <w:sz w:val="20"/>
                <w:szCs w:val="20"/>
              </w:rPr>
            </w:pPr>
          </w:p>
        </w:tc>
        <w:tc>
          <w:tcPr>
            <w:tcW w:w="1025" w:type="pct"/>
          </w:tcPr>
          <w:p w14:paraId="641C7F11" w14:textId="16E2F612" w:rsidR="003A2E26" w:rsidRPr="001C02CB" w:rsidRDefault="005B4D65" w:rsidP="000C413D">
            <w:pPr>
              <w:spacing w:after="0" w:line="276" w:lineRule="auto"/>
              <w:rPr>
                <w:rFonts w:ascii="Arial" w:eastAsia="Arial" w:hAnsi="Arial" w:cs="Arial"/>
                <w:color w:val="000000" w:themeColor="text1"/>
                <w:sz w:val="20"/>
                <w:szCs w:val="20"/>
              </w:rPr>
            </w:pPr>
            <w:r w:rsidRPr="001C02CB">
              <w:rPr>
                <w:rFonts w:ascii="Arial" w:eastAsia="Arial" w:hAnsi="Arial" w:cs="Arial"/>
                <w:color w:val="000000" w:themeColor="text1"/>
                <w:sz w:val="20"/>
                <w:szCs w:val="20"/>
              </w:rPr>
              <w:t>$1,381,397</w:t>
            </w:r>
          </w:p>
        </w:tc>
      </w:tr>
      <w:tr w:rsidR="00B118A9" w:rsidRPr="00306F4D" w14:paraId="7FB53A80" w14:textId="1CECCEC6" w:rsidTr="003A2E26">
        <w:trPr>
          <w:trHeight w:val="1380"/>
        </w:trPr>
        <w:tc>
          <w:tcPr>
            <w:tcW w:w="818" w:type="pct"/>
            <w:vMerge w:val="restart"/>
          </w:tcPr>
          <w:p w14:paraId="3F6D1D33" w14:textId="70E8A09D" w:rsidR="00B118A9" w:rsidRPr="00306F4D" w:rsidRDefault="00B118A9" w:rsidP="00FC2E4E">
            <w:pPr>
              <w:spacing w:after="0" w:line="276" w:lineRule="auto"/>
              <w:rPr>
                <w:rFonts w:ascii="Arial" w:eastAsia="Arial" w:hAnsi="Arial" w:cs="Arial"/>
                <w:b/>
                <w:color w:val="70AD47" w:themeColor="accent6"/>
                <w:sz w:val="20"/>
                <w:szCs w:val="20"/>
              </w:rPr>
            </w:pPr>
            <w:r w:rsidRPr="00306F4D">
              <w:rPr>
                <w:rFonts w:ascii="Arial" w:eastAsia="Arial" w:hAnsi="Arial" w:cs="Arial"/>
                <w:b/>
                <w:color w:val="70AD47" w:themeColor="accent6"/>
                <w:sz w:val="20"/>
                <w:szCs w:val="20"/>
              </w:rPr>
              <w:t xml:space="preserve">AF MTS ER2, ER4 </w:t>
            </w:r>
          </w:p>
          <w:p w14:paraId="4B1CE5D3" w14:textId="138E3339" w:rsidR="00B118A9" w:rsidRPr="00306F4D" w:rsidRDefault="00B118A9" w:rsidP="001C02CB">
            <w:pPr>
              <w:spacing w:line="276" w:lineRule="auto"/>
              <w:rPr>
                <w:rFonts w:ascii="Arial" w:eastAsia="Arial" w:hAnsi="Arial" w:cs="Arial"/>
                <w:color w:val="000000" w:themeColor="text1"/>
                <w:sz w:val="20"/>
                <w:szCs w:val="20"/>
                <w:lang w:val="en-GB"/>
              </w:rPr>
            </w:pPr>
            <w:r w:rsidRPr="00306F4D">
              <w:rPr>
                <w:rFonts w:ascii="Arial" w:eastAsia="Arial" w:hAnsi="Arial" w:cs="Arial"/>
                <w:b/>
                <w:color w:val="000000" w:themeColor="text1"/>
                <w:sz w:val="20"/>
                <w:szCs w:val="20"/>
                <w:lang w:val="en-GB"/>
              </w:rPr>
              <w:t>Outcome 2:</w:t>
            </w:r>
            <w:r w:rsidRPr="00306F4D">
              <w:rPr>
                <w:rFonts w:ascii="Arial" w:eastAsia="Arial" w:hAnsi="Arial" w:cs="Arial"/>
                <w:color w:val="000000" w:themeColor="text1"/>
                <w:sz w:val="20"/>
                <w:szCs w:val="20"/>
                <w:lang w:val="en-GB"/>
              </w:rPr>
              <w:t xml:space="preserve"> Selected adaptation innovations are strengthened and positioned for scale through tailored business development support, market testing, and identification of funding and financing pathways.</w:t>
            </w:r>
          </w:p>
        </w:tc>
        <w:tc>
          <w:tcPr>
            <w:tcW w:w="985" w:type="pct"/>
            <w:vMerge w:val="restart"/>
          </w:tcPr>
          <w:p w14:paraId="3D6ADD5C" w14:textId="6435A225" w:rsidR="00B118A9" w:rsidRPr="001C02CB" w:rsidRDefault="0027350F" w:rsidP="00FC2E4E">
            <w:pPr>
              <w:spacing w:after="0" w:line="276" w:lineRule="auto"/>
              <w:rPr>
                <w:rFonts w:ascii="Arial" w:eastAsia="Arial" w:hAnsi="Arial" w:cs="Arial"/>
                <w:color w:val="000000" w:themeColor="text1"/>
                <w:sz w:val="20"/>
                <w:szCs w:val="20"/>
                <w:lang w:val="en-GB"/>
              </w:rPr>
            </w:pPr>
            <w:r w:rsidRPr="001C02CB">
              <w:rPr>
                <w:rFonts w:ascii="Arial" w:eastAsia="Arial" w:hAnsi="Arial" w:cs="Arial"/>
                <w:color w:val="auto"/>
                <w:sz w:val="20"/>
                <w:szCs w:val="20"/>
                <w:lang w:val="en-GB"/>
              </w:rPr>
              <w:t>No of innovations adopted/ replicated or scaled by public institutions, private sector actors or other NGOs/CSOs</w:t>
            </w:r>
          </w:p>
        </w:tc>
        <w:tc>
          <w:tcPr>
            <w:tcW w:w="971" w:type="pct"/>
          </w:tcPr>
          <w:p w14:paraId="7E5A6917" w14:textId="480A5770" w:rsidR="00B118A9" w:rsidRPr="001C02CB" w:rsidDel="00A9498C" w:rsidRDefault="00B118A9" w:rsidP="02E2BB75">
            <w:pPr>
              <w:spacing w:after="0" w:line="276" w:lineRule="auto"/>
              <w:rPr>
                <w:rFonts w:ascii="Arial" w:eastAsia="Arial" w:hAnsi="Arial" w:cs="Arial"/>
                <w:b/>
                <w:bCs/>
                <w:color w:val="000000" w:themeColor="text1"/>
                <w:sz w:val="20"/>
                <w:szCs w:val="20"/>
              </w:rPr>
            </w:pPr>
            <w:r w:rsidRPr="001C02CB">
              <w:rPr>
                <w:rFonts w:ascii="Arial" w:eastAsia="Arial" w:hAnsi="Arial" w:cs="Arial"/>
                <w:b/>
                <w:bCs/>
                <w:color w:val="000000" w:themeColor="text1"/>
                <w:sz w:val="20"/>
                <w:szCs w:val="20"/>
              </w:rPr>
              <w:t>Output 8</w:t>
            </w:r>
            <w:r w:rsidRPr="001C02CB">
              <w:rPr>
                <w:rFonts w:ascii="Arial" w:eastAsia="Arial" w:hAnsi="Arial" w:cs="Arial"/>
                <w:color w:val="000000" w:themeColor="text1"/>
                <w:sz w:val="20"/>
                <w:szCs w:val="20"/>
              </w:rPr>
              <w:t>: Viable innovations are rolled out, scaled up, encouraged and/or accelerated.</w:t>
            </w:r>
          </w:p>
          <w:p w14:paraId="1B5C7836" w14:textId="781D8918" w:rsidR="00B118A9" w:rsidRPr="001C02CB" w:rsidRDefault="00B118A9" w:rsidP="00FC2E4E">
            <w:pPr>
              <w:spacing w:after="0" w:line="276" w:lineRule="auto"/>
              <w:rPr>
                <w:rFonts w:ascii="Arial" w:eastAsia="Arial" w:hAnsi="Arial" w:cs="Arial"/>
                <w:color w:val="000000" w:themeColor="text1"/>
                <w:sz w:val="20"/>
                <w:szCs w:val="20"/>
              </w:rPr>
            </w:pPr>
          </w:p>
        </w:tc>
        <w:tc>
          <w:tcPr>
            <w:tcW w:w="1202" w:type="pct"/>
          </w:tcPr>
          <w:p w14:paraId="72600E96" w14:textId="77777777" w:rsidR="00831B6C" w:rsidRPr="001C02CB" w:rsidDel="007B6934" w:rsidRDefault="00831B6C" w:rsidP="00831B6C">
            <w:pPr>
              <w:spacing w:after="0" w:line="276" w:lineRule="auto"/>
              <w:rPr>
                <w:rFonts w:ascii="Arial" w:eastAsia="Arial" w:hAnsi="Arial" w:cs="Arial"/>
                <w:color w:val="000000" w:themeColor="text1"/>
                <w:sz w:val="20"/>
                <w:szCs w:val="20"/>
              </w:rPr>
            </w:pPr>
            <w:r w:rsidRPr="001C02CB">
              <w:rPr>
                <w:rFonts w:ascii="Arial" w:eastAsia="Arial" w:hAnsi="Arial" w:cs="Arial"/>
                <w:color w:val="000000" w:themeColor="text1"/>
                <w:sz w:val="20"/>
                <w:szCs w:val="20"/>
              </w:rPr>
              <w:t xml:space="preserve">8.1. No. of innovative adaptation practices, tools </w:t>
            </w:r>
          </w:p>
          <w:p w14:paraId="6A1C81B5" w14:textId="77777777" w:rsidR="00831B6C" w:rsidRPr="001C02CB" w:rsidDel="007B6934" w:rsidRDefault="00831B6C" w:rsidP="00831B6C">
            <w:pPr>
              <w:spacing w:after="0" w:line="276" w:lineRule="auto"/>
              <w:rPr>
                <w:rFonts w:ascii="Arial" w:eastAsia="Arial" w:hAnsi="Arial" w:cs="Arial"/>
                <w:color w:val="000000" w:themeColor="text1"/>
                <w:sz w:val="20"/>
                <w:szCs w:val="20"/>
              </w:rPr>
            </w:pPr>
            <w:r w:rsidRPr="001C02CB">
              <w:rPr>
                <w:rFonts w:ascii="Arial" w:eastAsia="Arial" w:hAnsi="Arial" w:cs="Arial"/>
                <w:color w:val="000000" w:themeColor="text1"/>
                <w:sz w:val="20"/>
                <w:szCs w:val="20"/>
              </w:rPr>
              <w:t xml:space="preserve">and technologies accelerated, </w:t>
            </w:r>
            <w:proofErr w:type="gramStart"/>
            <w:r w:rsidRPr="001C02CB">
              <w:rPr>
                <w:rFonts w:ascii="Arial" w:eastAsia="Arial" w:hAnsi="Arial" w:cs="Arial"/>
                <w:color w:val="000000" w:themeColor="text1"/>
                <w:sz w:val="20"/>
                <w:szCs w:val="20"/>
              </w:rPr>
              <w:t>scaled-up</w:t>
            </w:r>
            <w:proofErr w:type="gramEnd"/>
            <w:r w:rsidRPr="001C02CB">
              <w:rPr>
                <w:rFonts w:ascii="Arial" w:eastAsia="Arial" w:hAnsi="Arial" w:cs="Arial"/>
                <w:color w:val="000000" w:themeColor="text1"/>
                <w:sz w:val="20"/>
                <w:szCs w:val="20"/>
              </w:rPr>
              <w:t xml:space="preserve"> and/or </w:t>
            </w:r>
          </w:p>
          <w:p w14:paraId="62A8E846" w14:textId="77777777" w:rsidR="00831B6C" w:rsidRPr="001C02CB" w:rsidDel="007B6934" w:rsidRDefault="00831B6C" w:rsidP="00831B6C">
            <w:pPr>
              <w:spacing w:after="0" w:line="276" w:lineRule="auto"/>
              <w:rPr>
                <w:rFonts w:ascii="Arial" w:eastAsia="Arial" w:hAnsi="Arial" w:cs="Arial"/>
                <w:color w:val="000000" w:themeColor="text1"/>
                <w:sz w:val="20"/>
                <w:szCs w:val="20"/>
              </w:rPr>
            </w:pPr>
            <w:r w:rsidRPr="001C02CB">
              <w:rPr>
                <w:rFonts w:ascii="Arial" w:eastAsia="Arial" w:hAnsi="Arial" w:cs="Arial"/>
                <w:color w:val="000000" w:themeColor="text1"/>
                <w:sz w:val="20"/>
                <w:szCs w:val="20"/>
              </w:rPr>
              <w:t>replicated</w:t>
            </w:r>
          </w:p>
          <w:p w14:paraId="6F4D3348" w14:textId="5AEE8F44" w:rsidR="00B118A9" w:rsidRPr="001C02CB" w:rsidRDefault="00B118A9" w:rsidP="00832812">
            <w:pPr>
              <w:spacing w:after="0" w:line="276" w:lineRule="auto"/>
              <w:rPr>
                <w:rFonts w:ascii="Arial" w:eastAsia="Arial" w:hAnsi="Arial" w:cs="Arial"/>
                <w:color w:val="000000" w:themeColor="text1"/>
                <w:sz w:val="20"/>
                <w:szCs w:val="20"/>
              </w:rPr>
            </w:pPr>
          </w:p>
        </w:tc>
        <w:tc>
          <w:tcPr>
            <w:tcW w:w="1025" w:type="pct"/>
          </w:tcPr>
          <w:p w14:paraId="1812EFDE" w14:textId="69E28B8C" w:rsidR="00B118A9" w:rsidRPr="001C02CB" w:rsidRDefault="00B118A9" w:rsidP="00C96C7D">
            <w:pPr>
              <w:spacing w:after="0" w:line="276" w:lineRule="auto"/>
              <w:rPr>
                <w:rFonts w:ascii="Arial" w:eastAsia="Arial" w:hAnsi="Arial" w:cs="Arial"/>
                <w:color w:val="000000" w:themeColor="text1"/>
                <w:sz w:val="20"/>
                <w:szCs w:val="20"/>
              </w:rPr>
            </w:pPr>
            <w:r w:rsidRPr="001C02CB">
              <w:rPr>
                <w:rFonts w:ascii="Arial" w:eastAsia="Arial" w:hAnsi="Arial" w:cs="Arial"/>
                <w:color w:val="000000" w:themeColor="text1"/>
                <w:sz w:val="20"/>
                <w:szCs w:val="20"/>
              </w:rPr>
              <w:t xml:space="preserve">$ </w:t>
            </w:r>
            <w:r w:rsidR="00F0613D" w:rsidRPr="001C02CB">
              <w:rPr>
                <w:rFonts w:ascii="Arial" w:eastAsia="Arial" w:hAnsi="Arial" w:cs="Arial"/>
                <w:color w:val="000000" w:themeColor="text1"/>
                <w:sz w:val="20"/>
                <w:szCs w:val="20"/>
              </w:rPr>
              <w:t>516,980</w:t>
            </w:r>
          </w:p>
        </w:tc>
      </w:tr>
      <w:tr w:rsidR="00B118A9" w:rsidRPr="00306F4D" w14:paraId="0F02AC0D" w14:textId="77777777" w:rsidTr="001C02CB">
        <w:trPr>
          <w:trHeight w:val="2736"/>
        </w:trPr>
        <w:tc>
          <w:tcPr>
            <w:tcW w:w="818" w:type="pct"/>
            <w:vMerge/>
          </w:tcPr>
          <w:p w14:paraId="18413032" w14:textId="77777777" w:rsidR="00B118A9" w:rsidRPr="00306F4D" w:rsidRDefault="00B118A9" w:rsidP="00FC2E4E">
            <w:pPr>
              <w:spacing w:after="0" w:line="276" w:lineRule="auto"/>
              <w:rPr>
                <w:rFonts w:ascii="Arial" w:eastAsia="Arial" w:hAnsi="Arial" w:cs="Arial"/>
                <w:b/>
                <w:color w:val="70AD47" w:themeColor="accent6"/>
                <w:sz w:val="20"/>
                <w:szCs w:val="20"/>
              </w:rPr>
            </w:pPr>
          </w:p>
        </w:tc>
        <w:tc>
          <w:tcPr>
            <w:tcW w:w="985" w:type="pct"/>
            <w:vMerge/>
          </w:tcPr>
          <w:p w14:paraId="17E2A9E2" w14:textId="77777777" w:rsidR="00B118A9" w:rsidRPr="001C02CB" w:rsidRDefault="00B118A9" w:rsidP="00FC2E4E">
            <w:pPr>
              <w:spacing w:after="0" w:line="276" w:lineRule="auto"/>
              <w:rPr>
                <w:rFonts w:ascii="Arial" w:eastAsia="Arial" w:hAnsi="Arial" w:cs="Arial"/>
                <w:color w:val="000000" w:themeColor="text1"/>
                <w:sz w:val="20"/>
                <w:szCs w:val="20"/>
                <w:lang w:val="en-GB"/>
              </w:rPr>
            </w:pPr>
          </w:p>
        </w:tc>
        <w:tc>
          <w:tcPr>
            <w:tcW w:w="971" w:type="pct"/>
          </w:tcPr>
          <w:p w14:paraId="2BE1B8CC" w14:textId="77777777" w:rsidR="00B118A9" w:rsidRPr="007634CA" w:rsidRDefault="00B118A9" w:rsidP="00B118A9">
            <w:pPr>
              <w:spacing w:after="0" w:line="276" w:lineRule="auto"/>
              <w:rPr>
                <w:rFonts w:ascii="Arial" w:eastAsia="Arial" w:hAnsi="Arial" w:cs="Arial"/>
                <w:b/>
                <w:bCs/>
                <w:color w:val="000000" w:themeColor="text1"/>
                <w:sz w:val="20"/>
                <w:szCs w:val="20"/>
              </w:rPr>
            </w:pPr>
            <w:r w:rsidRPr="007634CA">
              <w:rPr>
                <w:rFonts w:ascii="Arial" w:eastAsia="Arial" w:hAnsi="Arial" w:cs="Arial"/>
                <w:b/>
                <w:bCs/>
                <w:color w:val="000000" w:themeColor="text1"/>
                <w:sz w:val="20"/>
                <w:szCs w:val="20"/>
              </w:rPr>
              <w:t>Output 3.2:</w:t>
            </w:r>
          </w:p>
          <w:p w14:paraId="6D9C1406" w14:textId="77777777" w:rsidR="00B118A9" w:rsidRPr="001C02CB" w:rsidRDefault="00B118A9" w:rsidP="00B118A9">
            <w:pPr>
              <w:spacing w:after="0" w:line="276" w:lineRule="auto"/>
              <w:rPr>
                <w:rFonts w:ascii="Arial" w:eastAsia="Arial" w:hAnsi="Arial" w:cs="Arial"/>
                <w:b/>
                <w:bCs/>
                <w:color w:val="000000" w:themeColor="text1"/>
                <w:sz w:val="20"/>
                <w:szCs w:val="20"/>
              </w:rPr>
            </w:pPr>
            <w:r w:rsidRPr="001C02CB">
              <w:rPr>
                <w:rFonts w:ascii="Arial" w:eastAsia="Arial" w:hAnsi="Arial" w:cs="Arial"/>
                <w:color w:val="000000" w:themeColor="text1"/>
                <w:sz w:val="20"/>
                <w:szCs w:val="20"/>
              </w:rPr>
              <w:t>Strengthened capacity of national and subnational stakeholders and entities to capture and disseminate knowledge and learning</w:t>
            </w:r>
          </w:p>
        </w:tc>
        <w:tc>
          <w:tcPr>
            <w:tcW w:w="1202" w:type="pct"/>
          </w:tcPr>
          <w:p w14:paraId="626D24DC" w14:textId="77777777" w:rsidR="00B118A9" w:rsidRPr="001C02CB" w:rsidRDefault="00B118A9" w:rsidP="00B118A9">
            <w:pPr>
              <w:spacing w:after="0" w:line="276" w:lineRule="auto"/>
              <w:rPr>
                <w:rFonts w:ascii="Arial" w:eastAsia="Arial" w:hAnsi="Arial" w:cs="Arial"/>
                <w:color w:val="000000" w:themeColor="text1"/>
                <w:sz w:val="20"/>
                <w:szCs w:val="20"/>
              </w:rPr>
            </w:pPr>
          </w:p>
          <w:p w14:paraId="17B90A9D" w14:textId="27D7F691" w:rsidR="00976CB3" w:rsidRPr="001C02CB" w:rsidRDefault="00B118A9" w:rsidP="001C02CB">
            <w:pPr>
              <w:spacing w:after="0" w:line="276" w:lineRule="auto"/>
              <w:rPr>
                <w:rFonts w:ascii="Arial" w:eastAsia="Arial" w:hAnsi="Arial" w:cs="Arial"/>
                <w:color w:val="000000" w:themeColor="text1"/>
                <w:sz w:val="20"/>
                <w:szCs w:val="20"/>
              </w:rPr>
            </w:pPr>
            <w:r w:rsidRPr="001C02CB">
              <w:rPr>
                <w:rFonts w:ascii="Arial" w:eastAsia="Arial" w:hAnsi="Arial" w:cs="Arial"/>
                <w:color w:val="000000" w:themeColor="text1"/>
                <w:sz w:val="20"/>
                <w:szCs w:val="20"/>
              </w:rPr>
              <w:t>3.2.2 No. of tools and guidelines developed (thematic, sectoral, institutional) and shared with relevant stakeholders</w:t>
            </w:r>
          </w:p>
        </w:tc>
        <w:tc>
          <w:tcPr>
            <w:tcW w:w="1025" w:type="pct"/>
          </w:tcPr>
          <w:p w14:paraId="30D8FA2F" w14:textId="67E107FC" w:rsidR="00B118A9" w:rsidRPr="001C02CB" w:rsidRDefault="00B62C46" w:rsidP="00C96C7D">
            <w:pPr>
              <w:spacing w:after="0" w:line="276" w:lineRule="auto"/>
              <w:rPr>
                <w:rFonts w:ascii="Arial" w:eastAsia="Arial" w:hAnsi="Arial" w:cs="Arial"/>
                <w:color w:val="000000" w:themeColor="text1"/>
                <w:sz w:val="20"/>
                <w:szCs w:val="20"/>
              </w:rPr>
            </w:pPr>
            <w:r w:rsidRPr="001C02CB">
              <w:rPr>
                <w:rFonts w:ascii="Arial" w:eastAsia="Arial" w:hAnsi="Arial" w:cs="Arial"/>
                <w:color w:val="000000" w:themeColor="text1"/>
                <w:sz w:val="20"/>
                <w:szCs w:val="20"/>
              </w:rPr>
              <w:t>$ 464,676</w:t>
            </w:r>
          </w:p>
        </w:tc>
      </w:tr>
      <w:tr w:rsidR="0029125A" w:rsidRPr="00306F4D" w14:paraId="7CC9F5AF" w14:textId="59A27B1E" w:rsidTr="003A2E26">
        <w:trPr>
          <w:trHeight w:val="300"/>
        </w:trPr>
        <w:tc>
          <w:tcPr>
            <w:tcW w:w="818" w:type="pct"/>
          </w:tcPr>
          <w:p w14:paraId="41D30CDC" w14:textId="77777777" w:rsidR="0029125A" w:rsidRPr="00306F4D" w:rsidRDefault="0029125A" w:rsidP="00FC2E4E">
            <w:pPr>
              <w:spacing w:after="0" w:line="276" w:lineRule="auto"/>
              <w:rPr>
                <w:rFonts w:ascii="Arial" w:eastAsia="Arial" w:hAnsi="Arial" w:cs="Arial"/>
                <w:b/>
                <w:color w:val="70AD47" w:themeColor="accent6"/>
                <w:sz w:val="20"/>
                <w:szCs w:val="20"/>
              </w:rPr>
            </w:pPr>
            <w:r w:rsidRPr="00306F4D">
              <w:rPr>
                <w:rFonts w:ascii="Arial" w:eastAsia="Arial" w:hAnsi="Arial" w:cs="Arial"/>
                <w:b/>
                <w:color w:val="70AD47" w:themeColor="accent6"/>
                <w:sz w:val="20"/>
                <w:szCs w:val="20"/>
              </w:rPr>
              <w:t xml:space="preserve">AF MTS ER1, ER4 </w:t>
            </w:r>
          </w:p>
          <w:p w14:paraId="6409F325" w14:textId="3E649D7E" w:rsidR="0029125A" w:rsidRPr="00306F4D" w:rsidRDefault="60ACF09E" w:rsidP="001C02CB">
            <w:pPr>
              <w:spacing w:after="0" w:line="276" w:lineRule="auto"/>
              <w:rPr>
                <w:rFonts w:ascii="Arial" w:eastAsia="Arial" w:hAnsi="Arial" w:cs="Arial"/>
                <w:b/>
                <w:color w:val="70AD47" w:themeColor="accent6"/>
                <w:sz w:val="20"/>
                <w:szCs w:val="20"/>
              </w:rPr>
            </w:pPr>
            <w:r w:rsidRPr="001C02CB">
              <w:rPr>
                <w:rFonts w:ascii="Arial" w:eastAsia="Arial" w:hAnsi="Arial" w:cs="Arial"/>
                <w:b/>
                <w:bCs/>
                <w:color w:val="000000" w:themeColor="text1"/>
                <w:sz w:val="20"/>
                <w:szCs w:val="20"/>
                <w:lang w:val="en-GB"/>
              </w:rPr>
              <w:t>Outcome 3:</w:t>
            </w:r>
            <w:r w:rsidRPr="00306F4D">
              <w:rPr>
                <w:rFonts w:ascii="Arial" w:eastAsia="Arial" w:hAnsi="Arial" w:cs="Arial"/>
                <w:color w:val="000000" w:themeColor="text1"/>
                <w:sz w:val="20"/>
                <w:szCs w:val="20"/>
                <w:lang w:val="en-GB"/>
              </w:rPr>
              <w:t xml:space="preserve"> Knowledge, evidence, and lessons from adaptation </w:t>
            </w:r>
            <w:r w:rsidRPr="00306F4D">
              <w:rPr>
                <w:rFonts w:ascii="Arial" w:eastAsia="Arial" w:hAnsi="Arial" w:cs="Arial"/>
                <w:color w:val="000000" w:themeColor="text1"/>
                <w:sz w:val="20"/>
                <w:szCs w:val="20"/>
                <w:lang w:val="en-GB"/>
              </w:rPr>
              <w:lastRenderedPageBreak/>
              <w:t xml:space="preserve">innovations are captured, shared, and leveraged to inform replication, scale and policy engagement across the Western Balkans through regional learning platform and global networks. </w:t>
            </w:r>
          </w:p>
        </w:tc>
        <w:tc>
          <w:tcPr>
            <w:tcW w:w="985" w:type="pct"/>
          </w:tcPr>
          <w:p w14:paraId="6CC1BCD6" w14:textId="5A447C1A" w:rsidR="0029125A" w:rsidRPr="001C02CB" w:rsidRDefault="00A0692D" w:rsidP="00FC2E4E">
            <w:pPr>
              <w:spacing w:after="0" w:line="276" w:lineRule="auto"/>
              <w:rPr>
                <w:rFonts w:ascii="Arial" w:eastAsia="Arial" w:hAnsi="Arial" w:cs="Arial"/>
                <w:color w:val="000000" w:themeColor="text1"/>
                <w:sz w:val="20"/>
                <w:szCs w:val="20"/>
                <w:lang w:val="en-GB"/>
              </w:rPr>
            </w:pPr>
            <w:r w:rsidRPr="001C02CB">
              <w:rPr>
                <w:rFonts w:ascii="Arial" w:eastAsia="Arial" w:hAnsi="Arial" w:cs="Arial"/>
                <w:sz w:val="20"/>
                <w:szCs w:val="20"/>
                <w:lang w:val="en-GB"/>
              </w:rPr>
              <w:lastRenderedPageBreak/>
              <w:t>Number of citation and/or adoption of shared lessons learned and codified knowledge</w:t>
            </w:r>
          </w:p>
        </w:tc>
        <w:tc>
          <w:tcPr>
            <w:tcW w:w="971" w:type="pct"/>
          </w:tcPr>
          <w:p w14:paraId="3665ADE7" w14:textId="77777777" w:rsidR="0029125A" w:rsidRPr="001C02CB" w:rsidRDefault="26D91588" w:rsidP="338C5E83">
            <w:pPr>
              <w:spacing w:after="0" w:line="276" w:lineRule="auto"/>
              <w:rPr>
                <w:rFonts w:ascii="Arial" w:eastAsia="Arial" w:hAnsi="Arial" w:cs="Arial"/>
                <w:b/>
                <w:bCs/>
                <w:color w:val="000000" w:themeColor="text1"/>
                <w:sz w:val="20"/>
                <w:szCs w:val="20"/>
              </w:rPr>
            </w:pPr>
            <w:r w:rsidRPr="001C02CB">
              <w:rPr>
                <w:rFonts w:ascii="Arial" w:eastAsia="Arial" w:hAnsi="Arial" w:cs="Arial"/>
                <w:b/>
                <w:bCs/>
                <w:color w:val="000000" w:themeColor="text1"/>
                <w:sz w:val="20"/>
                <w:szCs w:val="20"/>
              </w:rPr>
              <w:t>Output 8</w:t>
            </w:r>
            <w:r w:rsidRPr="001C02CB">
              <w:rPr>
                <w:rFonts w:ascii="Arial" w:eastAsia="Arial" w:hAnsi="Arial" w:cs="Arial"/>
                <w:color w:val="000000" w:themeColor="text1"/>
                <w:sz w:val="20"/>
                <w:szCs w:val="20"/>
              </w:rPr>
              <w:t>: Viable innovations are rolled out, scaled up, encouraged and/or accelerated.</w:t>
            </w:r>
          </w:p>
          <w:p w14:paraId="75CD4D02" w14:textId="77777777" w:rsidR="0029125A" w:rsidRPr="001C02CB" w:rsidRDefault="0029125A" w:rsidP="00FC2E4E">
            <w:pPr>
              <w:spacing w:after="0" w:line="276" w:lineRule="auto"/>
              <w:rPr>
                <w:rFonts w:ascii="Arial" w:eastAsia="Arial" w:hAnsi="Arial" w:cs="Arial"/>
                <w:b/>
                <w:color w:val="000000" w:themeColor="text1"/>
                <w:sz w:val="20"/>
                <w:szCs w:val="20"/>
              </w:rPr>
            </w:pPr>
          </w:p>
          <w:p w14:paraId="60103A9D" w14:textId="77777777" w:rsidR="0029125A" w:rsidRPr="001C02CB" w:rsidRDefault="0029125A" w:rsidP="00FC2E4E">
            <w:pPr>
              <w:spacing w:after="0" w:line="276" w:lineRule="auto"/>
              <w:rPr>
                <w:rFonts w:ascii="Arial" w:eastAsia="Arial" w:hAnsi="Arial" w:cs="Arial"/>
                <w:b/>
                <w:color w:val="000000" w:themeColor="text1"/>
                <w:sz w:val="20"/>
                <w:szCs w:val="20"/>
              </w:rPr>
            </w:pPr>
          </w:p>
          <w:p w14:paraId="5F765B3F" w14:textId="77777777" w:rsidR="0029125A" w:rsidRPr="001C02CB" w:rsidRDefault="0029125A" w:rsidP="00FC2E4E">
            <w:pPr>
              <w:spacing w:after="0" w:line="276" w:lineRule="auto"/>
              <w:rPr>
                <w:rFonts w:ascii="Arial" w:eastAsia="Arial" w:hAnsi="Arial" w:cs="Arial"/>
                <w:b/>
                <w:color w:val="000000" w:themeColor="text1"/>
                <w:sz w:val="20"/>
                <w:szCs w:val="20"/>
              </w:rPr>
            </w:pPr>
          </w:p>
        </w:tc>
        <w:tc>
          <w:tcPr>
            <w:tcW w:w="1202" w:type="pct"/>
          </w:tcPr>
          <w:p w14:paraId="30FB12EC" w14:textId="77777777" w:rsidR="00832812" w:rsidRPr="001C02CB" w:rsidDel="00D37CC5" w:rsidRDefault="00832812" w:rsidP="00832812">
            <w:pPr>
              <w:spacing w:after="0" w:line="276" w:lineRule="auto"/>
              <w:rPr>
                <w:rFonts w:ascii="Arial" w:eastAsia="Arial" w:hAnsi="Arial" w:cs="Arial"/>
                <w:color w:val="000000" w:themeColor="text1"/>
                <w:sz w:val="20"/>
                <w:szCs w:val="20"/>
              </w:rPr>
            </w:pPr>
            <w:r w:rsidRPr="001C02CB">
              <w:rPr>
                <w:rFonts w:ascii="Arial" w:eastAsia="Arial" w:hAnsi="Arial" w:cs="Arial"/>
                <w:color w:val="000000" w:themeColor="text1"/>
                <w:sz w:val="20"/>
                <w:szCs w:val="20"/>
              </w:rPr>
              <w:lastRenderedPageBreak/>
              <w:t xml:space="preserve">8.2. No. of key findings on effective, efficient adaptation practices, products and technologies generated </w:t>
            </w:r>
          </w:p>
          <w:p w14:paraId="559785F6" w14:textId="77777777" w:rsidR="00832812" w:rsidRPr="001C02CB" w:rsidDel="007B6934" w:rsidRDefault="00832812" w:rsidP="00FC2E4E">
            <w:pPr>
              <w:spacing w:after="0" w:line="276" w:lineRule="auto"/>
              <w:rPr>
                <w:rFonts w:ascii="Arial" w:eastAsia="Arial" w:hAnsi="Arial" w:cs="Arial"/>
                <w:color w:val="000000" w:themeColor="text1"/>
                <w:sz w:val="20"/>
                <w:szCs w:val="20"/>
              </w:rPr>
            </w:pPr>
          </w:p>
          <w:p w14:paraId="35A11F49" w14:textId="77777777" w:rsidR="0029125A" w:rsidRPr="001C02CB" w:rsidRDefault="0029125A" w:rsidP="00FC2E4E">
            <w:pPr>
              <w:spacing w:after="0" w:line="276" w:lineRule="auto"/>
              <w:rPr>
                <w:rFonts w:ascii="Arial" w:eastAsia="Arial" w:hAnsi="Arial" w:cs="Arial"/>
                <w:color w:val="000000" w:themeColor="text1"/>
                <w:sz w:val="20"/>
                <w:szCs w:val="20"/>
              </w:rPr>
            </w:pPr>
          </w:p>
          <w:p w14:paraId="5A976351" w14:textId="77777777" w:rsidR="0029125A" w:rsidRPr="001C02CB" w:rsidRDefault="0029125A" w:rsidP="00FC2E4E">
            <w:pPr>
              <w:spacing w:after="0" w:line="276" w:lineRule="auto"/>
              <w:rPr>
                <w:rFonts w:ascii="Arial" w:eastAsia="Arial" w:hAnsi="Arial" w:cs="Arial"/>
                <w:color w:val="000000" w:themeColor="text1"/>
                <w:sz w:val="20"/>
                <w:szCs w:val="20"/>
              </w:rPr>
            </w:pPr>
          </w:p>
        </w:tc>
        <w:tc>
          <w:tcPr>
            <w:tcW w:w="1025" w:type="pct"/>
          </w:tcPr>
          <w:p w14:paraId="16874C6D" w14:textId="398D7BDF" w:rsidR="00145980" w:rsidRPr="001C02CB" w:rsidRDefault="00145980" w:rsidP="00145980">
            <w:pPr>
              <w:spacing w:after="0" w:line="276" w:lineRule="auto"/>
              <w:rPr>
                <w:rFonts w:ascii="Arial" w:eastAsia="Arial" w:hAnsi="Arial" w:cs="Arial"/>
                <w:color w:val="000000" w:themeColor="text1"/>
                <w:sz w:val="20"/>
                <w:szCs w:val="20"/>
              </w:rPr>
            </w:pPr>
            <w:r w:rsidRPr="001C02CB">
              <w:rPr>
                <w:rFonts w:ascii="Arial" w:eastAsia="Arial" w:hAnsi="Arial" w:cs="Arial"/>
                <w:color w:val="000000" w:themeColor="text1"/>
                <w:sz w:val="20"/>
                <w:szCs w:val="20"/>
              </w:rPr>
              <w:lastRenderedPageBreak/>
              <w:t>$</w:t>
            </w:r>
            <w:r w:rsidR="009506DE" w:rsidRPr="001C02CB">
              <w:rPr>
                <w:rFonts w:ascii="Arial" w:eastAsia="Arial" w:hAnsi="Arial" w:cs="Arial"/>
                <w:color w:val="000000" w:themeColor="text1"/>
                <w:sz w:val="20"/>
                <w:szCs w:val="20"/>
              </w:rPr>
              <w:t xml:space="preserve"> 638</w:t>
            </w:r>
            <w:r w:rsidRPr="001C02CB">
              <w:rPr>
                <w:rFonts w:ascii="Arial" w:eastAsia="Arial" w:hAnsi="Arial" w:cs="Arial"/>
                <w:color w:val="000000" w:themeColor="text1"/>
                <w:sz w:val="20"/>
                <w:szCs w:val="20"/>
              </w:rPr>
              <w:t>,</w:t>
            </w:r>
            <w:r w:rsidR="00D64D5D" w:rsidRPr="001C02CB">
              <w:rPr>
                <w:rFonts w:ascii="Arial" w:eastAsia="Arial" w:hAnsi="Arial" w:cs="Arial"/>
                <w:color w:val="000000" w:themeColor="text1"/>
                <w:sz w:val="20"/>
                <w:szCs w:val="20"/>
              </w:rPr>
              <w:t>24</w:t>
            </w:r>
            <w:r w:rsidR="006B13D0" w:rsidRPr="001C02CB">
              <w:rPr>
                <w:rFonts w:ascii="Arial" w:eastAsia="Arial" w:hAnsi="Arial" w:cs="Arial"/>
                <w:color w:val="000000" w:themeColor="text1"/>
                <w:sz w:val="20"/>
                <w:szCs w:val="20"/>
              </w:rPr>
              <w:t>6</w:t>
            </w:r>
          </w:p>
        </w:tc>
      </w:tr>
    </w:tbl>
    <w:p w14:paraId="6DC42B87" w14:textId="77777777" w:rsidR="002D21DC" w:rsidRPr="00306F4D" w:rsidRDefault="002D21DC" w:rsidP="00A40523">
      <w:pPr>
        <w:pStyle w:val="Footer"/>
        <w:tabs>
          <w:tab w:val="clear" w:pos="4680"/>
          <w:tab w:val="clear" w:pos="9360"/>
          <w:tab w:val="num" w:pos="360"/>
        </w:tabs>
        <w:spacing w:line="276" w:lineRule="auto"/>
        <w:rPr>
          <w:rFonts w:ascii="Arial" w:eastAsia="Arial" w:hAnsi="Arial" w:cs="Arial"/>
          <w:sz w:val="20"/>
          <w:szCs w:val="20"/>
          <w:lang w:val="en-GB"/>
        </w:rPr>
        <w:sectPr w:rsidR="002D21DC" w:rsidRPr="00306F4D" w:rsidSect="0097496C">
          <w:headerReference w:type="default" r:id="rId66"/>
          <w:footerReference w:type="default" r:id="rId67"/>
          <w:headerReference w:type="first" r:id="rId68"/>
          <w:footerReference w:type="first" r:id="rId69"/>
          <w:type w:val="continuous"/>
          <w:pgSz w:w="12240" w:h="15840"/>
          <w:pgMar w:top="737" w:right="1134" w:bottom="1134" w:left="1134" w:header="726" w:footer="1038" w:gutter="0"/>
          <w:cols w:space="720"/>
          <w:docGrid w:linePitch="299"/>
        </w:sectPr>
      </w:pPr>
    </w:p>
    <w:p w14:paraId="4834E16C" w14:textId="77777777" w:rsidR="00A40523" w:rsidRPr="00306F4D" w:rsidRDefault="00A40523" w:rsidP="00A40523">
      <w:pPr>
        <w:pStyle w:val="Footer"/>
        <w:tabs>
          <w:tab w:val="clear" w:pos="4680"/>
          <w:tab w:val="clear" w:pos="9360"/>
          <w:tab w:val="num" w:pos="360"/>
        </w:tabs>
        <w:spacing w:line="276" w:lineRule="auto"/>
        <w:rPr>
          <w:rFonts w:ascii="Arial" w:eastAsia="Arial" w:hAnsi="Arial" w:cs="Arial"/>
          <w:sz w:val="20"/>
          <w:szCs w:val="20"/>
          <w:lang w:val="en-GB"/>
        </w:rPr>
      </w:pPr>
    </w:p>
    <w:p w14:paraId="06CD1B00" w14:textId="77777777" w:rsidR="00194E7B" w:rsidRPr="00306F4D" w:rsidRDefault="00194E7B" w:rsidP="00194E7B">
      <w:pPr>
        <w:pStyle w:val="Footer"/>
        <w:numPr>
          <w:ilvl w:val="0"/>
          <w:numId w:val="24"/>
        </w:numPr>
        <w:tabs>
          <w:tab w:val="clear" w:pos="720"/>
          <w:tab w:val="clear" w:pos="4680"/>
          <w:tab w:val="clear" w:pos="9360"/>
          <w:tab w:val="num" w:pos="360"/>
        </w:tabs>
        <w:spacing w:line="276" w:lineRule="auto"/>
        <w:ind w:left="360"/>
        <w:rPr>
          <w:rFonts w:ascii="Arial" w:eastAsia="Arial" w:hAnsi="Arial" w:cs="Arial"/>
          <w:color w:val="A6A6A6" w:themeColor="background1" w:themeShade="A6"/>
          <w:lang w:val="en-GB"/>
        </w:rPr>
      </w:pPr>
      <w:r w:rsidRPr="00306F4D">
        <w:rPr>
          <w:rFonts w:ascii="Arial" w:eastAsia="Arial" w:hAnsi="Arial" w:cs="Arial"/>
          <w:color w:val="A6A6A6" w:themeColor="background1" w:themeShade="A6"/>
          <w:lang w:val="en-GB"/>
        </w:rPr>
        <w:t>Include a detailed budget with budget notes, broken down by country as applicable, a budget on the Implementing Entity management fee use, and an explanation and a breakdown of the execution costs.</w:t>
      </w:r>
    </w:p>
    <w:p w14:paraId="534E883B" w14:textId="77777777" w:rsidR="00194E7B" w:rsidRPr="00306F4D" w:rsidRDefault="00194E7B" w:rsidP="00A40523">
      <w:pPr>
        <w:pStyle w:val="Footer"/>
        <w:tabs>
          <w:tab w:val="clear" w:pos="4680"/>
          <w:tab w:val="clear" w:pos="9360"/>
          <w:tab w:val="num" w:pos="360"/>
        </w:tabs>
        <w:spacing w:line="276" w:lineRule="auto"/>
        <w:rPr>
          <w:rFonts w:ascii="Arial" w:eastAsia="Arial" w:hAnsi="Arial" w:cs="Arial"/>
          <w:sz w:val="20"/>
          <w:szCs w:val="20"/>
          <w:lang w:val="en-GB"/>
        </w:rPr>
      </w:pPr>
    </w:p>
    <w:p w14:paraId="0276A5BE" w14:textId="4A6038CB" w:rsidR="007020E9" w:rsidRPr="00306F4D" w:rsidRDefault="00885CF9" w:rsidP="005A4D58">
      <w:pPr>
        <w:pStyle w:val="Heading2"/>
        <w:spacing w:line="276" w:lineRule="auto"/>
        <w:rPr>
          <w:rFonts w:ascii="Arial" w:eastAsia="Arial" w:hAnsi="Arial" w:cs="Arial"/>
          <w:b/>
          <w:bCs/>
          <w:sz w:val="20"/>
          <w:szCs w:val="20"/>
        </w:rPr>
      </w:pPr>
      <w:bookmarkStart w:id="209" w:name="_Toc180863574"/>
      <w:bookmarkStart w:id="210" w:name="_Toc1536567901"/>
      <w:bookmarkStart w:id="211" w:name="_Toc202165728"/>
      <w:bookmarkStart w:id="212" w:name="_Toc202893760"/>
      <w:r w:rsidRPr="00306F4D">
        <w:rPr>
          <w:rFonts w:ascii="Arial" w:eastAsia="Arial" w:hAnsi="Arial" w:cs="Arial"/>
          <w:b/>
          <w:sz w:val="20"/>
          <w:szCs w:val="20"/>
        </w:rPr>
        <w:t>G.1. The Detailed Budget and Execution Costs Breakdown with Budget Notes and the Implementing Entity Management Fee</w:t>
      </w:r>
    </w:p>
    <w:p w14:paraId="1F4B4184" w14:textId="77777777" w:rsidR="00885CF9" w:rsidRPr="00306F4D" w:rsidRDefault="00885CF9" w:rsidP="00885CF9">
      <w:pPr>
        <w:pStyle w:val="Heading2"/>
        <w:spacing w:line="276" w:lineRule="auto"/>
        <w:rPr>
          <w:rFonts w:ascii="Arial" w:eastAsia="Arial" w:hAnsi="Arial" w:cs="Arial"/>
          <w:sz w:val="20"/>
          <w:szCs w:val="20"/>
        </w:rPr>
      </w:pPr>
      <w:r w:rsidRPr="00306F4D">
        <w:rPr>
          <w:rFonts w:ascii="Arial" w:eastAsia="Arial" w:hAnsi="Arial" w:cs="Arial"/>
          <w:sz w:val="20"/>
          <w:szCs w:val="20"/>
        </w:rPr>
        <w:t xml:space="preserve">All related budget components — including the detailed budget, execution costs breakdown, budget notes, and the MIE management fee — are presented in </w:t>
      </w:r>
      <w:r w:rsidRPr="00306F4D">
        <w:rPr>
          <w:rFonts w:ascii="Arial" w:eastAsia="Arial" w:hAnsi="Arial" w:cs="Arial"/>
          <w:b/>
          <w:bCs/>
          <w:sz w:val="20"/>
          <w:szCs w:val="20"/>
        </w:rPr>
        <w:t>Annex 8</w:t>
      </w:r>
      <w:r w:rsidRPr="00306F4D">
        <w:rPr>
          <w:rFonts w:ascii="Arial" w:eastAsia="Arial" w:hAnsi="Arial" w:cs="Arial"/>
          <w:sz w:val="20"/>
          <w:szCs w:val="20"/>
        </w:rPr>
        <w:t xml:space="preserve"> as a separate file.</w:t>
      </w:r>
    </w:p>
    <w:p w14:paraId="166B7267" w14:textId="4B400214" w:rsidR="2CB98197" w:rsidRPr="00306F4D" w:rsidRDefault="2CB98197">
      <w:pPr>
        <w:rPr>
          <w:rFonts w:ascii="Arial" w:hAnsi="Arial" w:cs="Arial"/>
          <w:b/>
        </w:rPr>
      </w:pPr>
    </w:p>
    <w:tbl>
      <w:tblPr>
        <w:tblW w:w="14480" w:type="dxa"/>
        <w:tblLook w:val="04A0" w:firstRow="1" w:lastRow="0" w:firstColumn="1" w:lastColumn="0" w:noHBand="0" w:noVBand="1"/>
      </w:tblPr>
      <w:tblGrid>
        <w:gridCol w:w="1250"/>
        <w:gridCol w:w="1460"/>
        <w:gridCol w:w="1036"/>
        <w:gridCol w:w="834"/>
        <w:gridCol w:w="834"/>
        <w:gridCol w:w="966"/>
        <w:gridCol w:w="990"/>
        <w:gridCol w:w="1620"/>
        <w:gridCol w:w="990"/>
        <w:gridCol w:w="990"/>
        <w:gridCol w:w="900"/>
        <w:gridCol w:w="900"/>
        <w:gridCol w:w="990"/>
        <w:gridCol w:w="720"/>
      </w:tblGrid>
      <w:tr w:rsidR="00773071" w:rsidRPr="003A4C20" w14:paraId="738E75E5" w14:textId="77777777" w:rsidTr="00773071">
        <w:trPr>
          <w:trHeight w:val="850"/>
        </w:trPr>
        <w:tc>
          <w:tcPr>
            <w:tcW w:w="1250" w:type="dxa"/>
            <w:tcBorders>
              <w:top w:val="single" w:sz="8" w:space="0" w:color="auto"/>
              <w:left w:val="single" w:sz="8" w:space="0" w:color="auto"/>
              <w:bottom w:val="nil"/>
              <w:right w:val="single" w:sz="4" w:space="0" w:color="auto"/>
            </w:tcBorders>
            <w:shd w:val="clear" w:color="000000" w:fill="215C98"/>
            <w:vAlign w:val="center"/>
            <w:hideMark/>
          </w:tcPr>
          <w:p w14:paraId="26A665FD" w14:textId="77777777" w:rsidR="003A4C20" w:rsidRPr="003A4C20" w:rsidRDefault="003A4C20" w:rsidP="003A4C20">
            <w:pPr>
              <w:spacing w:after="0" w:line="240" w:lineRule="auto"/>
              <w:jc w:val="center"/>
              <w:rPr>
                <w:rFonts w:ascii="Aptos Narrow" w:eastAsia="Times New Roman" w:hAnsi="Aptos Narrow" w:cs="Times New Roman"/>
                <w:b/>
                <w:bCs/>
                <w:color w:val="FFFFFF"/>
                <w:sz w:val="16"/>
                <w:szCs w:val="16"/>
              </w:rPr>
            </w:pPr>
            <w:r w:rsidRPr="003A4C20">
              <w:rPr>
                <w:rFonts w:ascii="Aptos Narrow" w:eastAsia="Times New Roman" w:hAnsi="Aptos Narrow" w:cs="Times New Roman"/>
                <w:b/>
                <w:bCs/>
                <w:color w:val="FFFFFF"/>
                <w:sz w:val="16"/>
                <w:szCs w:val="16"/>
              </w:rPr>
              <w:t>Quantum Outcome</w:t>
            </w:r>
            <w:r w:rsidRPr="003A4C20">
              <w:rPr>
                <w:rFonts w:ascii="Aptos Narrow" w:eastAsia="Times New Roman" w:hAnsi="Aptos Narrow" w:cs="Times New Roman"/>
                <w:b/>
                <w:bCs/>
                <w:color w:val="FFFFFF"/>
                <w:sz w:val="16"/>
                <w:szCs w:val="16"/>
              </w:rPr>
              <w:br/>
              <w:t>(AF Component)</w:t>
            </w:r>
          </w:p>
        </w:tc>
        <w:tc>
          <w:tcPr>
            <w:tcW w:w="1460" w:type="dxa"/>
            <w:tcBorders>
              <w:top w:val="single" w:sz="8" w:space="0" w:color="auto"/>
              <w:left w:val="nil"/>
              <w:bottom w:val="nil"/>
              <w:right w:val="single" w:sz="4" w:space="0" w:color="auto"/>
            </w:tcBorders>
            <w:shd w:val="clear" w:color="000000" w:fill="215C98"/>
            <w:vAlign w:val="center"/>
            <w:hideMark/>
          </w:tcPr>
          <w:p w14:paraId="58A35C06" w14:textId="77777777" w:rsidR="003A4C20" w:rsidRPr="003A4C20" w:rsidRDefault="003A4C20" w:rsidP="003A4C20">
            <w:pPr>
              <w:spacing w:after="0" w:line="240" w:lineRule="auto"/>
              <w:jc w:val="center"/>
              <w:rPr>
                <w:rFonts w:ascii="Aptos Narrow" w:eastAsia="Times New Roman" w:hAnsi="Aptos Narrow" w:cs="Times New Roman"/>
                <w:b/>
                <w:bCs/>
                <w:color w:val="FFFFFF"/>
                <w:sz w:val="16"/>
                <w:szCs w:val="16"/>
              </w:rPr>
            </w:pPr>
            <w:r w:rsidRPr="003A4C20">
              <w:rPr>
                <w:rFonts w:ascii="Aptos Narrow" w:eastAsia="Times New Roman" w:hAnsi="Aptos Narrow" w:cs="Times New Roman"/>
                <w:b/>
                <w:bCs/>
                <w:color w:val="FFFFFF"/>
                <w:sz w:val="16"/>
                <w:szCs w:val="16"/>
              </w:rPr>
              <w:t>Quantum Output</w:t>
            </w:r>
            <w:r w:rsidRPr="003A4C20">
              <w:rPr>
                <w:rFonts w:ascii="Aptos Narrow" w:eastAsia="Times New Roman" w:hAnsi="Aptos Narrow" w:cs="Times New Roman"/>
                <w:b/>
                <w:bCs/>
                <w:color w:val="FFFFFF"/>
                <w:sz w:val="16"/>
                <w:szCs w:val="16"/>
              </w:rPr>
              <w:br/>
              <w:t>(AF Outcome)</w:t>
            </w:r>
          </w:p>
        </w:tc>
        <w:tc>
          <w:tcPr>
            <w:tcW w:w="1036" w:type="dxa"/>
            <w:tcBorders>
              <w:top w:val="single" w:sz="8" w:space="0" w:color="auto"/>
              <w:left w:val="nil"/>
              <w:bottom w:val="nil"/>
              <w:right w:val="single" w:sz="4" w:space="0" w:color="auto"/>
            </w:tcBorders>
            <w:shd w:val="clear" w:color="000000" w:fill="215C98"/>
            <w:vAlign w:val="center"/>
            <w:hideMark/>
          </w:tcPr>
          <w:p w14:paraId="0E0E261A" w14:textId="77777777" w:rsidR="003A4C20" w:rsidRPr="003A4C20" w:rsidRDefault="003A4C20" w:rsidP="003A4C20">
            <w:pPr>
              <w:spacing w:after="0" w:line="240" w:lineRule="auto"/>
              <w:jc w:val="center"/>
              <w:rPr>
                <w:rFonts w:ascii="Aptos Narrow" w:eastAsia="Times New Roman" w:hAnsi="Aptos Narrow" w:cs="Times New Roman"/>
                <w:b/>
                <w:bCs/>
                <w:color w:val="FFFFFF"/>
                <w:sz w:val="16"/>
                <w:szCs w:val="16"/>
              </w:rPr>
            </w:pPr>
            <w:r w:rsidRPr="003A4C20">
              <w:rPr>
                <w:rFonts w:ascii="Aptos Narrow" w:eastAsia="Times New Roman" w:hAnsi="Aptos Narrow" w:cs="Times New Roman"/>
                <w:b/>
                <w:bCs/>
                <w:color w:val="FFFFFF"/>
                <w:sz w:val="16"/>
                <w:szCs w:val="16"/>
              </w:rPr>
              <w:t>Quantum Responsible Party</w:t>
            </w:r>
          </w:p>
        </w:tc>
        <w:tc>
          <w:tcPr>
            <w:tcW w:w="834" w:type="dxa"/>
            <w:tcBorders>
              <w:top w:val="single" w:sz="8" w:space="0" w:color="auto"/>
              <w:left w:val="nil"/>
              <w:bottom w:val="nil"/>
              <w:right w:val="single" w:sz="4" w:space="0" w:color="auto"/>
            </w:tcBorders>
            <w:shd w:val="clear" w:color="000000" w:fill="215C98"/>
            <w:vAlign w:val="center"/>
            <w:hideMark/>
          </w:tcPr>
          <w:p w14:paraId="4FD877B4" w14:textId="77777777" w:rsidR="003A4C20" w:rsidRPr="003A4C20" w:rsidRDefault="003A4C20" w:rsidP="003A4C20">
            <w:pPr>
              <w:spacing w:after="0" w:line="240" w:lineRule="auto"/>
              <w:jc w:val="center"/>
              <w:rPr>
                <w:rFonts w:ascii="Aptos Narrow" w:eastAsia="Times New Roman" w:hAnsi="Aptos Narrow" w:cs="Times New Roman"/>
                <w:b/>
                <w:bCs/>
                <w:color w:val="FFFFFF"/>
                <w:sz w:val="16"/>
                <w:szCs w:val="16"/>
              </w:rPr>
            </w:pPr>
            <w:r w:rsidRPr="003A4C20">
              <w:rPr>
                <w:rFonts w:ascii="Aptos Narrow" w:eastAsia="Times New Roman" w:hAnsi="Aptos Narrow" w:cs="Times New Roman"/>
                <w:b/>
                <w:bCs/>
                <w:color w:val="FFFFFF"/>
                <w:sz w:val="16"/>
                <w:szCs w:val="16"/>
              </w:rPr>
              <w:t>Quantum Fund ID</w:t>
            </w:r>
          </w:p>
        </w:tc>
        <w:tc>
          <w:tcPr>
            <w:tcW w:w="834" w:type="dxa"/>
            <w:tcBorders>
              <w:top w:val="single" w:sz="8" w:space="0" w:color="auto"/>
              <w:left w:val="nil"/>
              <w:bottom w:val="nil"/>
              <w:right w:val="nil"/>
            </w:tcBorders>
            <w:shd w:val="clear" w:color="000000" w:fill="215C98"/>
            <w:vAlign w:val="center"/>
            <w:hideMark/>
          </w:tcPr>
          <w:p w14:paraId="3E752070" w14:textId="77777777" w:rsidR="003A4C20" w:rsidRPr="003A4C20" w:rsidRDefault="003A4C20" w:rsidP="003A4C20">
            <w:pPr>
              <w:spacing w:after="0" w:line="240" w:lineRule="auto"/>
              <w:jc w:val="center"/>
              <w:rPr>
                <w:rFonts w:ascii="Aptos Narrow" w:eastAsia="Times New Roman" w:hAnsi="Aptos Narrow" w:cs="Times New Roman"/>
                <w:b/>
                <w:bCs/>
                <w:color w:val="FFFFFF"/>
                <w:sz w:val="16"/>
                <w:szCs w:val="16"/>
              </w:rPr>
            </w:pPr>
            <w:r w:rsidRPr="003A4C20">
              <w:rPr>
                <w:rFonts w:ascii="Aptos Narrow" w:eastAsia="Times New Roman" w:hAnsi="Aptos Narrow" w:cs="Times New Roman"/>
                <w:b/>
                <w:bCs/>
                <w:color w:val="FFFFFF"/>
                <w:sz w:val="16"/>
                <w:szCs w:val="16"/>
              </w:rPr>
              <w:t>Quantum Donor ID</w:t>
            </w:r>
          </w:p>
        </w:tc>
        <w:tc>
          <w:tcPr>
            <w:tcW w:w="966" w:type="dxa"/>
            <w:tcBorders>
              <w:top w:val="single" w:sz="8" w:space="0" w:color="auto"/>
              <w:left w:val="single" w:sz="8" w:space="0" w:color="auto"/>
              <w:bottom w:val="single" w:sz="8" w:space="0" w:color="auto"/>
              <w:right w:val="single" w:sz="8" w:space="0" w:color="auto"/>
            </w:tcBorders>
            <w:shd w:val="clear" w:color="000000" w:fill="215C98"/>
            <w:vAlign w:val="center"/>
            <w:hideMark/>
          </w:tcPr>
          <w:p w14:paraId="2E6A3FAE" w14:textId="77777777" w:rsidR="003A4C20" w:rsidRPr="003A4C20" w:rsidRDefault="003A4C20" w:rsidP="003A4C20">
            <w:pPr>
              <w:spacing w:after="0" w:line="240" w:lineRule="auto"/>
              <w:jc w:val="center"/>
              <w:rPr>
                <w:rFonts w:ascii="Aptos Narrow" w:eastAsia="Times New Roman" w:hAnsi="Aptos Narrow" w:cs="Times New Roman"/>
                <w:b/>
                <w:bCs/>
                <w:color w:val="FFFFFF"/>
                <w:sz w:val="16"/>
                <w:szCs w:val="16"/>
              </w:rPr>
            </w:pPr>
            <w:r w:rsidRPr="003A4C20">
              <w:rPr>
                <w:rFonts w:ascii="Aptos Narrow" w:eastAsia="Times New Roman" w:hAnsi="Aptos Narrow" w:cs="Times New Roman"/>
                <w:b/>
                <w:bCs/>
                <w:color w:val="FFFFFF"/>
                <w:sz w:val="16"/>
                <w:szCs w:val="16"/>
              </w:rPr>
              <w:t>Quantum Activity</w:t>
            </w:r>
            <w:r w:rsidRPr="003A4C20">
              <w:rPr>
                <w:rFonts w:ascii="Aptos Narrow" w:eastAsia="Times New Roman" w:hAnsi="Aptos Narrow" w:cs="Times New Roman"/>
                <w:b/>
                <w:bCs/>
                <w:color w:val="FFFFFF"/>
                <w:sz w:val="16"/>
                <w:szCs w:val="16"/>
              </w:rPr>
              <w:br/>
              <w:t>(AF Output)</w:t>
            </w:r>
          </w:p>
        </w:tc>
        <w:tc>
          <w:tcPr>
            <w:tcW w:w="990" w:type="dxa"/>
            <w:tcBorders>
              <w:top w:val="single" w:sz="8" w:space="0" w:color="auto"/>
              <w:left w:val="nil"/>
              <w:bottom w:val="nil"/>
              <w:right w:val="single" w:sz="4" w:space="0" w:color="auto"/>
            </w:tcBorders>
            <w:shd w:val="clear" w:color="000000" w:fill="215C98"/>
            <w:vAlign w:val="center"/>
            <w:hideMark/>
          </w:tcPr>
          <w:p w14:paraId="3D19CBA1" w14:textId="77777777" w:rsidR="003A4C20" w:rsidRPr="003A4C20" w:rsidRDefault="003A4C20" w:rsidP="003A4C20">
            <w:pPr>
              <w:spacing w:after="0" w:line="240" w:lineRule="auto"/>
              <w:jc w:val="center"/>
              <w:rPr>
                <w:rFonts w:ascii="Aptos Narrow" w:eastAsia="Times New Roman" w:hAnsi="Aptos Narrow" w:cs="Times New Roman"/>
                <w:b/>
                <w:bCs/>
                <w:color w:val="FFFFFF"/>
                <w:sz w:val="16"/>
                <w:szCs w:val="16"/>
              </w:rPr>
            </w:pPr>
            <w:r w:rsidRPr="003A4C20">
              <w:rPr>
                <w:rFonts w:ascii="Aptos Narrow" w:eastAsia="Times New Roman" w:hAnsi="Aptos Narrow" w:cs="Times New Roman"/>
                <w:b/>
                <w:bCs/>
                <w:color w:val="FFFFFF"/>
                <w:sz w:val="16"/>
                <w:szCs w:val="16"/>
              </w:rPr>
              <w:t>Quantum Budgetary Account Code</w:t>
            </w:r>
          </w:p>
        </w:tc>
        <w:tc>
          <w:tcPr>
            <w:tcW w:w="1620" w:type="dxa"/>
            <w:tcBorders>
              <w:top w:val="single" w:sz="8" w:space="0" w:color="auto"/>
              <w:left w:val="nil"/>
              <w:bottom w:val="nil"/>
              <w:right w:val="nil"/>
            </w:tcBorders>
            <w:shd w:val="clear" w:color="000000" w:fill="215C98"/>
            <w:vAlign w:val="center"/>
            <w:hideMark/>
          </w:tcPr>
          <w:p w14:paraId="21A5BC07" w14:textId="77777777" w:rsidR="003A4C20" w:rsidRPr="003A4C20" w:rsidRDefault="003A4C20" w:rsidP="003A4C20">
            <w:pPr>
              <w:spacing w:after="0" w:line="240" w:lineRule="auto"/>
              <w:rPr>
                <w:rFonts w:ascii="Aptos Narrow" w:eastAsia="Times New Roman" w:hAnsi="Aptos Narrow" w:cs="Times New Roman"/>
                <w:b/>
                <w:bCs/>
                <w:color w:val="FFFFFF"/>
                <w:sz w:val="16"/>
                <w:szCs w:val="16"/>
              </w:rPr>
            </w:pPr>
            <w:r w:rsidRPr="003A4C20">
              <w:rPr>
                <w:rFonts w:ascii="Aptos Narrow" w:eastAsia="Times New Roman" w:hAnsi="Aptos Narrow" w:cs="Times New Roman"/>
                <w:b/>
                <w:bCs/>
                <w:color w:val="FFFFFF"/>
                <w:sz w:val="16"/>
                <w:szCs w:val="16"/>
              </w:rPr>
              <w:t>Quantum Budget Account Description</w:t>
            </w:r>
          </w:p>
        </w:tc>
        <w:tc>
          <w:tcPr>
            <w:tcW w:w="990" w:type="dxa"/>
            <w:tcBorders>
              <w:top w:val="single" w:sz="8" w:space="0" w:color="auto"/>
              <w:left w:val="single" w:sz="8" w:space="0" w:color="auto"/>
              <w:bottom w:val="nil"/>
              <w:right w:val="single" w:sz="8" w:space="0" w:color="auto"/>
            </w:tcBorders>
            <w:shd w:val="clear" w:color="000000" w:fill="215C98"/>
            <w:vAlign w:val="center"/>
            <w:hideMark/>
          </w:tcPr>
          <w:p w14:paraId="6E2B1887" w14:textId="77777777" w:rsidR="003A4C20" w:rsidRPr="003A4C20" w:rsidRDefault="003A4C20" w:rsidP="003A4C20">
            <w:pPr>
              <w:spacing w:after="0" w:line="240" w:lineRule="auto"/>
              <w:jc w:val="center"/>
              <w:rPr>
                <w:rFonts w:ascii="Aptos Narrow" w:eastAsia="Times New Roman" w:hAnsi="Aptos Narrow" w:cs="Times New Roman"/>
                <w:b/>
                <w:bCs/>
                <w:color w:val="FFFFFF"/>
                <w:sz w:val="16"/>
                <w:szCs w:val="16"/>
              </w:rPr>
            </w:pPr>
            <w:r w:rsidRPr="003A4C20">
              <w:rPr>
                <w:rFonts w:ascii="Aptos Narrow" w:eastAsia="Times New Roman" w:hAnsi="Aptos Narrow" w:cs="Times New Roman"/>
                <w:b/>
                <w:bCs/>
                <w:color w:val="FFFFFF"/>
                <w:sz w:val="16"/>
                <w:szCs w:val="16"/>
              </w:rPr>
              <w:t>Amount Year 2026</w:t>
            </w:r>
          </w:p>
        </w:tc>
        <w:tc>
          <w:tcPr>
            <w:tcW w:w="990" w:type="dxa"/>
            <w:tcBorders>
              <w:top w:val="single" w:sz="8" w:space="0" w:color="auto"/>
              <w:left w:val="nil"/>
              <w:bottom w:val="nil"/>
              <w:right w:val="nil"/>
            </w:tcBorders>
            <w:shd w:val="clear" w:color="000000" w:fill="215C98"/>
            <w:vAlign w:val="center"/>
            <w:hideMark/>
          </w:tcPr>
          <w:p w14:paraId="0658F7E5" w14:textId="77777777" w:rsidR="003A4C20" w:rsidRPr="003A4C20" w:rsidRDefault="003A4C20" w:rsidP="003A4C20">
            <w:pPr>
              <w:spacing w:after="0" w:line="240" w:lineRule="auto"/>
              <w:jc w:val="center"/>
              <w:rPr>
                <w:rFonts w:ascii="Aptos Narrow" w:eastAsia="Times New Roman" w:hAnsi="Aptos Narrow" w:cs="Times New Roman"/>
                <w:b/>
                <w:bCs/>
                <w:color w:val="FFFFFF"/>
                <w:sz w:val="16"/>
                <w:szCs w:val="16"/>
              </w:rPr>
            </w:pPr>
            <w:r w:rsidRPr="003A4C20">
              <w:rPr>
                <w:rFonts w:ascii="Aptos Narrow" w:eastAsia="Times New Roman" w:hAnsi="Aptos Narrow" w:cs="Times New Roman"/>
                <w:b/>
                <w:bCs/>
                <w:color w:val="FFFFFF"/>
                <w:sz w:val="16"/>
                <w:szCs w:val="16"/>
              </w:rPr>
              <w:t>Amount Year 2027</w:t>
            </w:r>
          </w:p>
        </w:tc>
        <w:tc>
          <w:tcPr>
            <w:tcW w:w="900" w:type="dxa"/>
            <w:tcBorders>
              <w:top w:val="single" w:sz="8" w:space="0" w:color="auto"/>
              <w:left w:val="single" w:sz="8" w:space="0" w:color="auto"/>
              <w:bottom w:val="nil"/>
              <w:right w:val="single" w:sz="8" w:space="0" w:color="auto"/>
            </w:tcBorders>
            <w:shd w:val="clear" w:color="000000" w:fill="215C98"/>
            <w:vAlign w:val="center"/>
            <w:hideMark/>
          </w:tcPr>
          <w:p w14:paraId="1E2AC19E" w14:textId="77777777" w:rsidR="003A4C20" w:rsidRPr="003A4C20" w:rsidRDefault="003A4C20" w:rsidP="003A4C20">
            <w:pPr>
              <w:spacing w:after="0" w:line="240" w:lineRule="auto"/>
              <w:jc w:val="center"/>
              <w:rPr>
                <w:rFonts w:ascii="Aptos Narrow" w:eastAsia="Times New Roman" w:hAnsi="Aptos Narrow" w:cs="Times New Roman"/>
                <w:b/>
                <w:bCs/>
                <w:color w:val="FFFFFF"/>
                <w:sz w:val="16"/>
                <w:szCs w:val="16"/>
              </w:rPr>
            </w:pPr>
            <w:r w:rsidRPr="003A4C20">
              <w:rPr>
                <w:rFonts w:ascii="Aptos Narrow" w:eastAsia="Times New Roman" w:hAnsi="Aptos Narrow" w:cs="Times New Roman"/>
                <w:b/>
                <w:bCs/>
                <w:color w:val="FFFFFF"/>
                <w:sz w:val="16"/>
                <w:szCs w:val="16"/>
              </w:rPr>
              <w:t>Amount Year 2028</w:t>
            </w:r>
          </w:p>
        </w:tc>
        <w:tc>
          <w:tcPr>
            <w:tcW w:w="900" w:type="dxa"/>
            <w:tcBorders>
              <w:top w:val="single" w:sz="8" w:space="0" w:color="auto"/>
              <w:left w:val="nil"/>
              <w:bottom w:val="nil"/>
              <w:right w:val="nil"/>
            </w:tcBorders>
            <w:shd w:val="clear" w:color="000000" w:fill="215C98"/>
            <w:vAlign w:val="center"/>
            <w:hideMark/>
          </w:tcPr>
          <w:p w14:paraId="6952916E" w14:textId="77777777" w:rsidR="003A4C20" w:rsidRPr="003A4C20" w:rsidRDefault="003A4C20" w:rsidP="003A4C20">
            <w:pPr>
              <w:spacing w:after="0" w:line="240" w:lineRule="auto"/>
              <w:jc w:val="center"/>
              <w:rPr>
                <w:rFonts w:ascii="Aptos Narrow" w:eastAsia="Times New Roman" w:hAnsi="Aptos Narrow" w:cs="Times New Roman"/>
                <w:b/>
                <w:bCs/>
                <w:color w:val="FFFFFF"/>
                <w:sz w:val="16"/>
                <w:szCs w:val="16"/>
              </w:rPr>
            </w:pPr>
            <w:r w:rsidRPr="003A4C20">
              <w:rPr>
                <w:rFonts w:ascii="Aptos Narrow" w:eastAsia="Times New Roman" w:hAnsi="Aptos Narrow" w:cs="Times New Roman"/>
                <w:b/>
                <w:bCs/>
                <w:color w:val="FFFFFF"/>
                <w:sz w:val="16"/>
                <w:szCs w:val="16"/>
              </w:rPr>
              <w:t>Amount Year 2029</w:t>
            </w:r>
          </w:p>
        </w:tc>
        <w:tc>
          <w:tcPr>
            <w:tcW w:w="990" w:type="dxa"/>
            <w:tcBorders>
              <w:top w:val="single" w:sz="8" w:space="0" w:color="auto"/>
              <w:left w:val="single" w:sz="8" w:space="0" w:color="auto"/>
              <w:bottom w:val="nil"/>
              <w:right w:val="single" w:sz="8" w:space="0" w:color="auto"/>
            </w:tcBorders>
            <w:shd w:val="clear" w:color="000000" w:fill="215C98"/>
            <w:noWrap/>
            <w:vAlign w:val="center"/>
            <w:hideMark/>
          </w:tcPr>
          <w:p w14:paraId="1FA20A4C" w14:textId="77777777" w:rsidR="003A4C20" w:rsidRPr="003A4C20" w:rsidRDefault="003A4C20" w:rsidP="003A4C20">
            <w:pPr>
              <w:spacing w:after="0" w:line="240" w:lineRule="auto"/>
              <w:jc w:val="center"/>
              <w:rPr>
                <w:rFonts w:ascii="Aptos Narrow" w:eastAsia="Times New Roman" w:hAnsi="Aptos Narrow" w:cs="Times New Roman"/>
                <w:b/>
                <w:bCs/>
                <w:color w:val="FFFFFF"/>
                <w:sz w:val="16"/>
                <w:szCs w:val="16"/>
              </w:rPr>
            </w:pPr>
            <w:r w:rsidRPr="003A4C20">
              <w:rPr>
                <w:rFonts w:ascii="Aptos Narrow" w:eastAsia="Times New Roman" w:hAnsi="Aptos Narrow" w:cs="Times New Roman"/>
                <w:b/>
                <w:bCs/>
                <w:color w:val="FFFFFF"/>
                <w:sz w:val="16"/>
                <w:szCs w:val="16"/>
              </w:rPr>
              <w:t>Total (USD)</w:t>
            </w:r>
          </w:p>
        </w:tc>
        <w:tc>
          <w:tcPr>
            <w:tcW w:w="720" w:type="dxa"/>
            <w:tcBorders>
              <w:top w:val="single" w:sz="8" w:space="0" w:color="auto"/>
              <w:left w:val="nil"/>
              <w:bottom w:val="nil"/>
              <w:right w:val="single" w:sz="8" w:space="0" w:color="auto"/>
            </w:tcBorders>
            <w:shd w:val="clear" w:color="000000" w:fill="215C98"/>
            <w:vAlign w:val="center"/>
            <w:hideMark/>
          </w:tcPr>
          <w:p w14:paraId="2671B737" w14:textId="77777777" w:rsidR="003A4C20" w:rsidRPr="003A4C20" w:rsidRDefault="003A4C20" w:rsidP="003A4C20">
            <w:pPr>
              <w:spacing w:after="0" w:line="240" w:lineRule="auto"/>
              <w:jc w:val="right"/>
              <w:rPr>
                <w:rFonts w:ascii="Aptos Narrow" w:eastAsia="Times New Roman" w:hAnsi="Aptos Narrow" w:cs="Times New Roman"/>
                <w:b/>
                <w:bCs/>
                <w:color w:val="FFFFFF"/>
                <w:sz w:val="16"/>
                <w:szCs w:val="16"/>
              </w:rPr>
            </w:pPr>
            <w:r w:rsidRPr="003A4C20">
              <w:rPr>
                <w:rFonts w:ascii="Aptos Narrow" w:eastAsia="Times New Roman" w:hAnsi="Aptos Narrow" w:cs="Times New Roman"/>
                <w:b/>
                <w:bCs/>
                <w:color w:val="FFFFFF"/>
                <w:sz w:val="16"/>
                <w:szCs w:val="16"/>
              </w:rPr>
              <w:t>Budget Note No.</w:t>
            </w:r>
          </w:p>
        </w:tc>
      </w:tr>
      <w:tr w:rsidR="00773071" w:rsidRPr="003A4C20" w14:paraId="64DF8101" w14:textId="77777777" w:rsidTr="00773071">
        <w:trPr>
          <w:trHeight w:val="420"/>
        </w:trPr>
        <w:tc>
          <w:tcPr>
            <w:tcW w:w="1250" w:type="dxa"/>
            <w:vMerge w:val="restart"/>
            <w:tcBorders>
              <w:top w:val="single" w:sz="8" w:space="0" w:color="auto"/>
              <w:left w:val="single" w:sz="8" w:space="0" w:color="auto"/>
              <w:bottom w:val="single" w:sz="4" w:space="0" w:color="auto"/>
              <w:right w:val="single" w:sz="8" w:space="0" w:color="auto"/>
            </w:tcBorders>
            <w:vAlign w:val="center"/>
            <w:hideMark/>
          </w:tcPr>
          <w:p w14:paraId="3B4DC5E2" w14:textId="77777777" w:rsidR="003A4C20" w:rsidRPr="003A4C20" w:rsidRDefault="003A4C20" w:rsidP="003A4C20">
            <w:pPr>
              <w:spacing w:after="0" w:line="240" w:lineRule="auto"/>
              <w:jc w:val="center"/>
              <w:rPr>
                <w:rFonts w:ascii="Aptos Narrow" w:eastAsia="Times New Roman" w:hAnsi="Aptos Narrow" w:cs="Times New Roman"/>
                <w:b/>
                <w:bCs/>
                <w:i/>
                <w:iCs/>
                <w:color w:val="auto"/>
                <w:sz w:val="16"/>
                <w:szCs w:val="16"/>
              </w:rPr>
            </w:pPr>
            <w:r w:rsidRPr="003A4C20">
              <w:rPr>
                <w:rFonts w:ascii="Aptos Narrow" w:eastAsia="Times New Roman" w:hAnsi="Aptos Narrow" w:cs="Times New Roman"/>
                <w:b/>
                <w:bCs/>
                <w:i/>
                <w:iCs/>
                <w:color w:val="auto"/>
                <w:sz w:val="16"/>
                <w:szCs w:val="16"/>
              </w:rPr>
              <w:t xml:space="preserve">Component 1. Innovation Facility for Climate Adaptation </w:t>
            </w:r>
          </w:p>
        </w:tc>
        <w:tc>
          <w:tcPr>
            <w:tcW w:w="1460" w:type="dxa"/>
            <w:vMerge w:val="restart"/>
            <w:tcBorders>
              <w:top w:val="single" w:sz="8" w:space="0" w:color="auto"/>
              <w:left w:val="nil"/>
              <w:bottom w:val="single" w:sz="4" w:space="0" w:color="auto"/>
              <w:right w:val="single" w:sz="4" w:space="0" w:color="auto"/>
            </w:tcBorders>
            <w:vAlign w:val="center"/>
            <w:hideMark/>
          </w:tcPr>
          <w:p w14:paraId="31AD33F6" w14:textId="77777777" w:rsidR="003A4C20" w:rsidRPr="003A4C20" w:rsidRDefault="003A4C20" w:rsidP="003A4C20">
            <w:pPr>
              <w:spacing w:after="0" w:line="240" w:lineRule="auto"/>
              <w:jc w:val="center"/>
              <w:rPr>
                <w:rFonts w:ascii="Aptos Narrow" w:eastAsia="Times New Roman" w:hAnsi="Aptos Narrow" w:cs="Times New Roman"/>
                <w:i/>
                <w:iCs/>
                <w:color w:val="auto"/>
                <w:sz w:val="16"/>
                <w:szCs w:val="16"/>
              </w:rPr>
            </w:pPr>
            <w:r w:rsidRPr="003A4C20">
              <w:rPr>
                <w:rFonts w:ascii="Aptos Narrow" w:eastAsia="Times New Roman" w:hAnsi="Aptos Narrow" w:cs="Times New Roman"/>
                <w:i/>
                <w:iCs/>
                <w:color w:val="auto"/>
                <w:sz w:val="16"/>
                <w:szCs w:val="16"/>
              </w:rPr>
              <w:t xml:space="preserve">Outcome 1 Development, promotion, and acceleration of </w:t>
            </w:r>
            <w:proofErr w:type="gramStart"/>
            <w:r w:rsidRPr="003A4C20">
              <w:rPr>
                <w:rFonts w:ascii="Aptos Narrow" w:eastAsia="Times New Roman" w:hAnsi="Aptos Narrow" w:cs="Times New Roman"/>
                <w:i/>
                <w:iCs/>
                <w:color w:val="auto"/>
                <w:sz w:val="16"/>
                <w:szCs w:val="16"/>
              </w:rPr>
              <w:t>locally-led</w:t>
            </w:r>
            <w:proofErr w:type="gramEnd"/>
            <w:r w:rsidRPr="003A4C20">
              <w:rPr>
                <w:rFonts w:ascii="Aptos Narrow" w:eastAsia="Times New Roman" w:hAnsi="Aptos Narrow" w:cs="Times New Roman"/>
                <w:i/>
                <w:iCs/>
                <w:color w:val="auto"/>
                <w:sz w:val="16"/>
                <w:szCs w:val="16"/>
              </w:rPr>
              <w:t xml:space="preserve"> innovative climate adaptation solutions in four Balkans countries, with particular emphasis on approaches that advance gender equality and women’s empowerment, and which address priority climate risks</w:t>
            </w:r>
          </w:p>
        </w:tc>
        <w:tc>
          <w:tcPr>
            <w:tcW w:w="1036" w:type="dxa"/>
            <w:vMerge w:val="restart"/>
            <w:tcBorders>
              <w:top w:val="single" w:sz="8" w:space="0" w:color="auto"/>
              <w:left w:val="single" w:sz="4" w:space="0" w:color="auto"/>
              <w:bottom w:val="nil"/>
              <w:right w:val="single" w:sz="4" w:space="0" w:color="auto"/>
            </w:tcBorders>
            <w:vAlign w:val="center"/>
            <w:hideMark/>
          </w:tcPr>
          <w:p w14:paraId="5CAF3B6F" w14:textId="77777777" w:rsidR="003A4C20" w:rsidRPr="003A4C20" w:rsidRDefault="003A4C20" w:rsidP="003A4C20">
            <w:pPr>
              <w:spacing w:after="0" w:line="240" w:lineRule="auto"/>
              <w:jc w:val="center"/>
              <w:rPr>
                <w:rFonts w:ascii="Aptos Narrow" w:eastAsia="Times New Roman" w:hAnsi="Aptos Narrow" w:cs="Times New Roman"/>
                <w:i/>
                <w:iCs/>
                <w:color w:val="auto"/>
                <w:sz w:val="16"/>
                <w:szCs w:val="16"/>
              </w:rPr>
            </w:pPr>
            <w:r w:rsidRPr="003A4C20">
              <w:rPr>
                <w:rFonts w:ascii="Aptos Narrow" w:eastAsia="Times New Roman" w:hAnsi="Aptos Narrow" w:cs="Times New Roman"/>
                <w:i/>
                <w:iCs/>
                <w:color w:val="auto"/>
                <w:sz w:val="16"/>
                <w:szCs w:val="16"/>
              </w:rPr>
              <w:t>UNDP</w:t>
            </w:r>
          </w:p>
        </w:tc>
        <w:tc>
          <w:tcPr>
            <w:tcW w:w="834" w:type="dxa"/>
            <w:vMerge w:val="restart"/>
            <w:tcBorders>
              <w:top w:val="single" w:sz="8" w:space="0" w:color="auto"/>
              <w:left w:val="single" w:sz="4" w:space="0" w:color="auto"/>
              <w:bottom w:val="nil"/>
              <w:right w:val="single" w:sz="4" w:space="0" w:color="auto"/>
            </w:tcBorders>
            <w:noWrap/>
            <w:vAlign w:val="center"/>
            <w:hideMark/>
          </w:tcPr>
          <w:p w14:paraId="4987EDB6" w14:textId="77777777" w:rsidR="003A4C20" w:rsidRPr="003A4C20" w:rsidRDefault="003A4C20" w:rsidP="003A4C20">
            <w:pPr>
              <w:spacing w:after="0" w:line="240" w:lineRule="auto"/>
              <w:jc w:val="center"/>
              <w:rPr>
                <w:rFonts w:ascii="Aptos Narrow" w:eastAsia="Times New Roman" w:hAnsi="Aptos Narrow" w:cs="Times New Roman"/>
                <w:i/>
                <w:iCs/>
                <w:color w:val="auto"/>
                <w:sz w:val="16"/>
                <w:szCs w:val="16"/>
              </w:rPr>
            </w:pPr>
            <w:r w:rsidRPr="003A4C20">
              <w:rPr>
                <w:rFonts w:ascii="Aptos Narrow" w:eastAsia="Times New Roman" w:hAnsi="Aptos Narrow" w:cs="Times New Roman"/>
                <w:i/>
                <w:iCs/>
                <w:color w:val="auto"/>
                <w:sz w:val="16"/>
                <w:szCs w:val="16"/>
              </w:rPr>
              <w:t>62000</w:t>
            </w:r>
          </w:p>
        </w:tc>
        <w:tc>
          <w:tcPr>
            <w:tcW w:w="834" w:type="dxa"/>
            <w:vMerge w:val="restart"/>
            <w:tcBorders>
              <w:top w:val="single" w:sz="8" w:space="0" w:color="auto"/>
              <w:left w:val="single" w:sz="4" w:space="0" w:color="auto"/>
              <w:bottom w:val="nil"/>
              <w:right w:val="single" w:sz="8" w:space="0" w:color="auto"/>
            </w:tcBorders>
            <w:noWrap/>
            <w:vAlign w:val="center"/>
            <w:hideMark/>
          </w:tcPr>
          <w:p w14:paraId="7EB73787" w14:textId="77777777" w:rsidR="003A4C20" w:rsidRPr="003A4C20" w:rsidRDefault="003A4C20" w:rsidP="003A4C20">
            <w:pPr>
              <w:spacing w:after="0" w:line="240" w:lineRule="auto"/>
              <w:jc w:val="center"/>
              <w:rPr>
                <w:rFonts w:ascii="Aptos Narrow" w:eastAsia="Times New Roman" w:hAnsi="Aptos Narrow" w:cs="Times New Roman"/>
                <w:i/>
                <w:iCs/>
                <w:color w:val="auto"/>
                <w:sz w:val="16"/>
                <w:szCs w:val="16"/>
              </w:rPr>
            </w:pPr>
            <w:r w:rsidRPr="003A4C20">
              <w:rPr>
                <w:rFonts w:ascii="Aptos Narrow" w:eastAsia="Times New Roman" w:hAnsi="Aptos Narrow" w:cs="Times New Roman"/>
                <w:i/>
                <w:iCs/>
                <w:color w:val="auto"/>
                <w:sz w:val="16"/>
                <w:szCs w:val="16"/>
              </w:rPr>
              <w:t>011602</w:t>
            </w:r>
          </w:p>
        </w:tc>
        <w:tc>
          <w:tcPr>
            <w:tcW w:w="966"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55DA4322" w14:textId="77777777" w:rsidR="003A4C20" w:rsidRPr="003A4C20" w:rsidRDefault="003A4C20" w:rsidP="003A4C20">
            <w:pPr>
              <w:spacing w:after="0" w:line="240" w:lineRule="auto"/>
              <w:jc w:val="center"/>
              <w:rPr>
                <w:rFonts w:ascii="Aptos Narrow" w:eastAsia="Times New Roman" w:hAnsi="Aptos Narrow" w:cs="Times New Roman"/>
                <w:i/>
                <w:iCs/>
                <w:color w:val="auto"/>
                <w:sz w:val="16"/>
                <w:szCs w:val="16"/>
              </w:rPr>
            </w:pPr>
            <w:r w:rsidRPr="003A4C20">
              <w:rPr>
                <w:rFonts w:ascii="Aptos Narrow" w:eastAsia="Times New Roman" w:hAnsi="Aptos Narrow" w:cs="Times New Roman"/>
                <w:i/>
                <w:iCs/>
                <w:color w:val="auto"/>
                <w:sz w:val="16"/>
                <w:szCs w:val="16"/>
              </w:rPr>
              <w:t>Activity 1.1</w:t>
            </w:r>
            <w:r w:rsidRPr="003A4C20">
              <w:rPr>
                <w:rFonts w:ascii="Aptos Narrow" w:eastAsia="Times New Roman" w:hAnsi="Aptos Narrow" w:cs="Times New Roman"/>
                <w:i/>
                <w:iCs/>
                <w:color w:val="auto"/>
                <w:sz w:val="16"/>
                <w:szCs w:val="16"/>
              </w:rPr>
              <w:br/>
              <w:t>(Output 1.1)</w:t>
            </w:r>
          </w:p>
        </w:tc>
        <w:tc>
          <w:tcPr>
            <w:tcW w:w="990"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314E4A64" w14:textId="77777777" w:rsidR="003A4C20" w:rsidRPr="003A4C20" w:rsidRDefault="003A4C20" w:rsidP="003A4C20">
            <w:pPr>
              <w:spacing w:after="0" w:line="240" w:lineRule="auto"/>
              <w:jc w:val="center"/>
              <w:rPr>
                <w:rFonts w:ascii="Aptos Narrow" w:eastAsia="Times New Roman" w:hAnsi="Aptos Narrow" w:cs="Times New Roman"/>
                <w:i/>
                <w:iCs/>
                <w:color w:val="auto"/>
                <w:sz w:val="16"/>
                <w:szCs w:val="16"/>
              </w:rPr>
            </w:pPr>
            <w:r w:rsidRPr="003A4C20">
              <w:rPr>
                <w:rFonts w:ascii="Aptos Narrow" w:eastAsia="Times New Roman" w:hAnsi="Aptos Narrow" w:cs="Times New Roman"/>
                <w:i/>
                <w:iCs/>
                <w:color w:val="auto"/>
                <w:sz w:val="16"/>
                <w:szCs w:val="16"/>
              </w:rPr>
              <w:t>71400</w:t>
            </w:r>
          </w:p>
        </w:tc>
        <w:tc>
          <w:tcPr>
            <w:tcW w:w="1620" w:type="dxa"/>
            <w:tcBorders>
              <w:top w:val="single" w:sz="8" w:space="0" w:color="auto"/>
              <w:left w:val="nil"/>
              <w:bottom w:val="single" w:sz="4" w:space="0" w:color="auto"/>
              <w:right w:val="single" w:sz="8" w:space="0" w:color="auto"/>
            </w:tcBorders>
            <w:shd w:val="clear" w:color="000000" w:fill="D9D9D9"/>
            <w:vAlign w:val="center"/>
            <w:hideMark/>
          </w:tcPr>
          <w:p w14:paraId="2388AC68"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r w:rsidRPr="003A4C20">
              <w:rPr>
                <w:rFonts w:ascii="Aptos Narrow" w:eastAsia="Times New Roman" w:hAnsi="Aptos Narrow" w:cs="Times New Roman"/>
                <w:i/>
                <w:iCs/>
                <w:color w:val="auto"/>
                <w:sz w:val="16"/>
                <w:szCs w:val="16"/>
              </w:rPr>
              <w:t>Contractual Services-Individuals</w:t>
            </w:r>
          </w:p>
        </w:tc>
        <w:tc>
          <w:tcPr>
            <w:tcW w:w="990" w:type="dxa"/>
            <w:tcBorders>
              <w:top w:val="nil"/>
              <w:left w:val="nil"/>
              <w:bottom w:val="single" w:sz="4" w:space="0" w:color="auto"/>
              <w:right w:val="single" w:sz="8" w:space="0" w:color="auto"/>
            </w:tcBorders>
            <w:shd w:val="clear" w:color="000000" w:fill="D9D9D9"/>
            <w:noWrap/>
            <w:vAlign w:val="bottom"/>
            <w:hideMark/>
          </w:tcPr>
          <w:p w14:paraId="4D4ACF99"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207,891</w:t>
            </w:r>
          </w:p>
        </w:tc>
        <w:tc>
          <w:tcPr>
            <w:tcW w:w="990" w:type="dxa"/>
            <w:tcBorders>
              <w:top w:val="nil"/>
              <w:left w:val="nil"/>
              <w:bottom w:val="single" w:sz="4" w:space="0" w:color="auto"/>
              <w:right w:val="single" w:sz="8" w:space="0" w:color="auto"/>
            </w:tcBorders>
            <w:shd w:val="clear" w:color="000000" w:fill="D9D9D9"/>
            <w:noWrap/>
            <w:vAlign w:val="bottom"/>
            <w:hideMark/>
          </w:tcPr>
          <w:p w14:paraId="4A0AF4CD"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121,926</w:t>
            </w:r>
          </w:p>
        </w:tc>
        <w:tc>
          <w:tcPr>
            <w:tcW w:w="900" w:type="dxa"/>
            <w:tcBorders>
              <w:top w:val="nil"/>
              <w:left w:val="nil"/>
              <w:bottom w:val="single" w:sz="4" w:space="0" w:color="auto"/>
              <w:right w:val="single" w:sz="8" w:space="0" w:color="auto"/>
            </w:tcBorders>
            <w:shd w:val="clear" w:color="000000" w:fill="D9D9D9"/>
            <w:noWrap/>
            <w:vAlign w:val="bottom"/>
            <w:hideMark/>
          </w:tcPr>
          <w:p w14:paraId="215E3C9C"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31,640</w:t>
            </w:r>
          </w:p>
        </w:tc>
        <w:tc>
          <w:tcPr>
            <w:tcW w:w="900" w:type="dxa"/>
            <w:tcBorders>
              <w:top w:val="nil"/>
              <w:left w:val="nil"/>
              <w:bottom w:val="single" w:sz="4" w:space="0" w:color="auto"/>
              <w:right w:val="single" w:sz="8" w:space="0" w:color="auto"/>
            </w:tcBorders>
            <w:shd w:val="clear" w:color="000000" w:fill="D9D9D9"/>
            <w:noWrap/>
            <w:vAlign w:val="bottom"/>
            <w:hideMark/>
          </w:tcPr>
          <w:p w14:paraId="3747E1DF"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31,640</w:t>
            </w:r>
          </w:p>
        </w:tc>
        <w:tc>
          <w:tcPr>
            <w:tcW w:w="990" w:type="dxa"/>
            <w:tcBorders>
              <w:top w:val="nil"/>
              <w:left w:val="nil"/>
              <w:bottom w:val="single" w:sz="4" w:space="0" w:color="auto"/>
              <w:right w:val="single" w:sz="8" w:space="0" w:color="auto"/>
            </w:tcBorders>
            <w:shd w:val="clear" w:color="000000" w:fill="D9D9D9"/>
            <w:noWrap/>
            <w:vAlign w:val="bottom"/>
            <w:hideMark/>
          </w:tcPr>
          <w:p w14:paraId="5BB10080"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393,097</w:t>
            </w:r>
          </w:p>
        </w:tc>
        <w:tc>
          <w:tcPr>
            <w:tcW w:w="720" w:type="dxa"/>
            <w:tcBorders>
              <w:top w:val="single" w:sz="8" w:space="0" w:color="auto"/>
              <w:left w:val="nil"/>
              <w:bottom w:val="single" w:sz="4" w:space="0" w:color="auto"/>
              <w:right w:val="single" w:sz="8" w:space="0" w:color="auto"/>
            </w:tcBorders>
            <w:shd w:val="clear" w:color="000000" w:fill="D9D9D9"/>
            <w:noWrap/>
            <w:vAlign w:val="center"/>
            <w:hideMark/>
          </w:tcPr>
          <w:p w14:paraId="306D1C32" w14:textId="77777777" w:rsidR="003A4C20" w:rsidRPr="003A4C20" w:rsidRDefault="003A4C20" w:rsidP="003A4C20">
            <w:pPr>
              <w:spacing w:after="0" w:line="240" w:lineRule="auto"/>
              <w:jc w:val="center"/>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1</w:t>
            </w:r>
          </w:p>
        </w:tc>
      </w:tr>
      <w:tr w:rsidR="00773071" w:rsidRPr="003A4C20" w14:paraId="793C0977" w14:textId="77777777" w:rsidTr="00773071">
        <w:trPr>
          <w:trHeight w:val="290"/>
        </w:trPr>
        <w:tc>
          <w:tcPr>
            <w:tcW w:w="1250" w:type="dxa"/>
            <w:vMerge/>
            <w:tcBorders>
              <w:top w:val="single" w:sz="8" w:space="0" w:color="auto"/>
              <w:left w:val="single" w:sz="8" w:space="0" w:color="auto"/>
              <w:bottom w:val="single" w:sz="4" w:space="0" w:color="auto"/>
              <w:right w:val="single" w:sz="8" w:space="0" w:color="auto"/>
            </w:tcBorders>
            <w:vAlign w:val="center"/>
            <w:hideMark/>
          </w:tcPr>
          <w:p w14:paraId="6D64F135" w14:textId="77777777" w:rsidR="003A4C20" w:rsidRPr="003A4C20" w:rsidRDefault="003A4C20" w:rsidP="003A4C20">
            <w:pPr>
              <w:spacing w:after="0" w:line="240" w:lineRule="auto"/>
              <w:rPr>
                <w:rFonts w:ascii="Aptos Narrow" w:eastAsia="Times New Roman" w:hAnsi="Aptos Narrow" w:cs="Times New Roman"/>
                <w:b/>
                <w:bCs/>
                <w:i/>
                <w:iCs/>
                <w:color w:val="auto"/>
                <w:sz w:val="16"/>
                <w:szCs w:val="16"/>
              </w:rPr>
            </w:pPr>
          </w:p>
        </w:tc>
        <w:tc>
          <w:tcPr>
            <w:tcW w:w="1460" w:type="dxa"/>
            <w:vMerge/>
            <w:tcBorders>
              <w:top w:val="single" w:sz="8" w:space="0" w:color="auto"/>
              <w:left w:val="nil"/>
              <w:bottom w:val="single" w:sz="4" w:space="0" w:color="auto"/>
              <w:right w:val="single" w:sz="4" w:space="0" w:color="auto"/>
            </w:tcBorders>
            <w:vAlign w:val="center"/>
            <w:hideMark/>
          </w:tcPr>
          <w:p w14:paraId="54866308"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1036" w:type="dxa"/>
            <w:vMerge/>
            <w:tcBorders>
              <w:top w:val="single" w:sz="8" w:space="0" w:color="auto"/>
              <w:left w:val="single" w:sz="4" w:space="0" w:color="auto"/>
              <w:bottom w:val="nil"/>
              <w:right w:val="single" w:sz="4" w:space="0" w:color="auto"/>
            </w:tcBorders>
            <w:vAlign w:val="center"/>
            <w:hideMark/>
          </w:tcPr>
          <w:p w14:paraId="42920F96"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834" w:type="dxa"/>
            <w:vMerge/>
            <w:tcBorders>
              <w:top w:val="single" w:sz="8" w:space="0" w:color="auto"/>
              <w:left w:val="single" w:sz="4" w:space="0" w:color="auto"/>
              <w:bottom w:val="nil"/>
              <w:right w:val="single" w:sz="4" w:space="0" w:color="auto"/>
            </w:tcBorders>
            <w:vAlign w:val="center"/>
            <w:hideMark/>
          </w:tcPr>
          <w:p w14:paraId="786CB39F"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834" w:type="dxa"/>
            <w:vMerge/>
            <w:tcBorders>
              <w:top w:val="single" w:sz="8" w:space="0" w:color="auto"/>
              <w:left w:val="single" w:sz="4" w:space="0" w:color="auto"/>
              <w:bottom w:val="nil"/>
              <w:right w:val="single" w:sz="8" w:space="0" w:color="auto"/>
            </w:tcBorders>
            <w:vAlign w:val="center"/>
            <w:hideMark/>
          </w:tcPr>
          <w:p w14:paraId="7D33DB8F"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966" w:type="dxa"/>
            <w:vMerge/>
            <w:tcBorders>
              <w:top w:val="nil"/>
              <w:left w:val="single" w:sz="8" w:space="0" w:color="auto"/>
              <w:bottom w:val="single" w:sz="8" w:space="0" w:color="000000"/>
              <w:right w:val="single" w:sz="8" w:space="0" w:color="auto"/>
            </w:tcBorders>
            <w:vAlign w:val="center"/>
            <w:hideMark/>
          </w:tcPr>
          <w:p w14:paraId="497B0671"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990" w:type="dxa"/>
            <w:tcBorders>
              <w:top w:val="nil"/>
              <w:left w:val="single" w:sz="8" w:space="0" w:color="auto"/>
              <w:bottom w:val="single" w:sz="4" w:space="0" w:color="auto"/>
              <w:right w:val="single" w:sz="4" w:space="0" w:color="auto"/>
            </w:tcBorders>
            <w:shd w:val="clear" w:color="000000" w:fill="D9D9D9"/>
            <w:vAlign w:val="center"/>
            <w:hideMark/>
          </w:tcPr>
          <w:p w14:paraId="0FB302E2" w14:textId="77777777" w:rsidR="003A4C20" w:rsidRPr="003A4C20" w:rsidRDefault="003A4C20" w:rsidP="003A4C20">
            <w:pPr>
              <w:spacing w:after="0" w:line="240" w:lineRule="auto"/>
              <w:jc w:val="center"/>
              <w:rPr>
                <w:rFonts w:ascii="Aptos Narrow" w:eastAsia="Times New Roman" w:hAnsi="Aptos Narrow" w:cs="Times New Roman"/>
                <w:i/>
                <w:iCs/>
                <w:color w:val="auto"/>
                <w:sz w:val="16"/>
                <w:szCs w:val="16"/>
              </w:rPr>
            </w:pPr>
            <w:r w:rsidRPr="003A4C20">
              <w:rPr>
                <w:rFonts w:ascii="Aptos Narrow" w:eastAsia="Times New Roman" w:hAnsi="Aptos Narrow" w:cs="Times New Roman"/>
                <w:i/>
                <w:iCs/>
                <w:color w:val="auto"/>
                <w:sz w:val="16"/>
                <w:szCs w:val="16"/>
              </w:rPr>
              <w:t>72500</w:t>
            </w:r>
          </w:p>
        </w:tc>
        <w:tc>
          <w:tcPr>
            <w:tcW w:w="1620" w:type="dxa"/>
            <w:tcBorders>
              <w:top w:val="nil"/>
              <w:left w:val="nil"/>
              <w:bottom w:val="single" w:sz="4" w:space="0" w:color="auto"/>
              <w:right w:val="single" w:sz="8" w:space="0" w:color="auto"/>
            </w:tcBorders>
            <w:shd w:val="clear" w:color="000000" w:fill="D9D9D9"/>
            <w:vAlign w:val="center"/>
            <w:hideMark/>
          </w:tcPr>
          <w:p w14:paraId="618245CE"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r w:rsidRPr="003A4C20">
              <w:rPr>
                <w:rFonts w:ascii="Aptos Narrow" w:eastAsia="Times New Roman" w:hAnsi="Aptos Narrow" w:cs="Times New Roman"/>
                <w:i/>
                <w:iCs/>
                <w:color w:val="auto"/>
                <w:sz w:val="16"/>
                <w:szCs w:val="16"/>
              </w:rPr>
              <w:t>Supplies</w:t>
            </w:r>
          </w:p>
        </w:tc>
        <w:tc>
          <w:tcPr>
            <w:tcW w:w="990" w:type="dxa"/>
            <w:tcBorders>
              <w:top w:val="nil"/>
              <w:left w:val="nil"/>
              <w:bottom w:val="single" w:sz="4" w:space="0" w:color="auto"/>
              <w:right w:val="single" w:sz="8" w:space="0" w:color="auto"/>
            </w:tcBorders>
            <w:shd w:val="clear" w:color="000000" w:fill="D9D9D9"/>
            <w:noWrap/>
            <w:vAlign w:val="bottom"/>
            <w:hideMark/>
          </w:tcPr>
          <w:p w14:paraId="5DBCE865"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4,000</w:t>
            </w:r>
          </w:p>
        </w:tc>
        <w:tc>
          <w:tcPr>
            <w:tcW w:w="990" w:type="dxa"/>
            <w:tcBorders>
              <w:top w:val="nil"/>
              <w:left w:val="nil"/>
              <w:bottom w:val="single" w:sz="4" w:space="0" w:color="auto"/>
              <w:right w:val="single" w:sz="8" w:space="0" w:color="auto"/>
            </w:tcBorders>
            <w:shd w:val="clear" w:color="000000" w:fill="D9D9D9"/>
            <w:noWrap/>
            <w:vAlign w:val="bottom"/>
            <w:hideMark/>
          </w:tcPr>
          <w:p w14:paraId="332C4E7F"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4,000</w:t>
            </w:r>
          </w:p>
        </w:tc>
        <w:tc>
          <w:tcPr>
            <w:tcW w:w="900" w:type="dxa"/>
            <w:tcBorders>
              <w:top w:val="nil"/>
              <w:left w:val="nil"/>
              <w:bottom w:val="single" w:sz="4" w:space="0" w:color="auto"/>
              <w:right w:val="single" w:sz="8" w:space="0" w:color="auto"/>
            </w:tcBorders>
            <w:shd w:val="clear" w:color="000000" w:fill="D9D9D9"/>
            <w:noWrap/>
            <w:vAlign w:val="bottom"/>
            <w:hideMark/>
          </w:tcPr>
          <w:p w14:paraId="45CC35E1"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4,000</w:t>
            </w:r>
          </w:p>
        </w:tc>
        <w:tc>
          <w:tcPr>
            <w:tcW w:w="900" w:type="dxa"/>
            <w:tcBorders>
              <w:top w:val="nil"/>
              <w:left w:val="nil"/>
              <w:bottom w:val="single" w:sz="4" w:space="0" w:color="auto"/>
              <w:right w:val="single" w:sz="8" w:space="0" w:color="auto"/>
            </w:tcBorders>
            <w:shd w:val="clear" w:color="000000" w:fill="D9D9D9"/>
            <w:noWrap/>
            <w:vAlign w:val="bottom"/>
            <w:hideMark/>
          </w:tcPr>
          <w:p w14:paraId="463BC71D"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4,000</w:t>
            </w:r>
          </w:p>
        </w:tc>
        <w:tc>
          <w:tcPr>
            <w:tcW w:w="990" w:type="dxa"/>
            <w:tcBorders>
              <w:top w:val="nil"/>
              <w:left w:val="nil"/>
              <w:bottom w:val="single" w:sz="4" w:space="0" w:color="auto"/>
              <w:right w:val="single" w:sz="8" w:space="0" w:color="auto"/>
            </w:tcBorders>
            <w:shd w:val="clear" w:color="000000" w:fill="D9D9D9"/>
            <w:noWrap/>
            <w:vAlign w:val="bottom"/>
            <w:hideMark/>
          </w:tcPr>
          <w:p w14:paraId="7E527D39"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16,000</w:t>
            </w:r>
          </w:p>
        </w:tc>
        <w:tc>
          <w:tcPr>
            <w:tcW w:w="720" w:type="dxa"/>
            <w:tcBorders>
              <w:top w:val="nil"/>
              <w:left w:val="nil"/>
              <w:bottom w:val="single" w:sz="4" w:space="0" w:color="auto"/>
              <w:right w:val="single" w:sz="8" w:space="0" w:color="auto"/>
            </w:tcBorders>
            <w:shd w:val="clear" w:color="000000" w:fill="D9D9D9"/>
            <w:noWrap/>
            <w:vAlign w:val="center"/>
            <w:hideMark/>
          </w:tcPr>
          <w:p w14:paraId="3D9ADDCE" w14:textId="77777777" w:rsidR="003A4C20" w:rsidRPr="003A4C20" w:rsidRDefault="003A4C20" w:rsidP="003A4C20">
            <w:pPr>
              <w:spacing w:after="0" w:line="240" w:lineRule="auto"/>
              <w:jc w:val="center"/>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2</w:t>
            </w:r>
          </w:p>
        </w:tc>
      </w:tr>
      <w:tr w:rsidR="00773071" w:rsidRPr="003A4C20" w14:paraId="0C266543" w14:textId="77777777" w:rsidTr="00773071">
        <w:trPr>
          <w:trHeight w:val="420"/>
        </w:trPr>
        <w:tc>
          <w:tcPr>
            <w:tcW w:w="1250" w:type="dxa"/>
            <w:vMerge/>
            <w:tcBorders>
              <w:top w:val="single" w:sz="8" w:space="0" w:color="auto"/>
              <w:left w:val="single" w:sz="8" w:space="0" w:color="auto"/>
              <w:bottom w:val="single" w:sz="4" w:space="0" w:color="auto"/>
              <w:right w:val="single" w:sz="8" w:space="0" w:color="auto"/>
            </w:tcBorders>
            <w:vAlign w:val="center"/>
            <w:hideMark/>
          </w:tcPr>
          <w:p w14:paraId="0F440E13" w14:textId="77777777" w:rsidR="003A4C20" w:rsidRPr="003A4C20" w:rsidRDefault="003A4C20" w:rsidP="003A4C20">
            <w:pPr>
              <w:spacing w:after="0" w:line="240" w:lineRule="auto"/>
              <w:rPr>
                <w:rFonts w:ascii="Aptos Narrow" w:eastAsia="Times New Roman" w:hAnsi="Aptos Narrow" w:cs="Times New Roman"/>
                <w:b/>
                <w:bCs/>
                <w:i/>
                <w:iCs/>
                <w:color w:val="auto"/>
                <w:sz w:val="16"/>
                <w:szCs w:val="16"/>
              </w:rPr>
            </w:pPr>
          </w:p>
        </w:tc>
        <w:tc>
          <w:tcPr>
            <w:tcW w:w="1460" w:type="dxa"/>
            <w:vMerge/>
            <w:tcBorders>
              <w:top w:val="single" w:sz="8" w:space="0" w:color="auto"/>
              <w:left w:val="nil"/>
              <w:bottom w:val="single" w:sz="4" w:space="0" w:color="auto"/>
              <w:right w:val="single" w:sz="4" w:space="0" w:color="auto"/>
            </w:tcBorders>
            <w:vAlign w:val="center"/>
            <w:hideMark/>
          </w:tcPr>
          <w:p w14:paraId="40DC9B7C"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1036" w:type="dxa"/>
            <w:vMerge/>
            <w:tcBorders>
              <w:top w:val="single" w:sz="8" w:space="0" w:color="auto"/>
              <w:left w:val="single" w:sz="4" w:space="0" w:color="auto"/>
              <w:bottom w:val="nil"/>
              <w:right w:val="single" w:sz="4" w:space="0" w:color="auto"/>
            </w:tcBorders>
            <w:vAlign w:val="center"/>
            <w:hideMark/>
          </w:tcPr>
          <w:p w14:paraId="6A45C0CE"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834" w:type="dxa"/>
            <w:vMerge/>
            <w:tcBorders>
              <w:top w:val="single" w:sz="8" w:space="0" w:color="auto"/>
              <w:left w:val="single" w:sz="4" w:space="0" w:color="auto"/>
              <w:bottom w:val="nil"/>
              <w:right w:val="single" w:sz="4" w:space="0" w:color="auto"/>
            </w:tcBorders>
            <w:vAlign w:val="center"/>
            <w:hideMark/>
          </w:tcPr>
          <w:p w14:paraId="11029A19"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834" w:type="dxa"/>
            <w:vMerge/>
            <w:tcBorders>
              <w:top w:val="single" w:sz="8" w:space="0" w:color="auto"/>
              <w:left w:val="single" w:sz="4" w:space="0" w:color="auto"/>
              <w:bottom w:val="nil"/>
              <w:right w:val="single" w:sz="8" w:space="0" w:color="auto"/>
            </w:tcBorders>
            <w:vAlign w:val="center"/>
            <w:hideMark/>
          </w:tcPr>
          <w:p w14:paraId="2BDE5CD7"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966" w:type="dxa"/>
            <w:vMerge/>
            <w:tcBorders>
              <w:top w:val="nil"/>
              <w:left w:val="single" w:sz="8" w:space="0" w:color="auto"/>
              <w:bottom w:val="single" w:sz="8" w:space="0" w:color="000000"/>
              <w:right w:val="single" w:sz="8" w:space="0" w:color="auto"/>
            </w:tcBorders>
            <w:vAlign w:val="center"/>
            <w:hideMark/>
          </w:tcPr>
          <w:p w14:paraId="0C9C80F2"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990" w:type="dxa"/>
            <w:tcBorders>
              <w:top w:val="nil"/>
              <w:left w:val="single" w:sz="8" w:space="0" w:color="auto"/>
              <w:bottom w:val="nil"/>
              <w:right w:val="single" w:sz="4" w:space="0" w:color="auto"/>
            </w:tcBorders>
            <w:shd w:val="clear" w:color="000000" w:fill="D9D9D9"/>
            <w:vAlign w:val="center"/>
            <w:hideMark/>
          </w:tcPr>
          <w:p w14:paraId="6B0B7969" w14:textId="77777777" w:rsidR="003A4C20" w:rsidRPr="003A4C20" w:rsidRDefault="003A4C20" w:rsidP="003A4C20">
            <w:pPr>
              <w:spacing w:after="0" w:line="240" w:lineRule="auto"/>
              <w:jc w:val="center"/>
              <w:rPr>
                <w:rFonts w:ascii="Aptos Narrow" w:eastAsia="Times New Roman" w:hAnsi="Aptos Narrow" w:cs="Times New Roman"/>
                <w:i/>
                <w:iCs/>
                <w:color w:val="auto"/>
                <w:sz w:val="16"/>
                <w:szCs w:val="16"/>
              </w:rPr>
            </w:pPr>
            <w:r w:rsidRPr="003A4C20">
              <w:rPr>
                <w:rFonts w:ascii="Aptos Narrow" w:eastAsia="Times New Roman" w:hAnsi="Aptos Narrow" w:cs="Times New Roman"/>
                <w:i/>
                <w:iCs/>
                <w:color w:val="auto"/>
                <w:sz w:val="16"/>
                <w:szCs w:val="16"/>
              </w:rPr>
              <w:t>73100</w:t>
            </w:r>
          </w:p>
        </w:tc>
        <w:tc>
          <w:tcPr>
            <w:tcW w:w="1620" w:type="dxa"/>
            <w:tcBorders>
              <w:top w:val="nil"/>
              <w:left w:val="nil"/>
              <w:bottom w:val="nil"/>
              <w:right w:val="single" w:sz="8" w:space="0" w:color="auto"/>
            </w:tcBorders>
            <w:shd w:val="clear" w:color="000000" w:fill="D9D9D9"/>
            <w:vAlign w:val="center"/>
            <w:hideMark/>
          </w:tcPr>
          <w:p w14:paraId="323DA582"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r w:rsidRPr="003A4C20">
              <w:rPr>
                <w:rFonts w:ascii="Aptos Narrow" w:eastAsia="Times New Roman" w:hAnsi="Aptos Narrow" w:cs="Times New Roman"/>
                <w:i/>
                <w:iCs/>
                <w:color w:val="auto"/>
                <w:sz w:val="16"/>
                <w:szCs w:val="16"/>
              </w:rPr>
              <w:t>Rental and maintenance-premises</w:t>
            </w:r>
          </w:p>
        </w:tc>
        <w:tc>
          <w:tcPr>
            <w:tcW w:w="990" w:type="dxa"/>
            <w:tcBorders>
              <w:top w:val="nil"/>
              <w:left w:val="nil"/>
              <w:bottom w:val="single" w:sz="4" w:space="0" w:color="auto"/>
              <w:right w:val="single" w:sz="8" w:space="0" w:color="auto"/>
            </w:tcBorders>
            <w:shd w:val="clear" w:color="000000" w:fill="D9D9D9"/>
            <w:noWrap/>
            <w:vAlign w:val="bottom"/>
            <w:hideMark/>
          </w:tcPr>
          <w:p w14:paraId="02034984"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1,455</w:t>
            </w:r>
          </w:p>
        </w:tc>
        <w:tc>
          <w:tcPr>
            <w:tcW w:w="990" w:type="dxa"/>
            <w:tcBorders>
              <w:top w:val="nil"/>
              <w:left w:val="nil"/>
              <w:bottom w:val="single" w:sz="4" w:space="0" w:color="auto"/>
              <w:right w:val="single" w:sz="8" w:space="0" w:color="auto"/>
            </w:tcBorders>
            <w:shd w:val="clear" w:color="000000" w:fill="D9D9D9"/>
            <w:noWrap/>
            <w:vAlign w:val="bottom"/>
            <w:hideMark/>
          </w:tcPr>
          <w:p w14:paraId="532805E6"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1,455</w:t>
            </w:r>
          </w:p>
        </w:tc>
        <w:tc>
          <w:tcPr>
            <w:tcW w:w="900" w:type="dxa"/>
            <w:tcBorders>
              <w:top w:val="nil"/>
              <w:left w:val="nil"/>
              <w:bottom w:val="single" w:sz="4" w:space="0" w:color="auto"/>
              <w:right w:val="single" w:sz="8" w:space="0" w:color="auto"/>
            </w:tcBorders>
            <w:shd w:val="clear" w:color="000000" w:fill="D9D9D9"/>
            <w:noWrap/>
            <w:vAlign w:val="bottom"/>
            <w:hideMark/>
          </w:tcPr>
          <w:p w14:paraId="41772432"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1,455</w:t>
            </w:r>
          </w:p>
        </w:tc>
        <w:tc>
          <w:tcPr>
            <w:tcW w:w="900" w:type="dxa"/>
            <w:tcBorders>
              <w:top w:val="nil"/>
              <w:left w:val="nil"/>
              <w:bottom w:val="single" w:sz="4" w:space="0" w:color="auto"/>
              <w:right w:val="single" w:sz="8" w:space="0" w:color="auto"/>
            </w:tcBorders>
            <w:shd w:val="clear" w:color="000000" w:fill="D9D9D9"/>
            <w:noWrap/>
            <w:vAlign w:val="bottom"/>
            <w:hideMark/>
          </w:tcPr>
          <w:p w14:paraId="12B46244"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1,455</w:t>
            </w:r>
          </w:p>
        </w:tc>
        <w:tc>
          <w:tcPr>
            <w:tcW w:w="990" w:type="dxa"/>
            <w:tcBorders>
              <w:top w:val="nil"/>
              <w:left w:val="nil"/>
              <w:bottom w:val="single" w:sz="4" w:space="0" w:color="auto"/>
              <w:right w:val="single" w:sz="8" w:space="0" w:color="auto"/>
            </w:tcBorders>
            <w:shd w:val="clear" w:color="000000" w:fill="D9D9D9"/>
            <w:noWrap/>
            <w:vAlign w:val="bottom"/>
            <w:hideMark/>
          </w:tcPr>
          <w:p w14:paraId="2D2A84D9"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5,820</w:t>
            </w:r>
          </w:p>
        </w:tc>
        <w:tc>
          <w:tcPr>
            <w:tcW w:w="720" w:type="dxa"/>
            <w:tcBorders>
              <w:top w:val="nil"/>
              <w:left w:val="nil"/>
              <w:bottom w:val="nil"/>
              <w:right w:val="single" w:sz="8" w:space="0" w:color="auto"/>
            </w:tcBorders>
            <w:shd w:val="clear" w:color="000000" w:fill="D9D9D9"/>
            <w:noWrap/>
            <w:vAlign w:val="center"/>
            <w:hideMark/>
          </w:tcPr>
          <w:p w14:paraId="533750DF" w14:textId="77777777" w:rsidR="003A4C20" w:rsidRPr="003A4C20" w:rsidRDefault="003A4C20" w:rsidP="003A4C20">
            <w:pPr>
              <w:spacing w:after="0" w:line="240" w:lineRule="auto"/>
              <w:jc w:val="center"/>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3</w:t>
            </w:r>
          </w:p>
        </w:tc>
      </w:tr>
      <w:tr w:rsidR="00773071" w:rsidRPr="003A4C20" w14:paraId="720D3182" w14:textId="77777777" w:rsidTr="00773071">
        <w:trPr>
          <w:trHeight w:val="430"/>
        </w:trPr>
        <w:tc>
          <w:tcPr>
            <w:tcW w:w="1250" w:type="dxa"/>
            <w:vMerge/>
            <w:tcBorders>
              <w:top w:val="single" w:sz="8" w:space="0" w:color="auto"/>
              <w:left w:val="single" w:sz="8" w:space="0" w:color="auto"/>
              <w:bottom w:val="single" w:sz="4" w:space="0" w:color="auto"/>
              <w:right w:val="single" w:sz="8" w:space="0" w:color="auto"/>
            </w:tcBorders>
            <w:vAlign w:val="center"/>
            <w:hideMark/>
          </w:tcPr>
          <w:p w14:paraId="3807848C" w14:textId="77777777" w:rsidR="003A4C20" w:rsidRPr="003A4C20" w:rsidRDefault="003A4C20" w:rsidP="003A4C20">
            <w:pPr>
              <w:spacing w:after="0" w:line="240" w:lineRule="auto"/>
              <w:rPr>
                <w:rFonts w:ascii="Aptos Narrow" w:eastAsia="Times New Roman" w:hAnsi="Aptos Narrow" w:cs="Times New Roman"/>
                <w:b/>
                <w:bCs/>
                <w:i/>
                <w:iCs/>
                <w:color w:val="auto"/>
                <w:sz w:val="16"/>
                <w:szCs w:val="16"/>
              </w:rPr>
            </w:pPr>
          </w:p>
        </w:tc>
        <w:tc>
          <w:tcPr>
            <w:tcW w:w="1460" w:type="dxa"/>
            <w:vMerge/>
            <w:tcBorders>
              <w:top w:val="single" w:sz="8" w:space="0" w:color="auto"/>
              <w:left w:val="nil"/>
              <w:bottom w:val="single" w:sz="4" w:space="0" w:color="auto"/>
              <w:right w:val="single" w:sz="4" w:space="0" w:color="auto"/>
            </w:tcBorders>
            <w:vAlign w:val="center"/>
            <w:hideMark/>
          </w:tcPr>
          <w:p w14:paraId="1374B419"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1036" w:type="dxa"/>
            <w:vMerge/>
            <w:tcBorders>
              <w:top w:val="single" w:sz="8" w:space="0" w:color="auto"/>
              <w:left w:val="single" w:sz="4" w:space="0" w:color="auto"/>
              <w:bottom w:val="nil"/>
              <w:right w:val="single" w:sz="4" w:space="0" w:color="auto"/>
            </w:tcBorders>
            <w:vAlign w:val="center"/>
            <w:hideMark/>
          </w:tcPr>
          <w:p w14:paraId="7F2DD043"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834" w:type="dxa"/>
            <w:vMerge/>
            <w:tcBorders>
              <w:top w:val="single" w:sz="8" w:space="0" w:color="auto"/>
              <w:left w:val="single" w:sz="4" w:space="0" w:color="auto"/>
              <w:bottom w:val="nil"/>
              <w:right w:val="single" w:sz="4" w:space="0" w:color="auto"/>
            </w:tcBorders>
            <w:vAlign w:val="center"/>
            <w:hideMark/>
          </w:tcPr>
          <w:p w14:paraId="1B9B887D"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834" w:type="dxa"/>
            <w:vMerge/>
            <w:tcBorders>
              <w:top w:val="single" w:sz="8" w:space="0" w:color="auto"/>
              <w:left w:val="single" w:sz="4" w:space="0" w:color="auto"/>
              <w:bottom w:val="nil"/>
              <w:right w:val="single" w:sz="8" w:space="0" w:color="auto"/>
            </w:tcBorders>
            <w:vAlign w:val="center"/>
            <w:hideMark/>
          </w:tcPr>
          <w:p w14:paraId="38CFD77C"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966" w:type="dxa"/>
            <w:vMerge/>
            <w:tcBorders>
              <w:top w:val="nil"/>
              <w:left w:val="single" w:sz="8" w:space="0" w:color="auto"/>
              <w:bottom w:val="single" w:sz="8" w:space="0" w:color="000000"/>
              <w:right w:val="single" w:sz="8" w:space="0" w:color="auto"/>
            </w:tcBorders>
            <w:vAlign w:val="center"/>
            <w:hideMark/>
          </w:tcPr>
          <w:p w14:paraId="188A931B"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990" w:type="dxa"/>
            <w:tcBorders>
              <w:top w:val="single" w:sz="4" w:space="0" w:color="auto"/>
              <w:left w:val="single" w:sz="8" w:space="0" w:color="auto"/>
              <w:bottom w:val="single" w:sz="8" w:space="0" w:color="auto"/>
              <w:right w:val="single" w:sz="4" w:space="0" w:color="auto"/>
            </w:tcBorders>
            <w:shd w:val="clear" w:color="000000" w:fill="D9D9D9"/>
            <w:vAlign w:val="center"/>
            <w:hideMark/>
          </w:tcPr>
          <w:p w14:paraId="173A2B3B" w14:textId="77777777" w:rsidR="003A4C20" w:rsidRPr="003A4C20" w:rsidRDefault="003A4C20" w:rsidP="003A4C20">
            <w:pPr>
              <w:spacing w:after="0" w:line="240" w:lineRule="auto"/>
              <w:jc w:val="center"/>
              <w:rPr>
                <w:rFonts w:ascii="Aptos Narrow" w:eastAsia="Times New Roman" w:hAnsi="Aptos Narrow" w:cs="Times New Roman"/>
                <w:i/>
                <w:iCs/>
                <w:color w:val="auto"/>
                <w:sz w:val="16"/>
                <w:szCs w:val="16"/>
              </w:rPr>
            </w:pPr>
            <w:r w:rsidRPr="003A4C20">
              <w:rPr>
                <w:rFonts w:ascii="Aptos Narrow" w:eastAsia="Times New Roman" w:hAnsi="Aptos Narrow" w:cs="Times New Roman"/>
                <w:i/>
                <w:iCs/>
                <w:color w:val="auto"/>
                <w:sz w:val="16"/>
                <w:szCs w:val="16"/>
              </w:rPr>
              <w:t>75700</w:t>
            </w:r>
          </w:p>
        </w:tc>
        <w:tc>
          <w:tcPr>
            <w:tcW w:w="1620" w:type="dxa"/>
            <w:tcBorders>
              <w:top w:val="single" w:sz="4" w:space="0" w:color="auto"/>
              <w:left w:val="nil"/>
              <w:bottom w:val="single" w:sz="8" w:space="0" w:color="auto"/>
              <w:right w:val="single" w:sz="8" w:space="0" w:color="auto"/>
            </w:tcBorders>
            <w:shd w:val="clear" w:color="000000" w:fill="D9D9D9"/>
            <w:vAlign w:val="center"/>
            <w:hideMark/>
          </w:tcPr>
          <w:p w14:paraId="2D9947A8"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r w:rsidRPr="003A4C20">
              <w:rPr>
                <w:rFonts w:ascii="Aptos Narrow" w:eastAsia="Times New Roman" w:hAnsi="Aptos Narrow" w:cs="Times New Roman"/>
                <w:i/>
                <w:iCs/>
                <w:color w:val="auto"/>
                <w:sz w:val="16"/>
                <w:szCs w:val="16"/>
              </w:rPr>
              <w:t>Training, Workshops and Conference</w:t>
            </w:r>
          </w:p>
        </w:tc>
        <w:tc>
          <w:tcPr>
            <w:tcW w:w="990" w:type="dxa"/>
            <w:tcBorders>
              <w:top w:val="nil"/>
              <w:left w:val="nil"/>
              <w:bottom w:val="single" w:sz="4" w:space="0" w:color="auto"/>
              <w:right w:val="single" w:sz="8" w:space="0" w:color="auto"/>
            </w:tcBorders>
            <w:shd w:val="clear" w:color="000000" w:fill="D9D9D9"/>
            <w:noWrap/>
            <w:vAlign w:val="bottom"/>
            <w:hideMark/>
          </w:tcPr>
          <w:p w14:paraId="6C5ECDF9"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30,000</w:t>
            </w:r>
          </w:p>
        </w:tc>
        <w:tc>
          <w:tcPr>
            <w:tcW w:w="990" w:type="dxa"/>
            <w:tcBorders>
              <w:top w:val="nil"/>
              <w:left w:val="nil"/>
              <w:bottom w:val="single" w:sz="4" w:space="0" w:color="auto"/>
              <w:right w:val="single" w:sz="8" w:space="0" w:color="auto"/>
            </w:tcBorders>
            <w:shd w:val="clear" w:color="000000" w:fill="D9D9D9"/>
            <w:noWrap/>
            <w:vAlign w:val="bottom"/>
            <w:hideMark/>
          </w:tcPr>
          <w:p w14:paraId="0C10B069"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30,000</w:t>
            </w:r>
          </w:p>
        </w:tc>
        <w:tc>
          <w:tcPr>
            <w:tcW w:w="900" w:type="dxa"/>
            <w:tcBorders>
              <w:top w:val="nil"/>
              <w:left w:val="nil"/>
              <w:bottom w:val="single" w:sz="4" w:space="0" w:color="auto"/>
              <w:right w:val="single" w:sz="8" w:space="0" w:color="auto"/>
            </w:tcBorders>
            <w:shd w:val="clear" w:color="000000" w:fill="D9D9D9"/>
            <w:noWrap/>
            <w:vAlign w:val="bottom"/>
            <w:hideMark/>
          </w:tcPr>
          <w:p w14:paraId="774C75CC" w14:textId="77777777" w:rsidR="003A4C20" w:rsidRPr="003A4C20" w:rsidRDefault="003A4C20" w:rsidP="003A4C20">
            <w:pPr>
              <w:spacing w:after="0" w:line="240" w:lineRule="auto"/>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 </w:t>
            </w:r>
          </w:p>
        </w:tc>
        <w:tc>
          <w:tcPr>
            <w:tcW w:w="900" w:type="dxa"/>
            <w:tcBorders>
              <w:top w:val="nil"/>
              <w:left w:val="nil"/>
              <w:bottom w:val="single" w:sz="4" w:space="0" w:color="auto"/>
              <w:right w:val="single" w:sz="8" w:space="0" w:color="auto"/>
            </w:tcBorders>
            <w:shd w:val="clear" w:color="000000" w:fill="D9D9D9"/>
            <w:noWrap/>
            <w:vAlign w:val="bottom"/>
            <w:hideMark/>
          </w:tcPr>
          <w:p w14:paraId="4B500227" w14:textId="77777777" w:rsidR="003A4C20" w:rsidRPr="003A4C20" w:rsidRDefault="003A4C20" w:rsidP="003A4C20">
            <w:pPr>
              <w:spacing w:after="0" w:line="240" w:lineRule="auto"/>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 </w:t>
            </w:r>
          </w:p>
        </w:tc>
        <w:tc>
          <w:tcPr>
            <w:tcW w:w="990" w:type="dxa"/>
            <w:tcBorders>
              <w:top w:val="nil"/>
              <w:left w:val="nil"/>
              <w:bottom w:val="single" w:sz="4" w:space="0" w:color="auto"/>
              <w:right w:val="single" w:sz="8" w:space="0" w:color="auto"/>
            </w:tcBorders>
            <w:shd w:val="clear" w:color="000000" w:fill="D9D9D9"/>
            <w:noWrap/>
            <w:vAlign w:val="bottom"/>
            <w:hideMark/>
          </w:tcPr>
          <w:p w14:paraId="576F7380"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60,000</w:t>
            </w:r>
          </w:p>
        </w:tc>
        <w:tc>
          <w:tcPr>
            <w:tcW w:w="720" w:type="dxa"/>
            <w:tcBorders>
              <w:top w:val="single" w:sz="4" w:space="0" w:color="auto"/>
              <w:left w:val="nil"/>
              <w:bottom w:val="single" w:sz="8" w:space="0" w:color="auto"/>
              <w:right w:val="single" w:sz="8" w:space="0" w:color="auto"/>
            </w:tcBorders>
            <w:shd w:val="clear" w:color="000000" w:fill="D9D9D9"/>
            <w:noWrap/>
            <w:vAlign w:val="center"/>
            <w:hideMark/>
          </w:tcPr>
          <w:p w14:paraId="69AECD77" w14:textId="77777777" w:rsidR="003A4C20" w:rsidRPr="003A4C20" w:rsidRDefault="003A4C20" w:rsidP="003A4C20">
            <w:pPr>
              <w:spacing w:after="0" w:line="240" w:lineRule="auto"/>
              <w:jc w:val="center"/>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4</w:t>
            </w:r>
          </w:p>
        </w:tc>
      </w:tr>
      <w:tr w:rsidR="00773071" w:rsidRPr="003A4C20" w14:paraId="30374363" w14:textId="77777777" w:rsidTr="00773071">
        <w:trPr>
          <w:trHeight w:val="290"/>
        </w:trPr>
        <w:tc>
          <w:tcPr>
            <w:tcW w:w="1250" w:type="dxa"/>
            <w:vMerge/>
            <w:tcBorders>
              <w:top w:val="single" w:sz="8" w:space="0" w:color="auto"/>
              <w:left w:val="single" w:sz="8" w:space="0" w:color="auto"/>
              <w:bottom w:val="single" w:sz="4" w:space="0" w:color="auto"/>
              <w:right w:val="single" w:sz="8" w:space="0" w:color="auto"/>
            </w:tcBorders>
            <w:vAlign w:val="center"/>
            <w:hideMark/>
          </w:tcPr>
          <w:p w14:paraId="7F313BEA" w14:textId="77777777" w:rsidR="003A4C20" w:rsidRPr="003A4C20" w:rsidRDefault="003A4C20" w:rsidP="003A4C20">
            <w:pPr>
              <w:spacing w:after="0" w:line="240" w:lineRule="auto"/>
              <w:rPr>
                <w:rFonts w:ascii="Aptos Narrow" w:eastAsia="Times New Roman" w:hAnsi="Aptos Narrow" w:cs="Times New Roman"/>
                <w:b/>
                <w:bCs/>
                <w:i/>
                <w:iCs/>
                <w:color w:val="auto"/>
                <w:sz w:val="16"/>
                <w:szCs w:val="16"/>
              </w:rPr>
            </w:pPr>
          </w:p>
        </w:tc>
        <w:tc>
          <w:tcPr>
            <w:tcW w:w="1460" w:type="dxa"/>
            <w:vMerge/>
            <w:tcBorders>
              <w:top w:val="single" w:sz="8" w:space="0" w:color="auto"/>
              <w:left w:val="nil"/>
              <w:bottom w:val="single" w:sz="4" w:space="0" w:color="auto"/>
              <w:right w:val="single" w:sz="4" w:space="0" w:color="auto"/>
            </w:tcBorders>
            <w:vAlign w:val="center"/>
            <w:hideMark/>
          </w:tcPr>
          <w:p w14:paraId="1ED46B3C"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1036" w:type="dxa"/>
            <w:vMerge/>
            <w:tcBorders>
              <w:top w:val="single" w:sz="8" w:space="0" w:color="auto"/>
              <w:left w:val="single" w:sz="4" w:space="0" w:color="auto"/>
              <w:bottom w:val="nil"/>
              <w:right w:val="single" w:sz="4" w:space="0" w:color="auto"/>
            </w:tcBorders>
            <w:vAlign w:val="center"/>
            <w:hideMark/>
          </w:tcPr>
          <w:p w14:paraId="56228D93"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834" w:type="dxa"/>
            <w:vMerge/>
            <w:tcBorders>
              <w:top w:val="single" w:sz="8" w:space="0" w:color="auto"/>
              <w:left w:val="single" w:sz="4" w:space="0" w:color="auto"/>
              <w:bottom w:val="nil"/>
              <w:right w:val="single" w:sz="4" w:space="0" w:color="auto"/>
            </w:tcBorders>
            <w:vAlign w:val="center"/>
            <w:hideMark/>
          </w:tcPr>
          <w:p w14:paraId="069E23C3"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834" w:type="dxa"/>
            <w:vMerge/>
            <w:tcBorders>
              <w:top w:val="single" w:sz="8" w:space="0" w:color="auto"/>
              <w:left w:val="single" w:sz="4" w:space="0" w:color="auto"/>
              <w:bottom w:val="nil"/>
              <w:right w:val="single" w:sz="8" w:space="0" w:color="auto"/>
            </w:tcBorders>
            <w:vAlign w:val="center"/>
            <w:hideMark/>
          </w:tcPr>
          <w:p w14:paraId="7BCE9DC4"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966" w:type="dxa"/>
            <w:vMerge w:val="restart"/>
            <w:tcBorders>
              <w:top w:val="single" w:sz="8" w:space="0" w:color="auto"/>
              <w:left w:val="single" w:sz="8" w:space="0" w:color="auto"/>
              <w:bottom w:val="nil"/>
              <w:right w:val="single" w:sz="8" w:space="0" w:color="auto"/>
            </w:tcBorders>
            <w:shd w:val="clear" w:color="000000" w:fill="DAE9F8"/>
            <w:vAlign w:val="center"/>
            <w:hideMark/>
          </w:tcPr>
          <w:p w14:paraId="408775AB" w14:textId="77777777" w:rsidR="003A4C20" w:rsidRPr="003A4C20" w:rsidRDefault="003A4C20" w:rsidP="003A4C20">
            <w:pPr>
              <w:spacing w:after="0" w:line="240" w:lineRule="auto"/>
              <w:jc w:val="center"/>
              <w:rPr>
                <w:rFonts w:ascii="Aptos Narrow" w:eastAsia="Times New Roman" w:hAnsi="Aptos Narrow" w:cs="Times New Roman"/>
                <w:i/>
                <w:iCs/>
                <w:color w:val="auto"/>
                <w:sz w:val="16"/>
                <w:szCs w:val="16"/>
              </w:rPr>
            </w:pPr>
            <w:r w:rsidRPr="003A4C20">
              <w:rPr>
                <w:rFonts w:ascii="Aptos Narrow" w:eastAsia="Times New Roman" w:hAnsi="Aptos Narrow" w:cs="Times New Roman"/>
                <w:i/>
                <w:iCs/>
                <w:color w:val="auto"/>
                <w:sz w:val="16"/>
                <w:szCs w:val="16"/>
              </w:rPr>
              <w:t>Activity 1.2</w:t>
            </w:r>
            <w:r w:rsidRPr="003A4C20">
              <w:rPr>
                <w:rFonts w:ascii="Aptos Narrow" w:eastAsia="Times New Roman" w:hAnsi="Aptos Narrow" w:cs="Times New Roman"/>
                <w:i/>
                <w:iCs/>
                <w:color w:val="auto"/>
                <w:sz w:val="16"/>
                <w:szCs w:val="16"/>
              </w:rPr>
              <w:br/>
              <w:t xml:space="preserve"> (Output 1.2)</w:t>
            </w:r>
          </w:p>
        </w:tc>
        <w:tc>
          <w:tcPr>
            <w:tcW w:w="990" w:type="dxa"/>
            <w:tcBorders>
              <w:top w:val="nil"/>
              <w:left w:val="single" w:sz="8" w:space="0" w:color="auto"/>
              <w:bottom w:val="single" w:sz="4" w:space="0" w:color="auto"/>
              <w:right w:val="single" w:sz="4" w:space="0" w:color="auto"/>
            </w:tcBorders>
            <w:shd w:val="clear" w:color="000000" w:fill="DAE9F8"/>
            <w:vAlign w:val="center"/>
            <w:hideMark/>
          </w:tcPr>
          <w:p w14:paraId="27B9F890" w14:textId="77777777" w:rsidR="003A4C20" w:rsidRPr="003A4C20" w:rsidRDefault="003A4C20" w:rsidP="003A4C20">
            <w:pPr>
              <w:spacing w:after="0" w:line="240" w:lineRule="auto"/>
              <w:jc w:val="center"/>
              <w:rPr>
                <w:rFonts w:ascii="Aptos Narrow" w:eastAsia="Times New Roman" w:hAnsi="Aptos Narrow" w:cs="Times New Roman"/>
                <w:i/>
                <w:iCs/>
                <w:color w:val="auto"/>
                <w:sz w:val="16"/>
                <w:szCs w:val="16"/>
              </w:rPr>
            </w:pPr>
            <w:r w:rsidRPr="003A4C20">
              <w:rPr>
                <w:rFonts w:ascii="Aptos Narrow" w:eastAsia="Times New Roman" w:hAnsi="Aptos Narrow" w:cs="Times New Roman"/>
                <w:i/>
                <w:iCs/>
                <w:color w:val="auto"/>
                <w:sz w:val="16"/>
                <w:szCs w:val="16"/>
              </w:rPr>
              <w:t>71200</w:t>
            </w:r>
          </w:p>
        </w:tc>
        <w:tc>
          <w:tcPr>
            <w:tcW w:w="1620" w:type="dxa"/>
            <w:tcBorders>
              <w:top w:val="nil"/>
              <w:left w:val="nil"/>
              <w:bottom w:val="single" w:sz="4" w:space="0" w:color="auto"/>
              <w:right w:val="nil"/>
            </w:tcBorders>
            <w:shd w:val="clear" w:color="000000" w:fill="DAE9F8"/>
            <w:vAlign w:val="center"/>
            <w:hideMark/>
          </w:tcPr>
          <w:p w14:paraId="2481852E"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r w:rsidRPr="003A4C20">
              <w:rPr>
                <w:rFonts w:ascii="Aptos Narrow" w:eastAsia="Times New Roman" w:hAnsi="Aptos Narrow" w:cs="Times New Roman"/>
                <w:i/>
                <w:iCs/>
                <w:color w:val="auto"/>
                <w:sz w:val="16"/>
                <w:szCs w:val="16"/>
              </w:rPr>
              <w:t>International Consultants</w:t>
            </w:r>
          </w:p>
        </w:tc>
        <w:tc>
          <w:tcPr>
            <w:tcW w:w="990" w:type="dxa"/>
            <w:tcBorders>
              <w:top w:val="single" w:sz="8" w:space="0" w:color="auto"/>
              <w:left w:val="single" w:sz="8" w:space="0" w:color="auto"/>
              <w:bottom w:val="single" w:sz="4" w:space="0" w:color="auto"/>
              <w:right w:val="single" w:sz="8" w:space="0" w:color="auto"/>
            </w:tcBorders>
            <w:shd w:val="clear" w:color="000000" w:fill="DAE9F8"/>
            <w:noWrap/>
            <w:vAlign w:val="bottom"/>
            <w:hideMark/>
          </w:tcPr>
          <w:p w14:paraId="17DEF986"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12,000</w:t>
            </w:r>
          </w:p>
        </w:tc>
        <w:tc>
          <w:tcPr>
            <w:tcW w:w="990" w:type="dxa"/>
            <w:tcBorders>
              <w:top w:val="single" w:sz="8" w:space="0" w:color="auto"/>
              <w:left w:val="nil"/>
              <w:bottom w:val="single" w:sz="4" w:space="0" w:color="auto"/>
              <w:right w:val="single" w:sz="8" w:space="0" w:color="auto"/>
            </w:tcBorders>
            <w:shd w:val="clear" w:color="000000" w:fill="DAE9F8"/>
            <w:noWrap/>
            <w:vAlign w:val="bottom"/>
            <w:hideMark/>
          </w:tcPr>
          <w:p w14:paraId="60174BEA"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9,000</w:t>
            </w:r>
          </w:p>
        </w:tc>
        <w:tc>
          <w:tcPr>
            <w:tcW w:w="900" w:type="dxa"/>
            <w:tcBorders>
              <w:top w:val="single" w:sz="8" w:space="0" w:color="auto"/>
              <w:left w:val="nil"/>
              <w:bottom w:val="single" w:sz="4" w:space="0" w:color="auto"/>
              <w:right w:val="single" w:sz="8" w:space="0" w:color="auto"/>
            </w:tcBorders>
            <w:shd w:val="clear" w:color="000000" w:fill="DAE9F8"/>
            <w:noWrap/>
            <w:vAlign w:val="bottom"/>
            <w:hideMark/>
          </w:tcPr>
          <w:p w14:paraId="78C83FB9"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3,000</w:t>
            </w:r>
          </w:p>
        </w:tc>
        <w:tc>
          <w:tcPr>
            <w:tcW w:w="900" w:type="dxa"/>
            <w:tcBorders>
              <w:top w:val="single" w:sz="8" w:space="0" w:color="auto"/>
              <w:left w:val="nil"/>
              <w:bottom w:val="single" w:sz="4" w:space="0" w:color="auto"/>
              <w:right w:val="single" w:sz="8" w:space="0" w:color="auto"/>
            </w:tcBorders>
            <w:shd w:val="clear" w:color="000000" w:fill="DAE9F8"/>
            <w:noWrap/>
            <w:vAlign w:val="bottom"/>
            <w:hideMark/>
          </w:tcPr>
          <w:p w14:paraId="354195BE"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0</w:t>
            </w:r>
          </w:p>
        </w:tc>
        <w:tc>
          <w:tcPr>
            <w:tcW w:w="990" w:type="dxa"/>
            <w:tcBorders>
              <w:top w:val="single" w:sz="8" w:space="0" w:color="auto"/>
              <w:left w:val="nil"/>
              <w:bottom w:val="single" w:sz="4" w:space="0" w:color="auto"/>
              <w:right w:val="single" w:sz="8" w:space="0" w:color="auto"/>
            </w:tcBorders>
            <w:shd w:val="clear" w:color="000000" w:fill="DAE9F8"/>
            <w:noWrap/>
            <w:vAlign w:val="bottom"/>
            <w:hideMark/>
          </w:tcPr>
          <w:p w14:paraId="301A657A"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24,000</w:t>
            </w:r>
          </w:p>
        </w:tc>
        <w:tc>
          <w:tcPr>
            <w:tcW w:w="720" w:type="dxa"/>
            <w:tcBorders>
              <w:top w:val="nil"/>
              <w:left w:val="nil"/>
              <w:bottom w:val="single" w:sz="4" w:space="0" w:color="auto"/>
              <w:right w:val="single" w:sz="8" w:space="0" w:color="auto"/>
            </w:tcBorders>
            <w:shd w:val="clear" w:color="000000" w:fill="DAE9F8"/>
            <w:noWrap/>
            <w:vAlign w:val="center"/>
            <w:hideMark/>
          </w:tcPr>
          <w:p w14:paraId="7FB3CFC9" w14:textId="77777777" w:rsidR="003A4C20" w:rsidRPr="003A4C20" w:rsidRDefault="003A4C20" w:rsidP="003A4C20">
            <w:pPr>
              <w:spacing w:after="0" w:line="240" w:lineRule="auto"/>
              <w:jc w:val="center"/>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5</w:t>
            </w:r>
          </w:p>
        </w:tc>
      </w:tr>
      <w:tr w:rsidR="00773071" w:rsidRPr="003A4C20" w14:paraId="19360791" w14:textId="77777777" w:rsidTr="00773071">
        <w:trPr>
          <w:trHeight w:val="420"/>
        </w:trPr>
        <w:tc>
          <w:tcPr>
            <w:tcW w:w="1250" w:type="dxa"/>
            <w:vMerge/>
            <w:tcBorders>
              <w:top w:val="single" w:sz="8" w:space="0" w:color="auto"/>
              <w:left w:val="single" w:sz="8" w:space="0" w:color="auto"/>
              <w:bottom w:val="single" w:sz="4" w:space="0" w:color="auto"/>
              <w:right w:val="single" w:sz="8" w:space="0" w:color="auto"/>
            </w:tcBorders>
            <w:vAlign w:val="center"/>
            <w:hideMark/>
          </w:tcPr>
          <w:p w14:paraId="5321000F" w14:textId="77777777" w:rsidR="003A4C20" w:rsidRPr="003A4C20" w:rsidRDefault="003A4C20" w:rsidP="003A4C20">
            <w:pPr>
              <w:spacing w:after="0" w:line="240" w:lineRule="auto"/>
              <w:rPr>
                <w:rFonts w:ascii="Aptos Narrow" w:eastAsia="Times New Roman" w:hAnsi="Aptos Narrow" w:cs="Times New Roman"/>
                <w:b/>
                <w:bCs/>
                <w:i/>
                <w:iCs/>
                <w:color w:val="auto"/>
                <w:sz w:val="16"/>
                <w:szCs w:val="16"/>
              </w:rPr>
            </w:pPr>
          </w:p>
        </w:tc>
        <w:tc>
          <w:tcPr>
            <w:tcW w:w="1460" w:type="dxa"/>
            <w:vMerge/>
            <w:tcBorders>
              <w:top w:val="single" w:sz="8" w:space="0" w:color="auto"/>
              <w:left w:val="nil"/>
              <w:bottom w:val="single" w:sz="4" w:space="0" w:color="auto"/>
              <w:right w:val="single" w:sz="4" w:space="0" w:color="auto"/>
            </w:tcBorders>
            <w:vAlign w:val="center"/>
            <w:hideMark/>
          </w:tcPr>
          <w:p w14:paraId="340C2A26"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1036" w:type="dxa"/>
            <w:vMerge/>
            <w:tcBorders>
              <w:top w:val="single" w:sz="8" w:space="0" w:color="auto"/>
              <w:left w:val="single" w:sz="4" w:space="0" w:color="auto"/>
              <w:bottom w:val="nil"/>
              <w:right w:val="single" w:sz="4" w:space="0" w:color="auto"/>
            </w:tcBorders>
            <w:vAlign w:val="center"/>
            <w:hideMark/>
          </w:tcPr>
          <w:p w14:paraId="51B9C075"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834" w:type="dxa"/>
            <w:vMerge/>
            <w:tcBorders>
              <w:top w:val="single" w:sz="8" w:space="0" w:color="auto"/>
              <w:left w:val="single" w:sz="4" w:space="0" w:color="auto"/>
              <w:bottom w:val="nil"/>
              <w:right w:val="single" w:sz="4" w:space="0" w:color="auto"/>
            </w:tcBorders>
            <w:vAlign w:val="center"/>
            <w:hideMark/>
          </w:tcPr>
          <w:p w14:paraId="5E191B60"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834" w:type="dxa"/>
            <w:vMerge/>
            <w:tcBorders>
              <w:top w:val="single" w:sz="8" w:space="0" w:color="auto"/>
              <w:left w:val="single" w:sz="4" w:space="0" w:color="auto"/>
              <w:bottom w:val="nil"/>
              <w:right w:val="single" w:sz="8" w:space="0" w:color="auto"/>
            </w:tcBorders>
            <w:vAlign w:val="center"/>
            <w:hideMark/>
          </w:tcPr>
          <w:p w14:paraId="043C07AC"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966" w:type="dxa"/>
            <w:vMerge/>
            <w:tcBorders>
              <w:top w:val="single" w:sz="8" w:space="0" w:color="auto"/>
              <w:left w:val="single" w:sz="8" w:space="0" w:color="auto"/>
              <w:bottom w:val="nil"/>
              <w:right w:val="single" w:sz="8" w:space="0" w:color="auto"/>
            </w:tcBorders>
            <w:vAlign w:val="center"/>
            <w:hideMark/>
          </w:tcPr>
          <w:p w14:paraId="0DFF0424"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990" w:type="dxa"/>
            <w:tcBorders>
              <w:top w:val="nil"/>
              <w:left w:val="single" w:sz="8" w:space="0" w:color="auto"/>
              <w:bottom w:val="single" w:sz="4" w:space="0" w:color="auto"/>
              <w:right w:val="single" w:sz="4" w:space="0" w:color="auto"/>
            </w:tcBorders>
            <w:shd w:val="clear" w:color="000000" w:fill="DAE9F8"/>
            <w:vAlign w:val="center"/>
            <w:hideMark/>
          </w:tcPr>
          <w:p w14:paraId="0B4E8477" w14:textId="77777777" w:rsidR="003A4C20" w:rsidRPr="003A4C20" w:rsidRDefault="003A4C20" w:rsidP="003A4C20">
            <w:pPr>
              <w:spacing w:after="0" w:line="240" w:lineRule="auto"/>
              <w:jc w:val="center"/>
              <w:rPr>
                <w:rFonts w:ascii="Aptos Narrow" w:eastAsia="Times New Roman" w:hAnsi="Aptos Narrow" w:cs="Times New Roman"/>
                <w:i/>
                <w:iCs/>
                <w:color w:val="auto"/>
                <w:sz w:val="16"/>
                <w:szCs w:val="16"/>
              </w:rPr>
            </w:pPr>
            <w:r w:rsidRPr="003A4C20">
              <w:rPr>
                <w:rFonts w:ascii="Aptos Narrow" w:eastAsia="Times New Roman" w:hAnsi="Aptos Narrow" w:cs="Times New Roman"/>
                <w:i/>
                <w:iCs/>
                <w:color w:val="auto"/>
                <w:sz w:val="16"/>
                <w:szCs w:val="16"/>
              </w:rPr>
              <w:t>71400</w:t>
            </w:r>
          </w:p>
        </w:tc>
        <w:tc>
          <w:tcPr>
            <w:tcW w:w="1620" w:type="dxa"/>
            <w:tcBorders>
              <w:top w:val="nil"/>
              <w:left w:val="nil"/>
              <w:bottom w:val="nil"/>
              <w:right w:val="nil"/>
            </w:tcBorders>
            <w:shd w:val="clear" w:color="000000" w:fill="DAE9F8"/>
            <w:vAlign w:val="center"/>
            <w:hideMark/>
          </w:tcPr>
          <w:p w14:paraId="5E3C8339"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r w:rsidRPr="003A4C20">
              <w:rPr>
                <w:rFonts w:ascii="Aptos Narrow" w:eastAsia="Times New Roman" w:hAnsi="Aptos Narrow" w:cs="Times New Roman"/>
                <w:i/>
                <w:iCs/>
                <w:color w:val="auto"/>
                <w:sz w:val="16"/>
                <w:szCs w:val="16"/>
              </w:rPr>
              <w:t>Contractual Services-Individuals</w:t>
            </w:r>
          </w:p>
        </w:tc>
        <w:tc>
          <w:tcPr>
            <w:tcW w:w="990" w:type="dxa"/>
            <w:tcBorders>
              <w:top w:val="nil"/>
              <w:left w:val="single" w:sz="8" w:space="0" w:color="auto"/>
              <w:bottom w:val="single" w:sz="4" w:space="0" w:color="auto"/>
              <w:right w:val="single" w:sz="8" w:space="0" w:color="auto"/>
            </w:tcBorders>
            <w:shd w:val="clear" w:color="000000" w:fill="DAE9F8"/>
            <w:noWrap/>
            <w:vAlign w:val="bottom"/>
            <w:hideMark/>
          </w:tcPr>
          <w:p w14:paraId="5283122C"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34,719</w:t>
            </w:r>
          </w:p>
        </w:tc>
        <w:tc>
          <w:tcPr>
            <w:tcW w:w="990" w:type="dxa"/>
            <w:tcBorders>
              <w:top w:val="nil"/>
              <w:left w:val="nil"/>
              <w:bottom w:val="single" w:sz="4" w:space="0" w:color="auto"/>
              <w:right w:val="single" w:sz="8" w:space="0" w:color="auto"/>
            </w:tcBorders>
            <w:shd w:val="clear" w:color="000000" w:fill="DAE9F8"/>
            <w:noWrap/>
            <w:vAlign w:val="bottom"/>
            <w:hideMark/>
          </w:tcPr>
          <w:p w14:paraId="095D147A"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34,719</w:t>
            </w:r>
          </w:p>
        </w:tc>
        <w:tc>
          <w:tcPr>
            <w:tcW w:w="900" w:type="dxa"/>
            <w:tcBorders>
              <w:top w:val="nil"/>
              <w:left w:val="nil"/>
              <w:bottom w:val="single" w:sz="4" w:space="0" w:color="auto"/>
              <w:right w:val="single" w:sz="8" w:space="0" w:color="auto"/>
            </w:tcBorders>
            <w:shd w:val="clear" w:color="000000" w:fill="DAE9F8"/>
            <w:noWrap/>
            <w:vAlign w:val="bottom"/>
            <w:hideMark/>
          </w:tcPr>
          <w:p w14:paraId="52E754C6"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34,719</w:t>
            </w:r>
          </w:p>
        </w:tc>
        <w:tc>
          <w:tcPr>
            <w:tcW w:w="900" w:type="dxa"/>
            <w:tcBorders>
              <w:top w:val="nil"/>
              <w:left w:val="nil"/>
              <w:bottom w:val="single" w:sz="4" w:space="0" w:color="auto"/>
              <w:right w:val="single" w:sz="8" w:space="0" w:color="auto"/>
            </w:tcBorders>
            <w:shd w:val="clear" w:color="000000" w:fill="DAE9F8"/>
            <w:noWrap/>
            <w:vAlign w:val="bottom"/>
            <w:hideMark/>
          </w:tcPr>
          <w:p w14:paraId="0FAC2293"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34,719</w:t>
            </w:r>
          </w:p>
        </w:tc>
        <w:tc>
          <w:tcPr>
            <w:tcW w:w="990" w:type="dxa"/>
            <w:tcBorders>
              <w:top w:val="nil"/>
              <w:left w:val="nil"/>
              <w:bottom w:val="single" w:sz="4" w:space="0" w:color="auto"/>
              <w:right w:val="single" w:sz="8" w:space="0" w:color="auto"/>
            </w:tcBorders>
            <w:shd w:val="clear" w:color="000000" w:fill="DAE9F8"/>
            <w:noWrap/>
            <w:vAlign w:val="bottom"/>
            <w:hideMark/>
          </w:tcPr>
          <w:p w14:paraId="59B7116E"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138,876</w:t>
            </w:r>
          </w:p>
        </w:tc>
        <w:tc>
          <w:tcPr>
            <w:tcW w:w="720" w:type="dxa"/>
            <w:tcBorders>
              <w:top w:val="nil"/>
              <w:left w:val="nil"/>
              <w:bottom w:val="nil"/>
              <w:right w:val="single" w:sz="8" w:space="0" w:color="auto"/>
            </w:tcBorders>
            <w:shd w:val="clear" w:color="000000" w:fill="DAE9F8"/>
            <w:noWrap/>
            <w:vAlign w:val="center"/>
            <w:hideMark/>
          </w:tcPr>
          <w:p w14:paraId="5F24935C" w14:textId="77777777" w:rsidR="003A4C20" w:rsidRPr="003A4C20" w:rsidRDefault="003A4C20" w:rsidP="003A4C20">
            <w:pPr>
              <w:spacing w:after="0" w:line="240" w:lineRule="auto"/>
              <w:jc w:val="center"/>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6</w:t>
            </w:r>
          </w:p>
        </w:tc>
      </w:tr>
      <w:tr w:rsidR="00773071" w:rsidRPr="003A4C20" w14:paraId="07CDB636" w14:textId="77777777" w:rsidTr="00773071">
        <w:trPr>
          <w:trHeight w:val="290"/>
        </w:trPr>
        <w:tc>
          <w:tcPr>
            <w:tcW w:w="1250" w:type="dxa"/>
            <w:vMerge/>
            <w:tcBorders>
              <w:top w:val="single" w:sz="8" w:space="0" w:color="auto"/>
              <w:left w:val="single" w:sz="8" w:space="0" w:color="auto"/>
              <w:bottom w:val="single" w:sz="4" w:space="0" w:color="auto"/>
              <w:right w:val="single" w:sz="8" w:space="0" w:color="auto"/>
            </w:tcBorders>
            <w:vAlign w:val="center"/>
            <w:hideMark/>
          </w:tcPr>
          <w:p w14:paraId="48CD02AB" w14:textId="77777777" w:rsidR="003A4C20" w:rsidRPr="003A4C20" w:rsidRDefault="003A4C20" w:rsidP="003A4C20">
            <w:pPr>
              <w:spacing w:after="0" w:line="240" w:lineRule="auto"/>
              <w:rPr>
                <w:rFonts w:ascii="Aptos Narrow" w:eastAsia="Times New Roman" w:hAnsi="Aptos Narrow" w:cs="Times New Roman"/>
                <w:b/>
                <w:bCs/>
                <w:i/>
                <w:iCs/>
                <w:color w:val="auto"/>
                <w:sz w:val="16"/>
                <w:szCs w:val="16"/>
              </w:rPr>
            </w:pPr>
          </w:p>
        </w:tc>
        <w:tc>
          <w:tcPr>
            <w:tcW w:w="1460" w:type="dxa"/>
            <w:vMerge/>
            <w:tcBorders>
              <w:top w:val="single" w:sz="8" w:space="0" w:color="auto"/>
              <w:left w:val="nil"/>
              <w:bottom w:val="single" w:sz="4" w:space="0" w:color="auto"/>
              <w:right w:val="single" w:sz="4" w:space="0" w:color="auto"/>
            </w:tcBorders>
            <w:vAlign w:val="center"/>
            <w:hideMark/>
          </w:tcPr>
          <w:p w14:paraId="7BEC2E69"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1036" w:type="dxa"/>
            <w:vMerge/>
            <w:tcBorders>
              <w:top w:val="single" w:sz="8" w:space="0" w:color="auto"/>
              <w:left w:val="single" w:sz="4" w:space="0" w:color="auto"/>
              <w:bottom w:val="nil"/>
              <w:right w:val="single" w:sz="4" w:space="0" w:color="auto"/>
            </w:tcBorders>
            <w:vAlign w:val="center"/>
            <w:hideMark/>
          </w:tcPr>
          <w:p w14:paraId="2EBD7F9C"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834" w:type="dxa"/>
            <w:vMerge/>
            <w:tcBorders>
              <w:top w:val="single" w:sz="8" w:space="0" w:color="auto"/>
              <w:left w:val="single" w:sz="4" w:space="0" w:color="auto"/>
              <w:bottom w:val="nil"/>
              <w:right w:val="single" w:sz="4" w:space="0" w:color="auto"/>
            </w:tcBorders>
            <w:vAlign w:val="center"/>
            <w:hideMark/>
          </w:tcPr>
          <w:p w14:paraId="36D55B1D"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834" w:type="dxa"/>
            <w:vMerge/>
            <w:tcBorders>
              <w:top w:val="single" w:sz="8" w:space="0" w:color="auto"/>
              <w:left w:val="single" w:sz="4" w:space="0" w:color="auto"/>
              <w:bottom w:val="nil"/>
              <w:right w:val="single" w:sz="8" w:space="0" w:color="auto"/>
            </w:tcBorders>
            <w:vAlign w:val="center"/>
            <w:hideMark/>
          </w:tcPr>
          <w:p w14:paraId="32154067"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966" w:type="dxa"/>
            <w:vMerge/>
            <w:tcBorders>
              <w:top w:val="single" w:sz="8" w:space="0" w:color="auto"/>
              <w:left w:val="single" w:sz="8" w:space="0" w:color="auto"/>
              <w:bottom w:val="nil"/>
              <w:right w:val="single" w:sz="8" w:space="0" w:color="auto"/>
            </w:tcBorders>
            <w:vAlign w:val="center"/>
            <w:hideMark/>
          </w:tcPr>
          <w:p w14:paraId="7454733A"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990" w:type="dxa"/>
            <w:tcBorders>
              <w:top w:val="nil"/>
              <w:left w:val="single" w:sz="8" w:space="0" w:color="auto"/>
              <w:bottom w:val="single" w:sz="4" w:space="0" w:color="auto"/>
              <w:right w:val="single" w:sz="4" w:space="0" w:color="auto"/>
            </w:tcBorders>
            <w:shd w:val="clear" w:color="000000" w:fill="DAE9F8"/>
            <w:vAlign w:val="center"/>
            <w:hideMark/>
          </w:tcPr>
          <w:p w14:paraId="66D560AB" w14:textId="77777777" w:rsidR="003A4C20" w:rsidRPr="003A4C20" w:rsidRDefault="003A4C20" w:rsidP="003A4C20">
            <w:pPr>
              <w:spacing w:after="0" w:line="240" w:lineRule="auto"/>
              <w:jc w:val="center"/>
              <w:rPr>
                <w:rFonts w:ascii="Aptos Narrow" w:eastAsia="Times New Roman" w:hAnsi="Aptos Narrow" w:cs="Times New Roman"/>
                <w:i/>
                <w:iCs/>
                <w:color w:val="auto"/>
                <w:sz w:val="16"/>
                <w:szCs w:val="16"/>
              </w:rPr>
            </w:pPr>
            <w:r w:rsidRPr="003A4C20">
              <w:rPr>
                <w:rFonts w:ascii="Aptos Narrow" w:eastAsia="Times New Roman" w:hAnsi="Aptos Narrow" w:cs="Times New Roman"/>
                <w:i/>
                <w:iCs/>
                <w:color w:val="auto"/>
                <w:sz w:val="16"/>
                <w:szCs w:val="16"/>
              </w:rPr>
              <w:t>71600</w:t>
            </w:r>
          </w:p>
        </w:tc>
        <w:tc>
          <w:tcPr>
            <w:tcW w:w="1620" w:type="dxa"/>
            <w:tcBorders>
              <w:top w:val="single" w:sz="4" w:space="0" w:color="auto"/>
              <w:left w:val="nil"/>
              <w:bottom w:val="single" w:sz="4" w:space="0" w:color="auto"/>
              <w:right w:val="nil"/>
            </w:tcBorders>
            <w:shd w:val="clear" w:color="000000" w:fill="DAE9F8"/>
            <w:vAlign w:val="center"/>
            <w:hideMark/>
          </w:tcPr>
          <w:p w14:paraId="22EA6FD7"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r w:rsidRPr="003A4C20">
              <w:rPr>
                <w:rFonts w:ascii="Aptos Narrow" w:eastAsia="Times New Roman" w:hAnsi="Aptos Narrow" w:cs="Times New Roman"/>
                <w:i/>
                <w:iCs/>
                <w:color w:val="auto"/>
                <w:sz w:val="16"/>
                <w:szCs w:val="16"/>
              </w:rPr>
              <w:t>Travel</w:t>
            </w:r>
          </w:p>
        </w:tc>
        <w:tc>
          <w:tcPr>
            <w:tcW w:w="990" w:type="dxa"/>
            <w:tcBorders>
              <w:top w:val="nil"/>
              <w:left w:val="single" w:sz="8" w:space="0" w:color="auto"/>
              <w:bottom w:val="single" w:sz="4" w:space="0" w:color="auto"/>
              <w:right w:val="single" w:sz="8" w:space="0" w:color="auto"/>
            </w:tcBorders>
            <w:shd w:val="clear" w:color="000000" w:fill="DAE9F8"/>
            <w:noWrap/>
            <w:vAlign w:val="bottom"/>
            <w:hideMark/>
          </w:tcPr>
          <w:p w14:paraId="16D15E47"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20,000</w:t>
            </w:r>
          </w:p>
        </w:tc>
        <w:tc>
          <w:tcPr>
            <w:tcW w:w="990" w:type="dxa"/>
            <w:tcBorders>
              <w:top w:val="nil"/>
              <w:left w:val="nil"/>
              <w:bottom w:val="single" w:sz="4" w:space="0" w:color="auto"/>
              <w:right w:val="single" w:sz="8" w:space="0" w:color="auto"/>
            </w:tcBorders>
            <w:shd w:val="clear" w:color="000000" w:fill="DAE9F8"/>
            <w:noWrap/>
            <w:vAlign w:val="bottom"/>
            <w:hideMark/>
          </w:tcPr>
          <w:p w14:paraId="791A9518"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20,000</w:t>
            </w:r>
          </w:p>
        </w:tc>
        <w:tc>
          <w:tcPr>
            <w:tcW w:w="900" w:type="dxa"/>
            <w:tcBorders>
              <w:top w:val="nil"/>
              <w:left w:val="nil"/>
              <w:bottom w:val="single" w:sz="4" w:space="0" w:color="auto"/>
              <w:right w:val="single" w:sz="8" w:space="0" w:color="auto"/>
            </w:tcBorders>
            <w:shd w:val="clear" w:color="000000" w:fill="DAE9F8"/>
            <w:noWrap/>
            <w:vAlign w:val="bottom"/>
            <w:hideMark/>
          </w:tcPr>
          <w:p w14:paraId="0BD6A89E"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20,000</w:t>
            </w:r>
          </w:p>
        </w:tc>
        <w:tc>
          <w:tcPr>
            <w:tcW w:w="900" w:type="dxa"/>
            <w:tcBorders>
              <w:top w:val="nil"/>
              <w:left w:val="nil"/>
              <w:bottom w:val="single" w:sz="4" w:space="0" w:color="auto"/>
              <w:right w:val="single" w:sz="8" w:space="0" w:color="auto"/>
            </w:tcBorders>
            <w:shd w:val="clear" w:color="000000" w:fill="DAE9F8"/>
            <w:noWrap/>
            <w:vAlign w:val="bottom"/>
            <w:hideMark/>
          </w:tcPr>
          <w:p w14:paraId="450F6248"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20,000</w:t>
            </w:r>
          </w:p>
        </w:tc>
        <w:tc>
          <w:tcPr>
            <w:tcW w:w="990" w:type="dxa"/>
            <w:tcBorders>
              <w:top w:val="nil"/>
              <w:left w:val="nil"/>
              <w:bottom w:val="single" w:sz="4" w:space="0" w:color="auto"/>
              <w:right w:val="single" w:sz="8" w:space="0" w:color="auto"/>
            </w:tcBorders>
            <w:shd w:val="clear" w:color="000000" w:fill="DAE9F8"/>
            <w:noWrap/>
            <w:vAlign w:val="bottom"/>
            <w:hideMark/>
          </w:tcPr>
          <w:p w14:paraId="7A3A366D"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80,000</w:t>
            </w:r>
          </w:p>
        </w:tc>
        <w:tc>
          <w:tcPr>
            <w:tcW w:w="720" w:type="dxa"/>
            <w:tcBorders>
              <w:top w:val="single" w:sz="4" w:space="0" w:color="auto"/>
              <w:left w:val="nil"/>
              <w:bottom w:val="single" w:sz="4" w:space="0" w:color="auto"/>
              <w:right w:val="single" w:sz="4" w:space="0" w:color="auto"/>
            </w:tcBorders>
            <w:shd w:val="clear" w:color="000000" w:fill="DAE9F8"/>
            <w:noWrap/>
            <w:vAlign w:val="center"/>
            <w:hideMark/>
          </w:tcPr>
          <w:p w14:paraId="2646DE5F" w14:textId="77777777" w:rsidR="003A4C20" w:rsidRPr="003A4C20" w:rsidRDefault="003A4C20" w:rsidP="003A4C20">
            <w:pPr>
              <w:spacing w:after="0" w:line="240" w:lineRule="auto"/>
              <w:jc w:val="center"/>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7</w:t>
            </w:r>
          </w:p>
        </w:tc>
      </w:tr>
      <w:tr w:rsidR="00773071" w:rsidRPr="003A4C20" w14:paraId="78D6E9E0" w14:textId="77777777" w:rsidTr="00773071">
        <w:trPr>
          <w:trHeight w:val="420"/>
        </w:trPr>
        <w:tc>
          <w:tcPr>
            <w:tcW w:w="1250" w:type="dxa"/>
            <w:vMerge/>
            <w:tcBorders>
              <w:top w:val="single" w:sz="8" w:space="0" w:color="auto"/>
              <w:left w:val="single" w:sz="8" w:space="0" w:color="auto"/>
              <w:bottom w:val="single" w:sz="4" w:space="0" w:color="auto"/>
              <w:right w:val="single" w:sz="8" w:space="0" w:color="auto"/>
            </w:tcBorders>
            <w:vAlign w:val="center"/>
            <w:hideMark/>
          </w:tcPr>
          <w:p w14:paraId="79D3E4F8" w14:textId="77777777" w:rsidR="003A4C20" w:rsidRPr="003A4C20" w:rsidRDefault="003A4C20" w:rsidP="003A4C20">
            <w:pPr>
              <w:spacing w:after="0" w:line="240" w:lineRule="auto"/>
              <w:rPr>
                <w:rFonts w:ascii="Aptos Narrow" w:eastAsia="Times New Roman" w:hAnsi="Aptos Narrow" w:cs="Times New Roman"/>
                <w:b/>
                <w:bCs/>
                <w:i/>
                <w:iCs/>
                <w:color w:val="auto"/>
                <w:sz w:val="16"/>
                <w:szCs w:val="16"/>
              </w:rPr>
            </w:pPr>
          </w:p>
        </w:tc>
        <w:tc>
          <w:tcPr>
            <w:tcW w:w="1460" w:type="dxa"/>
            <w:vMerge/>
            <w:tcBorders>
              <w:top w:val="single" w:sz="8" w:space="0" w:color="auto"/>
              <w:left w:val="nil"/>
              <w:bottom w:val="single" w:sz="4" w:space="0" w:color="auto"/>
              <w:right w:val="single" w:sz="4" w:space="0" w:color="auto"/>
            </w:tcBorders>
            <w:vAlign w:val="center"/>
            <w:hideMark/>
          </w:tcPr>
          <w:p w14:paraId="5103F681"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1036" w:type="dxa"/>
            <w:vMerge/>
            <w:tcBorders>
              <w:top w:val="single" w:sz="8" w:space="0" w:color="auto"/>
              <w:left w:val="single" w:sz="4" w:space="0" w:color="auto"/>
              <w:bottom w:val="nil"/>
              <w:right w:val="single" w:sz="4" w:space="0" w:color="auto"/>
            </w:tcBorders>
            <w:vAlign w:val="center"/>
            <w:hideMark/>
          </w:tcPr>
          <w:p w14:paraId="201488CF"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834" w:type="dxa"/>
            <w:vMerge/>
            <w:tcBorders>
              <w:top w:val="single" w:sz="8" w:space="0" w:color="auto"/>
              <w:left w:val="single" w:sz="4" w:space="0" w:color="auto"/>
              <w:bottom w:val="nil"/>
              <w:right w:val="single" w:sz="4" w:space="0" w:color="auto"/>
            </w:tcBorders>
            <w:vAlign w:val="center"/>
            <w:hideMark/>
          </w:tcPr>
          <w:p w14:paraId="4ED12DC9"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834" w:type="dxa"/>
            <w:vMerge/>
            <w:tcBorders>
              <w:top w:val="single" w:sz="8" w:space="0" w:color="auto"/>
              <w:left w:val="single" w:sz="4" w:space="0" w:color="auto"/>
              <w:bottom w:val="nil"/>
              <w:right w:val="single" w:sz="8" w:space="0" w:color="auto"/>
            </w:tcBorders>
            <w:vAlign w:val="center"/>
            <w:hideMark/>
          </w:tcPr>
          <w:p w14:paraId="49D667E3"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966" w:type="dxa"/>
            <w:vMerge/>
            <w:tcBorders>
              <w:top w:val="single" w:sz="8" w:space="0" w:color="auto"/>
              <w:left w:val="single" w:sz="8" w:space="0" w:color="auto"/>
              <w:bottom w:val="nil"/>
              <w:right w:val="single" w:sz="8" w:space="0" w:color="auto"/>
            </w:tcBorders>
            <w:vAlign w:val="center"/>
            <w:hideMark/>
          </w:tcPr>
          <w:p w14:paraId="415C5092"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990" w:type="dxa"/>
            <w:tcBorders>
              <w:top w:val="nil"/>
              <w:left w:val="single" w:sz="8" w:space="0" w:color="auto"/>
              <w:bottom w:val="nil"/>
              <w:right w:val="single" w:sz="4" w:space="0" w:color="auto"/>
            </w:tcBorders>
            <w:shd w:val="clear" w:color="000000" w:fill="DAE9F8"/>
            <w:vAlign w:val="center"/>
            <w:hideMark/>
          </w:tcPr>
          <w:p w14:paraId="0D8BDA77" w14:textId="77777777" w:rsidR="003A4C20" w:rsidRPr="003A4C20" w:rsidRDefault="003A4C20" w:rsidP="003A4C20">
            <w:pPr>
              <w:spacing w:after="0" w:line="240" w:lineRule="auto"/>
              <w:jc w:val="center"/>
              <w:rPr>
                <w:rFonts w:ascii="Aptos Narrow" w:eastAsia="Times New Roman" w:hAnsi="Aptos Narrow" w:cs="Times New Roman"/>
                <w:i/>
                <w:iCs/>
                <w:color w:val="auto"/>
                <w:sz w:val="16"/>
                <w:szCs w:val="16"/>
              </w:rPr>
            </w:pPr>
            <w:r w:rsidRPr="003A4C20">
              <w:rPr>
                <w:rFonts w:ascii="Aptos Narrow" w:eastAsia="Times New Roman" w:hAnsi="Aptos Narrow" w:cs="Times New Roman"/>
                <w:i/>
                <w:iCs/>
                <w:color w:val="auto"/>
                <w:sz w:val="16"/>
                <w:szCs w:val="16"/>
              </w:rPr>
              <w:t>72100</w:t>
            </w:r>
          </w:p>
        </w:tc>
        <w:tc>
          <w:tcPr>
            <w:tcW w:w="1620" w:type="dxa"/>
            <w:tcBorders>
              <w:top w:val="nil"/>
              <w:left w:val="nil"/>
              <w:bottom w:val="single" w:sz="4" w:space="0" w:color="auto"/>
              <w:right w:val="nil"/>
            </w:tcBorders>
            <w:shd w:val="clear" w:color="000000" w:fill="DAE9F8"/>
            <w:vAlign w:val="center"/>
            <w:hideMark/>
          </w:tcPr>
          <w:p w14:paraId="4948D083"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r w:rsidRPr="003A4C20">
              <w:rPr>
                <w:rFonts w:ascii="Aptos Narrow" w:eastAsia="Times New Roman" w:hAnsi="Aptos Narrow" w:cs="Times New Roman"/>
                <w:i/>
                <w:iCs/>
                <w:color w:val="auto"/>
                <w:sz w:val="16"/>
                <w:szCs w:val="16"/>
              </w:rPr>
              <w:t xml:space="preserve">Contractual Services-Companies </w:t>
            </w:r>
          </w:p>
        </w:tc>
        <w:tc>
          <w:tcPr>
            <w:tcW w:w="990" w:type="dxa"/>
            <w:tcBorders>
              <w:top w:val="nil"/>
              <w:left w:val="single" w:sz="8" w:space="0" w:color="auto"/>
              <w:bottom w:val="single" w:sz="4" w:space="0" w:color="auto"/>
              <w:right w:val="single" w:sz="8" w:space="0" w:color="auto"/>
            </w:tcBorders>
            <w:shd w:val="clear" w:color="000000" w:fill="DAE9F8"/>
            <w:noWrap/>
            <w:vAlign w:val="bottom"/>
            <w:hideMark/>
          </w:tcPr>
          <w:p w14:paraId="0973FDCC"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0</w:t>
            </w:r>
          </w:p>
        </w:tc>
        <w:tc>
          <w:tcPr>
            <w:tcW w:w="990" w:type="dxa"/>
            <w:tcBorders>
              <w:top w:val="nil"/>
              <w:left w:val="nil"/>
              <w:bottom w:val="single" w:sz="4" w:space="0" w:color="auto"/>
              <w:right w:val="single" w:sz="8" w:space="0" w:color="auto"/>
            </w:tcBorders>
            <w:shd w:val="clear" w:color="000000" w:fill="DAE9F8"/>
            <w:noWrap/>
            <w:vAlign w:val="bottom"/>
            <w:hideMark/>
          </w:tcPr>
          <w:p w14:paraId="41DC242C"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750,000</w:t>
            </w:r>
          </w:p>
        </w:tc>
        <w:tc>
          <w:tcPr>
            <w:tcW w:w="900" w:type="dxa"/>
            <w:tcBorders>
              <w:top w:val="nil"/>
              <w:left w:val="nil"/>
              <w:bottom w:val="single" w:sz="4" w:space="0" w:color="auto"/>
              <w:right w:val="single" w:sz="8" w:space="0" w:color="auto"/>
            </w:tcBorders>
            <w:shd w:val="clear" w:color="000000" w:fill="DAE9F8"/>
            <w:noWrap/>
            <w:vAlign w:val="bottom"/>
            <w:hideMark/>
          </w:tcPr>
          <w:p w14:paraId="35647424"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250,000</w:t>
            </w:r>
          </w:p>
        </w:tc>
        <w:tc>
          <w:tcPr>
            <w:tcW w:w="900" w:type="dxa"/>
            <w:tcBorders>
              <w:top w:val="nil"/>
              <w:left w:val="nil"/>
              <w:bottom w:val="single" w:sz="4" w:space="0" w:color="auto"/>
              <w:right w:val="single" w:sz="8" w:space="0" w:color="auto"/>
            </w:tcBorders>
            <w:shd w:val="clear" w:color="000000" w:fill="DAE9F8"/>
            <w:noWrap/>
            <w:vAlign w:val="bottom"/>
            <w:hideMark/>
          </w:tcPr>
          <w:p w14:paraId="69C85FD8"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0</w:t>
            </w:r>
          </w:p>
        </w:tc>
        <w:tc>
          <w:tcPr>
            <w:tcW w:w="990" w:type="dxa"/>
            <w:tcBorders>
              <w:top w:val="nil"/>
              <w:left w:val="nil"/>
              <w:bottom w:val="single" w:sz="4" w:space="0" w:color="auto"/>
              <w:right w:val="single" w:sz="8" w:space="0" w:color="auto"/>
            </w:tcBorders>
            <w:shd w:val="clear" w:color="000000" w:fill="DAE9F8"/>
            <w:noWrap/>
            <w:vAlign w:val="bottom"/>
            <w:hideMark/>
          </w:tcPr>
          <w:p w14:paraId="4711C858"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1,000,000</w:t>
            </w:r>
          </w:p>
        </w:tc>
        <w:tc>
          <w:tcPr>
            <w:tcW w:w="720" w:type="dxa"/>
            <w:tcBorders>
              <w:top w:val="nil"/>
              <w:left w:val="nil"/>
              <w:bottom w:val="single" w:sz="4" w:space="0" w:color="auto"/>
              <w:right w:val="single" w:sz="4" w:space="0" w:color="auto"/>
            </w:tcBorders>
            <w:shd w:val="clear" w:color="000000" w:fill="DAE9F8"/>
            <w:noWrap/>
            <w:vAlign w:val="center"/>
            <w:hideMark/>
          </w:tcPr>
          <w:p w14:paraId="103FC0DF" w14:textId="77777777" w:rsidR="003A4C20" w:rsidRPr="003A4C20" w:rsidRDefault="003A4C20" w:rsidP="003A4C20">
            <w:pPr>
              <w:spacing w:after="0" w:line="240" w:lineRule="auto"/>
              <w:jc w:val="center"/>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8a</w:t>
            </w:r>
          </w:p>
        </w:tc>
      </w:tr>
      <w:tr w:rsidR="00773071" w:rsidRPr="003A4C20" w14:paraId="5BB17974" w14:textId="77777777" w:rsidTr="00773071">
        <w:trPr>
          <w:trHeight w:val="300"/>
        </w:trPr>
        <w:tc>
          <w:tcPr>
            <w:tcW w:w="1250" w:type="dxa"/>
            <w:vMerge/>
            <w:tcBorders>
              <w:top w:val="single" w:sz="8" w:space="0" w:color="auto"/>
              <w:left w:val="single" w:sz="8" w:space="0" w:color="auto"/>
              <w:bottom w:val="single" w:sz="4" w:space="0" w:color="auto"/>
              <w:right w:val="single" w:sz="8" w:space="0" w:color="auto"/>
            </w:tcBorders>
            <w:vAlign w:val="center"/>
            <w:hideMark/>
          </w:tcPr>
          <w:p w14:paraId="67D71F6C" w14:textId="77777777" w:rsidR="003A4C20" w:rsidRPr="003A4C20" w:rsidRDefault="003A4C20" w:rsidP="003A4C20">
            <w:pPr>
              <w:spacing w:after="0" w:line="240" w:lineRule="auto"/>
              <w:rPr>
                <w:rFonts w:ascii="Aptos Narrow" w:eastAsia="Times New Roman" w:hAnsi="Aptos Narrow" w:cs="Times New Roman"/>
                <w:b/>
                <w:bCs/>
                <w:i/>
                <w:iCs/>
                <w:color w:val="auto"/>
                <w:sz w:val="16"/>
                <w:szCs w:val="16"/>
              </w:rPr>
            </w:pPr>
          </w:p>
        </w:tc>
        <w:tc>
          <w:tcPr>
            <w:tcW w:w="1460" w:type="dxa"/>
            <w:vMerge/>
            <w:tcBorders>
              <w:top w:val="single" w:sz="8" w:space="0" w:color="auto"/>
              <w:left w:val="nil"/>
              <w:bottom w:val="single" w:sz="4" w:space="0" w:color="auto"/>
              <w:right w:val="single" w:sz="4" w:space="0" w:color="auto"/>
            </w:tcBorders>
            <w:vAlign w:val="center"/>
            <w:hideMark/>
          </w:tcPr>
          <w:p w14:paraId="42DD658D"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1036" w:type="dxa"/>
            <w:vMerge/>
            <w:tcBorders>
              <w:top w:val="single" w:sz="8" w:space="0" w:color="auto"/>
              <w:left w:val="single" w:sz="4" w:space="0" w:color="auto"/>
              <w:bottom w:val="nil"/>
              <w:right w:val="single" w:sz="4" w:space="0" w:color="auto"/>
            </w:tcBorders>
            <w:vAlign w:val="center"/>
            <w:hideMark/>
          </w:tcPr>
          <w:p w14:paraId="428D9A9B"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834" w:type="dxa"/>
            <w:vMerge/>
            <w:tcBorders>
              <w:top w:val="single" w:sz="8" w:space="0" w:color="auto"/>
              <w:left w:val="single" w:sz="4" w:space="0" w:color="auto"/>
              <w:bottom w:val="nil"/>
              <w:right w:val="single" w:sz="4" w:space="0" w:color="auto"/>
            </w:tcBorders>
            <w:vAlign w:val="center"/>
            <w:hideMark/>
          </w:tcPr>
          <w:p w14:paraId="4D70F19E"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834" w:type="dxa"/>
            <w:vMerge/>
            <w:tcBorders>
              <w:top w:val="single" w:sz="8" w:space="0" w:color="auto"/>
              <w:left w:val="single" w:sz="4" w:space="0" w:color="auto"/>
              <w:bottom w:val="nil"/>
              <w:right w:val="single" w:sz="8" w:space="0" w:color="auto"/>
            </w:tcBorders>
            <w:vAlign w:val="center"/>
            <w:hideMark/>
          </w:tcPr>
          <w:p w14:paraId="00F214EA"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966" w:type="dxa"/>
            <w:vMerge/>
            <w:tcBorders>
              <w:top w:val="single" w:sz="8" w:space="0" w:color="auto"/>
              <w:left w:val="single" w:sz="8" w:space="0" w:color="auto"/>
              <w:bottom w:val="nil"/>
              <w:right w:val="single" w:sz="8" w:space="0" w:color="auto"/>
            </w:tcBorders>
            <w:vAlign w:val="center"/>
            <w:hideMark/>
          </w:tcPr>
          <w:p w14:paraId="621918AB"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990" w:type="dxa"/>
            <w:tcBorders>
              <w:top w:val="single" w:sz="4" w:space="0" w:color="auto"/>
              <w:left w:val="single" w:sz="8" w:space="0" w:color="auto"/>
              <w:bottom w:val="nil"/>
              <w:right w:val="single" w:sz="4" w:space="0" w:color="auto"/>
            </w:tcBorders>
            <w:shd w:val="clear" w:color="000000" w:fill="DAE9F8"/>
            <w:vAlign w:val="center"/>
            <w:hideMark/>
          </w:tcPr>
          <w:p w14:paraId="77D432C8" w14:textId="77777777" w:rsidR="003A4C20" w:rsidRPr="003A4C20" w:rsidRDefault="003A4C20" w:rsidP="003A4C20">
            <w:pPr>
              <w:spacing w:after="0" w:line="240" w:lineRule="auto"/>
              <w:jc w:val="center"/>
              <w:rPr>
                <w:rFonts w:ascii="Aptos Narrow" w:eastAsia="Times New Roman" w:hAnsi="Aptos Narrow" w:cs="Times New Roman"/>
                <w:i/>
                <w:iCs/>
                <w:color w:val="auto"/>
                <w:sz w:val="16"/>
                <w:szCs w:val="16"/>
              </w:rPr>
            </w:pPr>
            <w:r w:rsidRPr="003A4C20">
              <w:rPr>
                <w:rFonts w:ascii="Aptos Narrow" w:eastAsia="Times New Roman" w:hAnsi="Aptos Narrow" w:cs="Times New Roman"/>
                <w:i/>
                <w:iCs/>
                <w:color w:val="auto"/>
                <w:sz w:val="16"/>
                <w:szCs w:val="16"/>
              </w:rPr>
              <w:t>72600</w:t>
            </w:r>
          </w:p>
        </w:tc>
        <w:tc>
          <w:tcPr>
            <w:tcW w:w="1620" w:type="dxa"/>
            <w:tcBorders>
              <w:top w:val="nil"/>
              <w:left w:val="nil"/>
              <w:bottom w:val="nil"/>
              <w:right w:val="nil"/>
            </w:tcBorders>
            <w:shd w:val="clear" w:color="000000" w:fill="DAE9F8"/>
            <w:vAlign w:val="center"/>
            <w:hideMark/>
          </w:tcPr>
          <w:p w14:paraId="22AD2615"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r w:rsidRPr="003A4C20">
              <w:rPr>
                <w:rFonts w:ascii="Aptos Narrow" w:eastAsia="Times New Roman" w:hAnsi="Aptos Narrow" w:cs="Times New Roman"/>
                <w:i/>
                <w:iCs/>
                <w:color w:val="auto"/>
                <w:sz w:val="16"/>
                <w:szCs w:val="16"/>
              </w:rPr>
              <w:t>Grants</w:t>
            </w:r>
          </w:p>
        </w:tc>
        <w:tc>
          <w:tcPr>
            <w:tcW w:w="990" w:type="dxa"/>
            <w:tcBorders>
              <w:top w:val="nil"/>
              <w:left w:val="single" w:sz="8" w:space="0" w:color="auto"/>
              <w:bottom w:val="single" w:sz="8" w:space="0" w:color="auto"/>
              <w:right w:val="single" w:sz="8" w:space="0" w:color="auto"/>
            </w:tcBorders>
            <w:shd w:val="clear" w:color="000000" w:fill="DAE9F8"/>
            <w:noWrap/>
            <w:vAlign w:val="center"/>
            <w:hideMark/>
          </w:tcPr>
          <w:p w14:paraId="679ABE2E"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0</w:t>
            </w:r>
          </w:p>
        </w:tc>
        <w:tc>
          <w:tcPr>
            <w:tcW w:w="990" w:type="dxa"/>
            <w:tcBorders>
              <w:top w:val="nil"/>
              <w:left w:val="nil"/>
              <w:bottom w:val="single" w:sz="8" w:space="0" w:color="auto"/>
              <w:right w:val="single" w:sz="8" w:space="0" w:color="auto"/>
            </w:tcBorders>
            <w:shd w:val="clear" w:color="000000" w:fill="DAE9F8"/>
            <w:noWrap/>
            <w:vAlign w:val="center"/>
            <w:hideMark/>
          </w:tcPr>
          <w:p w14:paraId="367EE0A6"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750,000</w:t>
            </w:r>
          </w:p>
        </w:tc>
        <w:tc>
          <w:tcPr>
            <w:tcW w:w="900" w:type="dxa"/>
            <w:tcBorders>
              <w:top w:val="nil"/>
              <w:left w:val="nil"/>
              <w:bottom w:val="single" w:sz="8" w:space="0" w:color="auto"/>
              <w:right w:val="single" w:sz="8" w:space="0" w:color="auto"/>
            </w:tcBorders>
            <w:shd w:val="clear" w:color="000000" w:fill="DAE9F8"/>
            <w:noWrap/>
            <w:vAlign w:val="center"/>
            <w:hideMark/>
          </w:tcPr>
          <w:p w14:paraId="3C7D1666"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300,000</w:t>
            </w:r>
          </w:p>
        </w:tc>
        <w:tc>
          <w:tcPr>
            <w:tcW w:w="900" w:type="dxa"/>
            <w:tcBorders>
              <w:top w:val="nil"/>
              <w:left w:val="nil"/>
              <w:bottom w:val="single" w:sz="8" w:space="0" w:color="auto"/>
              <w:right w:val="single" w:sz="8" w:space="0" w:color="auto"/>
            </w:tcBorders>
            <w:shd w:val="clear" w:color="000000" w:fill="DAE9F8"/>
            <w:noWrap/>
            <w:vAlign w:val="center"/>
            <w:hideMark/>
          </w:tcPr>
          <w:p w14:paraId="25D11595"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0</w:t>
            </w:r>
          </w:p>
        </w:tc>
        <w:tc>
          <w:tcPr>
            <w:tcW w:w="990" w:type="dxa"/>
            <w:tcBorders>
              <w:top w:val="nil"/>
              <w:left w:val="single" w:sz="8" w:space="0" w:color="auto"/>
              <w:bottom w:val="single" w:sz="4" w:space="0" w:color="auto"/>
              <w:right w:val="single" w:sz="8" w:space="0" w:color="auto"/>
            </w:tcBorders>
            <w:shd w:val="clear" w:color="000000" w:fill="DAE9F8"/>
            <w:noWrap/>
            <w:vAlign w:val="bottom"/>
            <w:hideMark/>
          </w:tcPr>
          <w:p w14:paraId="6135B664"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1,050,000</w:t>
            </w:r>
          </w:p>
        </w:tc>
        <w:tc>
          <w:tcPr>
            <w:tcW w:w="720" w:type="dxa"/>
            <w:tcBorders>
              <w:top w:val="nil"/>
              <w:left w:val="nil"/>
              <w:bottom w:val="single" w:sz="8" w:space="0" w:color="auto"/>
              <w:right w:val="single" w:sz="8" w:space="0" w:color="auto"/>
            </w:tcBorders>
            <w:shd w:val="clear" w:color="000000" w:fill="DAE9F8"/>
            <w:noWrap/>
            <w:vAlign w:val="center"/>
            <w:hideMark/>
          </w:tcPr>
          <w:p w14:paraId="64A2FC2F" w14:textId="77777777" w:rsidR="003A4C20" w:rsidRPr="003A4C20" w:rsidRDefault="003A4C20" w:rsidP="003A4C20">
            <w:pPr>
              <w:spacing w:after="0" w:line="240" w:lineRule="auto"/>
              <w:jc w:val="center"/>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8b</w:t>
            </w:r>
          </w:p>
        </w:tc>
      </w:tr>
      <w:tr w:rsidR="006E140E" w:rsidRPr="003A4C20" w14:paraId="40A36C69" w14:textId="77777777" w:rsidTr="00773071">
        <w:trPr>
          <w:trHeight w:val="300"/>
        </w:trPr>
        <w:tc>
          <w:tcPr>
            <w:tcW w:w="8990" w:type="dxa"/>
            <w:gridSpan w:val="8"/>
            <w:tcBorders>
              <w:top w:val="single" w:sz="8" w:space="0" w:color="auto"/>
              <w:left w:val="single" w:sz="8" w:space="0" w:color="auto"/>
              <w:bottom w:val="single" w:sz="8" w:space="0" w:color="auto"/>
              <w:right w:val="single" w:sz="4" w:space="0" w:color="auto"/>
            </w:tcBorders>
            <w:shd w:val="clear" w:color="000000" w:fill="808080"/>
            <w:vAlign w:val="center"/>
            <w:hideMark/>
          </w:tcPr>
          <w:p w14:paraId="428D43F0" w14:textId="77777777" w:rsidR="003A4C20" w:rsidRPr="003A4C20" w:rsidRDefault="003A4C20" w:rsidP="003A4C20">
            <w:pPr>
              <w:spacing w:after="0" w:line="240" w:lineRule="auto"/>
              <w:rPr>
                <w:rFonts w:ascii="Aptos Narrow" w:eastAsia="Times New Roman" w:hAnsi="Aptos Narrow" w:cs="Times New Roman"/>
                <w:b/>
                <w:bCs/>
                <w:i/>
                <w:iCs/>
                <w:color w:val="FFFFFF"/>
                <w:sz w:val="16"/>
                <w:szCs w:val="16"/>
              </w:rPr>
            </w:pPr>
            <w:r w:rsidRPr="003A4C20">
              <w:rPr>
                <w:rFonts w:ascii="Aptos Narrow" w:eastAsia="Times New Roman" w:hAnsi="Aptos Narrow" w:cs="Times New Roman"/>
                <w:b/>
                <w:bCs/>
                <w:i/>
                <w:iCs/>
                <w:color w:val="FFFFFF"/>
                <w:sz w:val="16"/>
                <w:szCs w:val="16"/>
              </w:rPr>
              <w:t xml:space="preserve">Total Component 1 </w:t>
            </w:r>
          </w:p>
        </w:tc>
        <w:tc>
          <w:tcPr>
            <w:tcW w:w="990" w:type="dxa"/>
            <w:tcBorders>
              <w:top w:val="single" w:sz="4" w:space="0" w:color="auto"/>
              <w:left w:val="single" w:sz="8" w:space="0" w:color="auto"/>
              <w:bottom w:val="single" w:sz="8" w:space="0" w:color="auto"/>
              <w:right w:val="single" w:sz="8" w:space="0" w:color="auto"/>
            </w:tcBorders>
            <w:shd w:val="clear" w:color="000000" w:fill="808080"/>
            <w:noWrap/>
            <w:vAlign w:val="bottom"/>
            <w:hideMark/>
          </w:tcPr>
          <w:p w14:paraId="40741E23" w14:textId="77777777" w:rsidR="003A4C20" w:rsidRPr="003A4C20" w:rsidRDefault="003A4C20" w:rsidP="003A4C20">
            <w:pPr>
              <w:spacing w:after="0" w:line="240" w:lineRule="auto"/>
              <w:jc w:val="right"/>
              <w:rPr>
                <w:rFonts w:ascii="Aptos Narrow" w:eastAsia="Times New Roman" w:hAnsi="Aptos Narrow" w:cs="Times New Roman"/>
                <w:b/>
                <w:bCs/>
                <w:color w:val="FFFFFF"/>
                <w:sz w:val="16"/>
                <w:szCs w:val="16"/>
              </w:rPr>
            </w:pPr>
            <w:r w:rsidRPr="003A4C20">
              <w:rPr>
                <w:rFonts w:ascii="Aptos Narrow" w:eastAsia="Times New Roman" w:hAnsi="Aptos Narrow" w:cs="Times New Roman"/>
                <w:b/>
                <w:bCs/>
                <w:color w:val="FFFFFF"/>
                <w:sz w:val="16"/>
                <w:szCs w:val="16"/>
              </w:rPr>
              <w:t>310,065</w:t>
            </w:r>
          </w:p>
        </w:tc>
        <w:tc>
          <w:tcPr>
            <w:tcW w:w="990" w:type="dxa"/>
            <w:tcBorders>
              <w:top w:val="single" w:sz="4" w:space="0" w:color="auto"/>
              <w:left w:val="nil"/>
              <w:bottom w:val="single" w:sz="8" w:space="0" w:color="auto"/>
              <w:right w:val="single" w:sz="8" w:space="0" w:color="auto"/>
            </w:tcBorders>
            <w:shd w:val="clear" w:color="000000" w:fill="808080"/>
            <w:noWrap/>
            <w:vAlign w:val="bottom"/>
            <w:hideMark/>
          </w:tcPr>
          <w:p w14:paraId="41B4F749" w14:textId="77777777" w:rsidR="003A4C20" w:rsidRPr="003A4C20" w:rsidRDefault="003A4C20" w:rsidP="003A4C20">
            <w:pPr>
              <w:spacing w:after="0" w:line="240" w:lineRule="auto"/>
              <w:jc w:val="right"/>
              <w:rPr>
                <w:rFonts w:ascii="Aptos Narrow" w:eastAsia="Times New Roman" w:hAnsi="Aptos Narrow" w:cs="Times New Roman"/>
                <w:b/>
                <w:bCs/>
                <w:color w:val="FFFFFF"/>
                <w:sz w:val="16"/>
                <w:szCs w:val="16"/>
              </w:rPr>
            </w:pPr>
            <w:r w:rsidRPr="003A4C20">
              <w:rPr>
                <w:rFonts w:ascii="Aptos Narrow" w:eastAsia="Times New Roman" w:hAnsi="Aptos Narrow" w:cs="Times New Roman"/>
                <w:b/>
                <w:bCs/>
                <w:color w:val="FFFFFF"/>
                <w:sz w:val="16"/>
                <w:szCs w:val="16"/>
              </w:rPr>
              <w:t>1,721,100</w:t>
            </w:r>
          </w:p>
        </w:tc>
        <w:tc>
          <w:tcPr>
            <w:tcW w:w="900" w:type="dxa"/>
            <w:tcBorders>
              <w:top w:val="single" w:sz="4" w:space="0" w:color="auto"/>
              <w:left w:val="nil"/>
              <w:bottom w:val="single" w:sz="8" w:space="0" w:color="auto"/>
              <w:right w:val="single" w:sz="8" w:space="0" w:color="auto"/>
            </w:tcBorders>
            <w:shd w:val="clear" w:color="000000" w:fill="808080"/>
            <w:noWrap/>
            <w:vAlign w:val="bottom"/>
            <w:hideMark/>
          </w:tcPr>
          <w:p w14:paraId="567F8BCD" w14:textId="77777777" w:rsidR="003A4C20" w:rsidRPr="003A4C20" w:rsidRDefault="003A4C20" w:rsidP="003A4C20">
            <w:pPr>
              <w:spacing w:after="0" w:line="240" w:lineRule="auto"/>
              <w:jc w:val="right"/>
              <w:rPr>
                <w:rFonts w:ascii="Aptos Narrow" w:eastAsia="Times New Roman" w:hAnsi="Aptos Narrow" w:cs="Times New Roman"/>
                <w:b/>
                <w:bCs/>
                <w:color w:val="FFFFFF"/>
                <w:sz w:val="16"/>
                <w:szCs w:val="16"/>
              </w:rPr>
            </w:pPr>
            <w:r w:rsidRPr="003A4C20">
              <w:rPr>
                <w:rFonts w:ascii="Aptos Narrow" w:eastAsia="Times New Roman" w:hAnsi="Aptos Narrow" w:cs="Times New Roman"/>
                <w:b/>
                <w:bCs/>
                <w:color w:val="FFFFFF"/>
                <w:sz w:val="16"/>
                <w:szCs w:val="16"/>
              </w:rPr>
              <w:t>644,814</w:t>
            </w:r>
          </w:p>
        </w:tc>
        <w:tc>
          <w:tcPr>
            <w:tcW w:w="900" w:type="dxa"/>
            <w:tcBorders>
              <w:top w:val="single" w:sz="4" w:space="0" w:color="auto"/>
              <w:left w:val="nil"/>
              <w:bottom w:val="single" w:sz="8" w:space="0" w:color="auto"/>
              <w:right w:val="single" w:sz="8" w:space="0" w:color="auto"/>
            </w:tcBorders>
            <w:shd w:val="clear" w:color="000000" w:fill="808080"/>
            <w:noWrap/>
            <w:vAlign w:val="bottom"/>
            <w:hideMark/>
          </w:tcPr>
          <w:p w14:paraId="762320F8" w14:textId="77777777" w:rsidR="003A4C20" w:rsidRPr="003A4C20" w:rsidRDefault="003A4C20" w:rsidP="003A4C20">
            <w:pPr>
              <w:spacing w:after="0" w:line="240" w:lineRule="auto"/>
              <w:jc w:val="right"/>
              <w:rPr>
                <w:rFonts w:ascii="Aptos Narrow" w:eastAsia="Times New Roman" w:hAnsi="Aptos Narrow" w:cs="Times New Roman"/>
                <w:b/>
                <w:bCs/>
                <w:color w:val="FFFFFF"/>
                <w:sz w:val="16"/>
                <w:szCs w:val="16"/>
              </w:rPr>
            </w:pPr>
            <w:r w:rsidRPr="003A4C20">
              <w:rPr>
                <w:rFonts w:ascii="Aptos Narrow" w:eastAsia="Times New Roman" w:hAnsi="Aptos Narrow" w:cs="Times New Roman"/>
                <w:b/>
                <w:bCs/>
                <w:color w:val="FFFFFF"/>
                <w:sz w:val="16"/>
                <w:szCs w:val="16"/>
              </w:rPr>
              <w:t>91,814</w:t>
            </w:r>
          </w:p>
        </w:tc>
        <w:tc>
          <w:tcPr>
            <w:tcW w:w="990" w:type="dxa"/>
            <w:tcBorders>
              <w:top w:val="nil"/>
              <w:left w:val="nil"/>
              <w:bottom w:val="single" w:sz="8" w:space="0" w:color="auto"/>
              <w:right w:val="single" w:sz="8" w:space="0" w:color="auto"/>
            </w:tcBorders>
            <w:shd w:val="clear" w:color="000000" w:fill="808080"/>
            <w:noWrap/>
            <w:vAlign w:val="bottom"/>
            <w:hideMark/>
          </w:tcPr>
          <w:p w14:paraId="3CB4C0B5" w14:textId="77777777" w:rsidR="003A4C20" w:rsidRPr="003A4C20" w:rsidRDefault="003A4C20" w:rsidP="003A4C20">
            <w:pPr>
              <w:spacing w:after="0" w:line="240" w:lineRule="auto"/>
              <w:jc w:val="right"/>
              <w:rPr>
                <w:rFonts w:ascii="Aptos Narrow" w:eastAsia="Times New Roman" w:hAnsi="Aptos Narrow" w:cs="Times New Roman"/>
                <w:b/>
                <w:bCs/>
                <w:color w:val="FFFFFF"/>
                <w:sz w:val="16"/>
                <w:szCs w:val="16"/>
              </w:rPr>
            </w:pPr>
            <w:r w:rsidRPr="003A4C20">
              <w:rPr>
                <w:rFonts w:ascii="Aptos Narrow" w:eastAsia="Times New Roman" w:hAnsi="Aptos Narrow" w:cs="Times New Roman"/>
                <w:b/>
                <w:bCs/>
                <w:color w:val="FFFFFF"/>
                <w:sz w:val="16"/>
                <w:szCs w:val="16"/>
              </w:rPr>
              <w:t>2,767,793</w:t>
            </w:r>
          </w:p>
        </w:tc>
        <w:tc>
          <w:tcPr>
            <w:tcW w:w="720" w:type="dxa"/>
            <w:tcBorders>
              <w:top w:val="single" w:sz="4" w:space="0" w:color="auto"/>
              <w:left w:val="nil"/>
              <w:bottom w:val="single" w:sz="8" w:space="0" w:color="auto"/>
              <w:right w:val="single" w:sz="8" w:space="0" w:color="auto"/>
            </w:tcBorders>
            <w:shd w:val="clear" w:color="000000" w:fill="808080"/>
            <w:noWrap/>
            <w:vAlign w:val="center"/>
            <w:hideMark/>
          </w:tcPr>
          <w:p w14:paraId="7D51A7E8" w14:textId="77777777" w:rsidR="003A4C20" w:rsidRPr="003A4C20" w:rsidRDefault="003A4C20" w:rsidP="003A4C20">
            <w:pPr>
              <w:spacing w:after="0" w:line="240" w:lineRule="auto"/>
              <w:jc w:val="center"/>
              <w:rPr>
                <w:rFonts w:ascii="Aptos Narrow" w:eastAsia="Times New Roman" w:hAnsi="Aptos Narrow" w:cs="Times New Roman"/>
                <w:color w:val="FFFFFF"/>
                <w:sz w:val="16"/>
                <w:szCs w:val="16"/>
              </w:rPr>
            </w:pPr>
            <w:r w:rsidRPr="003A4C20">
              <w:rPr>
                <w:rFonts w:ascii="Aptos Narrow" w:eastAsia="Times New Roman" w:hAnsi="Aptos Narrow" w:cs="Times New Roman"/>
                <w:color w:val="FFFFFF"/>
                <w:sz w:val="16"/>
                <w:szCs w:val="16"/>
              </w:rPr>
              <w:t> </w:t>
            </w:r>
          </w:p>
        </w:tc>
      </w:tr>
      <w:tr w:rsidR="00773071" w:rsidRPr="003A4C20" w14:paraId="3F1F983C" w14:textId="77777777" w:rsidTr="00773071">
        <w:trPr>
          <w:trHeight w:val="300"/>
        </w:trPr>
        <w:tc>
          <w:tcPr>
            <w:tcW w:w="1250" w:type="dxa"/>
            <w:vMerge w:val="restart"/>
            <w:tcBorders>
              <w:top w:val="nil"/>
              <w:left w:val="single" w:sz="8" w:space="0" w:color="auto"/>
              <w:bottom w:val="single" w:sz="4" w:space="0" w:color="auto"/>
              <w:right w:val="single" w:sz="4" w:space="0" w:color="auto"/>
            </w:tcBorders>
            <w:vAlign w:val="center"/>
            <w:hideMark/>
          </w:tcPr>
          <w:p w14:paraId="5882DF2B" w14:textId="77777777" w:rsidR="003A4C20" w:rsidRPr="003A4C20" w:rsidRDefault="003A4C20" w:rsidP="003A4C20">
            <w:pPr>
              <w:spacing w:after="0" w:line="240" w:lineRule="auto"/>
              <w:jc w:val="center"/>
              <w:rPr>
                <w:rFonts w:ascii="Aptos Narrow" w:eastAsia="Times New Roman" w:hAnsi="Aptos Narrow" w:cs="Times New Roman"/>
                <w:b/>
                <w:bCs/>
                <w:i/>
                <w:iCs/>
                <w:color w:val="auto"/>
                <w:sz w:val="16"/>
                <w:szCs w:val="16"/>
              </w:rPr>
            </w:pPr>
            <w:r w:rsidRPr="003A4C20">
              <w:rPr>
                <w:rFonts w:ascii="Aptos Narrow" w:eastAsia="Times New Roman" w:hAnsi="Aptos Narrow" w:cs="Times New Roman"/>
                <w:b/>
                <w:bCs/>
                <w:i/>
                <w:iCs/>
                <w:color w:val="auto"/>
                <w:sz w:val="16"/>
                <w:szCs w:val="16"/>
              </w:rPr>
              <w:t xml:space="preserve">Component 2. Technical assistance and capability development for scale </w:t>
            </w:r>
          </w:p>
        </w:tc>
        <w:tc>
          <w:tcPr>
            <w:tcW w:w="1460" w:type="dxa"/>
            <w:vMerge w:val="restart"/>
            <w:tcBorders>
              <w:top w:val="nil"/>
              <w:left w:val="single" w:sz="4" w:space="0" w:color="auto"/>
              <w:bottom w:val="single" w:sz="4" w:space="0" w:color="auto"/>
              <w:right w:val="single" w:sz="4" w:space="0" w:color="auto"/>
            </w:tcBorders>
            <w:vAlign w:val="center"/>
            <w:hideMark/>
          </w:tcPr>
          <w:p w14:paraId="2FB86B75" w14:textId="77777777" w:rsidR="003A4C20" w:rsidRPr="003A4C20" w:rsidRDefault="003A4C20" w:rsidP="003A4C20">
            <w:pPr>
              <w:spacing w:after="0" w:line="240" w:lineRule="auto"/>
              <w:jc w:val="center"/>
              <w:rPr>
                <w:rFonts w:ascii="Aptos Narrow" w:eastAsia="Times New Roman" w:hAnsi="Aptos Narrow" w:cs="Times New Roman"/>
                <w:i/>
                <w:iCs/>
                <w:color w:val="auto"/>
                <w:sz w:val="16"/>
                <w:szCs w:val="16"/>
              </w:rPr>
            </w:pPr>
            <w:r w:rsidRPr="003A4C20">
              <w:rPr>
                <w:rFonts w:ascii="Aptos Narrow" w:eastAsia="Times New Roman" w:hAnsi="Aptos Narrow" w:cs="Times New Roman"/>
                <w:i/>
                <w:iCs/>
                <w:color w:val="auto"/>
                <w:sz w:val="16"/>
                <w:szCs w:val="16"/>
              </w:rPr>
              <w:t>Outcome 2</w:t>
            </w:r>
            <w:r w:rsidRPr="003A4C20">
              <w:rPr>
                <w:rFonts w:ascii="Aptos Narrow" w:eastAsia="Times New Roman" w:hAnsi="Aptos Narrow" w:cs="Times New Roman"/>
                <w:i/>
                <w:iCs/>
                <w:color w:val="auto"/>
                <w:sz w:val="16"/>
                <w:szCs w:val="16"/>
              </w:rPr>
              <w:br/>
              <w:t xml:space="preserve">Selected adaptation innovations are strengthened and positioned for scale through tailored </w:t>
            </w:r>
            <w:r w:rsidRPr="003A4C20">
              <w:rPr>
                <w:rFonts w:ascii="Aptos Narrow" w:eastAsia="Times New Roman" w:hAnsi="Aptos Narrow" w:cs="Times New Roman"/>
                <w:i/>
                <w:iCs/>
                <w:color w:val="auto"/>
                <w:sz w:val="16"/>
                <w:szCs w:val="16"/>
              </w:rPr>
              <w:lastRenderedPageBreak/>
              <w:t>business development support, market testing, and identification of funding and financing pathways.</w:t>
            </w:r>
          </w:p>
        </w:tc>
        <w:tc>
          <w:tcPr>
            <w:tcW w:w="1036" w:type="dxa"/>
            <w:vMerge w:val="restart"/>
            <w:tcBorders>
              <w:top w:val="nil"/>
              <w:left w:val="single" w:sz="4" w:space="0" w:color="auto"/>
              <w:bottom w:val="nil"/>
              <w:right w:val="single" w:sz="4" w:space="0" w:color="auto"/>
            </w:tcBorders>
            <w:vAlign w:val="center"/>
            <w:hideMark/>
          </w:tcPr>
          <w:p w14:paraId="50FF447D" w14:textId="77777777" w:rsidR="003A4C20" w:rsidRPr="003A4C20" w:rsidRDefault="003A4C20" w:rsidP="003A4C20">
            <w:pPr>
              <w:spacing w:after="0" w:line="240" w:lineRule="auto"/>
              <w:jc w:val="center"/>
              <w:rPr>
                <w:rFonts w:ascii="Aptos Narrow" w:eastAsia="Times New Roman" w:hAnsi="Aptos Narrow" w:cs="Times New Roman"/>
                <w:i/>
                <w:iCs/>
                <w:color w:val="auto"/>
                <w:sz w:val="16"/>
                <w:szCs w:val="16"/>
              </w:rPr>
            </w:pPr>
            <w:r w:rsidRPr="003A4C20">
              <w:rPr>
                <w:rFonts w:ascii="Aptos Narrow" w:eastAsia="Times New Roman" w:hAnsi="Aptos Narrow" w:cs="Times New Roman"/>
                <w:i/>
                <w:iCs/>
                <w:color w:val="auto"/>
                <w:sz w:val="16"/>
                <w:szCs w:val="16"/>
              </w:rPr>
              <w:lastRenderedPageBreak/>
              <w:t>UNDP</w:t>
            </w:r>
          </w:p>
        </w:tc>
        <w:tc>
          <w:tcPr>
            <w:tcW w:w="834" w:type="dxa"/>
            <w:vMerge w:val="restart"/>
            <w:tcBorders>
              <w:top w:val="nil"/>
              <w:left w:val="single" w:sz="4" w:space="0" w:color="auto"/>
              <w:bottom w:val="nil"/>
              <w:right w:val="single" w:sz="4" w:space="0" w:color="auto"/>
            </w:tcBorders>
            <w:vAlign w:val="center"/>
            <w:hideMark/>
          </w:tcPr>
          <w:p w14:paraId="6BF35935" w14:textId="77777777" w:rsidR="003A4C20" w:rsidRPr="003A4C20" w:rsidRDefault="003A4C20" w:rsidP="003A4C20">
            <w:pPr>
              <w:spacing w:after="0" w:line="240" w:lineRule="auto"/>
              <w:jc w:val="center"/>
              <w:rPr>
                <w:rFonts w:ascii="Aptos Narrow" w:eastAsia="Times New Roman" w:hAnsi="Aptos Narrow" w:cs="Times New Roman"/>
                <w:i/>
                <w:iCs/>
                <w:color w:val="auto"/>
                <w:sz w:val="16"/>
                <w:szCs w:val="16"/>
              </w:rPr>
            </w:pPr>
            <w:r w:rsidRPr="003A4C20">
              <w:rPr>
                <w:rFonts w:ascii="Aptos Narrow" w:eastAsia="Times New Roman" w:hAnsi="Aptos Narrow" w:cs="Times New Roman"/>
                <w:i/>
                <w:iCs/>
                <w:color w:val="auto"/>
                <w:sz w:val="16"/>
                <w:szCs w:val="16"/>
              </w:rPr>
              <w:t>62000</w:t>
            </w:r>
          </w:p>
        </w:tc>
        <w:tc>
          <w:tcPr>
            <w:tcW w:w="834" w:type="dxa"/>
            <w:vMerge w:val="restart"/>
            <w:tcBorders>
              <w:top w:val="nil"/>
              <w:left w:val="single" w:sz="4" w:space="0" w:color="auto"/>
              <w:bottom w:val="nil"/>
              <w:right w:val="nil"/>
            </w:tcBorders>
            <w:vAlign w:val="center"/>
            <w:hideMark/>
          </w:tcPr>
          <w:p w14:paraId="71B2325F" w14:textId="77777777" w:rsidR="003A4C20" w:rsidRPr="003A4C20" w:rsidRDefault="003A4C20" w:rsidP="003A4C20">
            <w:pPr>
              <w:spacing w:after="0" w:line="240" w:lineRule="auto"/>
              <w:jc w:val="center"/>
              <w:rPr>
                <w:rFonts w:ascii="Aptos Narrow" w:eastAsia="Times New Roman" w:hAnsi="Aptos Narrow" w:cs="Times New Roman"/>
                <w:i/>
                <w:iCs/>
                <w:color w:val="auto"/>
                <w:sz w:val="16"/>
                <w:szCs w:val="16"/>
              </w:rPr>
            </w:pPr>
            <w:r w:rsidRPr="003A4C20">
              <w:rPr>
                <w:rFonts w:ascii="Aptos Narrow" w:eastAsia="Times New Roman" w:hAnsi="Aptos Narrow" w:cs="Times New Roman"/>
                <w:i/>
                <w:iCs/>
                <w:color w:val="auto"/>
                <w:sz w:val="16"/>
                <w:szCs w:val="16"/>
              </w:rPr>
              <w:t>011602</w:t>
            </w:r>
          </w:p>
        </w:tc>
        <w:tc>
          <w:tcPr>
            <w:tcW w:w="966" w:type="dxa"/>
            <w:vMerge w:val="restart"/>
            <w:tcBorders>
              <w:top w:val="nil"/>
              <w:left w:val="single" w:sz="8" w:space="0" w:color="auto"/>
              <w:bottom w:val="single" w:sz="8" w:space="0" w:color="000000"/>
              <w:right w:val="nil"/>
            </w:tcBorders>
            <w:shd w:val="clear" w:color="000000" w:fill="D9D9D9"/>
            <w:vAlign w:val="center"/>
            <w:hideMark/>
          </w:tcPr>
          <w:p w14:paraId="5C436AE9" w14:textId="77777777" w:rsidR="003A4C20" w:rsidRPr="003A4C20" w:rsidRDefault="003A4C20" w:rsidP="003A4C20">
            <w:pPr>
              <w:spacing w:after="0" w:line="240" w:lineRule="auto"/>
              <w:jc w:val="center"/>
              <w:rPr>
                <w:rFonts w:ascii="Aptos Narrow" w:eastAsia="Times New Roman" w:hAnsi="Aptos Narrow" w:cs="Times New Roman"/>
                <w:i/>
                <w:iCs/>
                <w:color w:val="auto"/>
                <w:sz w:val="16"/>
                <w:szCs w:val="16"/>
              </w:rPr>
            </w:pPr>
            <w:r w:rsidRPr="003A4C20">
              <w:rPr>
                <w:rFonts w:ascii="Aptos Narrow" w:eastAsia="Times New Roman" w:hAnsi="Aptos Narrow" w:cs="Times New Roman"/>
                <w:i/>
                <w:iCs/>
                <w:color w:val="auto"/>
                <w:sz w:val="16"/>
                <w:szCs w:val="16"/>
              </w:rPr>
              <w:t>Activity 2.1</w:t>
            </w:r>
            <w:r w:rsidRPr="003A4C20">
              <w:rPr>
                <w:rFonts w:ascii="Aptos Narrow" w:eastAsia="Times New Roman" w:hAnsi="Aptos Narrow" w:cs="Times New Roman"/>
                <w:i/>
                <w:iCs/>
                <w:color w:val="auto"/>
                <w:sz w:val="16"/>
                <w:szCs w:val="16"/>
              </w:rPr>
              <w:br/>
              <w:t>(Output 2.1)</w:t>
            </w:r>
          </w:p>
        </w:tc>
        <w:tc>
          <w:tcPr>
            <w:tcW w:w="990" w:type="dxa"/>
            <w:tcBorders>
              <w:top w:val="nil"/>
              <w:left w:val="single" w:sz="8" w:space="0" w:color="auto"/>
              <w:bottom w:val="single" w:sz="4" w:space="0" w:color="auto"/>
              <w:right w:val="single" w:sz="4" w:space="0" w:color="auto"/>
            </w:tcBorders>
            <w:shd w:val="clear" w:color="000000" w:fill="D9D9D9"/>
            <w:noWrap/>
            <w:vAlign w:val="center"/>
            <w:hideMark/>
          </w:tcPr>
          <w:p w14:paraId="216944FD" w14:textId="77777777" w:rsidR="003A4C20" w:rsidRPr="003A4C20" w:rsidRDefault="003A4C20" w:rsidP="003A4C20">
            <w:pPr>
              <w:spacing w:after="0" w:line="240" w:lineRule="auto"/>
              <w:jc w:val="center"/>
              <w:rPr>
                <w:rFonts w:ascii="Aptos Narrow" w:eastAsia="Times New Roman" w:hAnsi="Aptos Narrow" w:cs="Times New Roman"/>
                <w:i/>
                <w:iCs/>
                <w:color w:val="auto"/>
                <w:sz w:val="16"/>
                <w:szCs w:val="16"/>
              </w:rPr>
            </w:pPr>
            <w:r w:rsidRPr="003A4C20">
              <w:rPr>
                <w:rFonts w:ascii="Aptos Narrow" w:eastAsia="Times New Roman" w:hAnsi="Aptos Narrow" w:cs="Times New Roman"/>
                <w:i/>
                <w:iCs/>
                <w:color w:val="auto"/>
                <w:sz w:val="16"/>
                <w:szCs w:val="16"/>
              </w:rPr>
              <w:t>71200</w:t>
            </w:r>
          </w:p>
        </w:tc>
        <w:tc>
          <w:tcPr>
            <w:tcW w:w="1620" w:type="dxa"/>
            <w:tcBorders>
              <w:top w:val="nil"/>
              <w:left w:val="nil"/>
              <w:bottom w:val="single" w:sz="4" w:space="0" w:color="auto"/>
              <w:right w:val="single" w:sz="8" w:space="0" w:color="auto"/>
            </w:tcBorders>
            <w:shd w:val="clear" w:color="000000" w:fill="D9D9D9"/>
            <w:noWrap/>
            <w:vAlign w:val="center"/>
            <w:hideMark/>
          </w:tcPr>
          <w:p w14:paraId="5E88574E"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r w:rsidRPr="003A4C20">
              <w:rPr>
                <w:rFonts w:ascii="Aptos Narrow" w:eastAsia="Times New Roman" w:hAnsi="Aptos Narrow" w:cs="Times New Roman"/>
                <w:i/>
                <w:iCs/>
                <w:color w:val="auto"/>
                <w:sz w:val="16"/>
                <w:szCs w:val="16"/>
              </w:rPr>
              <w:t>International Consultants</w:t>
            </w:r>
          </w:p>
        </w:tc>
        <w:tc>
          <w:tcPr>
            <w:tcW w:w="990" w:type="dxa"/>
            <w:tcBorders>
              <w:top w:val="nil"/>
              <w:left w:val="nil"/>
              <w:bottom w:val="single" w:sz="4" w:space="0" w:color="auto"/>
              <w:right w:val="single" w:sz="8" w:space="0" w:color="auto"/>
            </w:tcBorders>
            <w:shd w:val="clear" w:color="000000" w:fill="D9D9D9"/>
            <w:noWrap/>
            <w:vAlign w:val="bottom"/>
            <w:hideMark/>
          </w:tcPr>
          <w:p w14:paraId="2F8A2A6C"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17,500</w:t>
            </w:r>
          </w:p>
        </w:tc>
        <w:tc>
          <w:tcPr>
            <w:tcW w:w="990" w:type="dxa"/>
            <w:tcBorders>
              <w:top w:val="nil"/>
              <w:left w:val="nil"/>
              <w:bottom w:val="single" w:sz="4" w:space="0" w:color="auto"/>
              <w:right w:val="single" w:sz="8" w:space="0" w:color="auto"/>
            </w:tcBorders>
            <w:shd w:val="clear" w:color="000000" w:fill="D9D9D9"/>
            <w:noWrap/>
            <w:vAlign w:val="bottom"/>
            <w:hideMark/>
          </w:tcPr>
          <w:p w14:paraId="628A37F7"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42,000</w:t>
            </w:r>
          </w:p>
        </w:tc>
        <w:tc>
          <w:tcPr>
            <w:tcW w:w="900" w:type="dxa"/>
            <w:tcBorders>
              <w:top w:val="nil"/>
              <w:left w:val="nil"/>
              <w:bottom w:val="single" w:sz="4" w:space="0" w:color="auto"/>
              <w:right w:val="single" w:sz="8" w:space="0" w:color="auto"/>
            </w:tcBorders>
            <w:shd w:val="clear" w:color="000000" w:fill="D9D9D9"/>
            <w:noWrap/>
            <w:vAlign w:val="bottom"/>
            <w:hideMark/>
          </w:tcPr>
          <w:p w14:paraId="6B91EA8D"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42,000</w:t>
            </w:r>
          </w:p>
        </w:tc>
        <w:tc>
          <w:tcPr>
            <w:tcW w:w="900" w:type="dxa"/>
            <w:tcBorders>
              <w:top w:val="nil"/>
              <w:left w:val="nil"/>
              <w:bottom w:val="single" w:sz="4" w:space="0" w:color="auto"/>
              <w:right w:val="single" w:sz="8" w:space="0" w:color="auto"/>
            </w:tcBorders>
            <w:shd w:val="clear" w:color="000000" w:fill="D9D9D9"/>
            <w:noWrap/>
            <w:vAlign w:val="bottom"/>
            <w:hideMark/>
          </w:tcPr>
          <w:p w14:paraId="57E00BAC"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14,000</w:t>
            </w:r>
          </w:p>
        </w:tc>
        <w:tc>
          <w:tcPr>
            <w:tcW w:w="990" w:type="dxa"/>
            <w:tcBorders>
              <w:top w:val="nil"/>
              <w:left w:val="nil"/>
              <w:bottom w:val="single" w:sz="4" w:space="0" w:color="auto"/>
              <w:right w:val="single" w:sz="8" w:space="0" w:color="auto"/>
            </w:tcBorders>
            <w:shd w:val="clear" w:color="000000" w:fill="D9D9D9"/>
            <w:noWrap/>
            <w:vAlign w:val="bottom"/>
            <w:hideMark/>
          </w:tcPr>
          <w:p w14:paraId="492CA76A"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115,500</w:t>
            </w:r>
          </w:p>
        </w:tc>
        <w:tc>
          <w:tcPr>
            <w:tcW w:w="720" w:type="dxa"/>
            <w:tcBorders>
              <w:top w:val="nil"/>
              <w:left w:val="nil"/>
              <w:bottom w:val="single" w:sz="4" w:space="0" w:color="auto"/>
              <w:right w:val="single" w:sz="8" w:space="0" w:color="auto"/>
            </w:tcBorders>
            <w:shd w:val="clear" w:color="000000" w:fill="D9D9D9"/>
            <w:noWrap/>
            <w:vAlign w:val="center"/>
            <w:hideMark/>
          </w:tcPr>
          <w:p w14:paraId="511F76DB" w14:textId="77777777" w:rsidR="003A4C20" w:rsidRPr="003A4C20" w:rsidRDefault="003A4C20" w:rsidP="003A4C20">
            <w:pPr>
              <w:spacing w:after="0" w:line="240" w:lineRule="auto"/>
              <w:jc w:val="center"/>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9</w:t>
            </w:r>
          </w:p>
        </w:tc>
      </w:tr>
      <w:tr w:rsidR="00773071" w:rsidRPr="003A4C20" w14:paraId="669B3AB9" w14:textId="77777777" w:rsidTr="00773071">
        <w:trPr>
          <w:trHeight w:val="640"/>
        </w:trPr>
        <w:tc>
          <w:tcPr>
            <w:tcW w:w="1250" w:type="dxa"/>
            <w:vMerge/>
            <w:tcBorders>
              <w:top w:val="nil"/>
              <w:left w:val="single" w:sz="8" w:space="0" w:color="auto"/>
              <w:bottom w:val="single" w:sz="4" w:space="0" w:color="auto"/>
              <w:right w:val="single" w:sz="4" w:space="0" w:color="auto"/>
            </w:tcBorders>
            <w:vAlign w:val="center"/>
            <w:hideMark/>
          </w:tcPr>
          <w:p w14:paraId="3A20061F" w14:textId="77777777" w:rsidR="003A4C20" w:rsidRPr="003A4C20" w:rsidRDefault="003A4C20" w:rsidP="003A4C20">
            <w:pPr>
              <w:spacing w:after="0" w:line="240" w:lineRule="auto"/>
              <w:rPr>
                <w:rFonts w:ascii="Aptos Narrow" w:eastAsia="Times New Roman" w:hAnsi="Aptos Narrow" w:cs="Times New Roman"/>
                <w:b/>
                <w:bCs/>
                <w:i/>
                <w:iCs/>
                <w:color w:val="auto"/>
                <w:sz w:val="16"/>
                <w:szCs w:val="16"/>
              </w:rPr>
            </w:pPr>
          </w:p>
        </w:tc>
        <w:tc>
          <w:tcPr>
            <w:tcW w:w="1460" w:type="dxa"/>
            <w:vMerge/>
            <w:tcBorders>
              <w:top w:val="nil"/>
              <w:left w:val="single" w:sz="4" w:space="0" w:color="auto"/>
              <w:bottom w:val="single" w:sz="4" w:space="0" w:color="auto"/>
              <w:right w:val="single" w:sz="4" w:space="0" w:color="auto"/>
            </w:tcBorders>
            <w:vAlign w:val="center"/>
            <w:hideMark/>
          </w:tcPr>
          <w:p w14:paraId="7997A24F"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1036" w:type="dxa"/>
            <w:vMerge/>
            <w:tcBorders>
              <w:top w:val="nil"/>
              <w:left w:val="single" w:sz="4" w:space="0" w:color="auto"/>
              <w:bottom w:val="nil"/>
              <w:right w:val="single" w:sz="4" w:space="0" w:color="auto"/>
            </w:tcBorders>
            <w:vAlign w:val="center"/>
            <w:hideMark/>
          </w:tcPr>
          <w:p w14:paraId="493AA2BD"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834" w:type="dxa"/>
            <w:vMerge/>
            <w:tcBorders>
              <w:top w:val="nil"/>
              <w:left w:val="single" w:sz="4" w:space="0" w:color="auto"/>
              <w:bottom w:val="nil"/>
              <w:right w:val="single" w:sz="4" w:space="0" w:color="auto"/>
            </w:tcBorders>
            <w:vAlign w:val="center"/>
            <w:hideMark/>
          </w:tcPr>
          <w:p w14:paraId="6982182E"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834" w:type="dxa"/>
            <w:vMerge/>
            <w:tcBorders>
              <w:top w:val="nil"/>
              <w:left w:val="single" w:sz="4" w:space="0" w:color="auto"/>
              <w:bottom w:val="nil"/>
              <w:right w:val="nil"/>
            </w:tcBorders>
            <w:vAlign w:val="center"/>
            <w:hideMark/>
          </w:tcPr>
          <w:p w14:paraId="3EE68FA7"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966" w:type="dxa"/>
            <w:vMerge/>
            <w:tcBorders>
              <w:top w:val="nil"/>
              <w:left w:val="single" w:sz="8" w:space="0" w:color="auto"/>
              <w:bottom w:val="single" w:sz="8" w:space="0" w:color="000000"/>
              <w:right w:val="nil"/>
            </w:tcBorders>
            <w:vAlign w:val="center"/>
            <w:hideMark/>
          </w:tcPr>
          <w:p w14:paraId="2E21C592"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990" w:type="dxa"/>
            <w:tcBorders>
              <w:top w:val="nil"/>
              <w:left w:val="single" w:sz="8" w:space="0" w:color="auto"/>
              <w:bottom w:val="single" w:sz="4" w:space="0" w:color="auto"/>
              <w:right w:val="single" w:sz="4" w:space="0" w:color="auto"/>
            </w:tcBorders>
            <w:shd w:val="clear" w:color="000000" w:fill="D9D9D9"/>
            <w:vAlign w:val="center"/>
            <w:hideMark/>
          </w:tcPr>
          <w:p w14:paraId="60A54BF4" w14:textId="77777777" w:rsidR="003A4C20" w:rsidRPr="003A4C20" w:rsidRDefault="003A4C20" w:rsidP="003A4C20">
            <w:pPr>
              <w:spacing w:after="0" w:line="240" w:lineRule="auto"/>
              <w:jc w:val="center"/>
              <w:rPr>
                <w:rFonts w:ascii="Aptos Narrow" w:eastAsia="Times New Roman" w:hAnsi="Aptos Narrow" w:cs="Times New Roman"/>
                <w:i/>
                <w:iCs/>
                <w:color w:val="auto"/>
                <w:sz w:val="16"/>
                <w:szCs w:val="16"/>
              </w:rPr>
            </w:pPr>
            <w:r w:rsidRPr="003A4C20">
              <w:rPr>
                <w:rFonts w:ascii="Aptos Narrow" w:eastAsia="Times New Roman" w:hAnsi="Aptos Narrow" w:cs="Times New Roman"/>
                <w:i/>
                <w:iCs/>
                <w:color w:val="auto"/>
                <w:sz w:val="16"/>
                <w:szCs w:val="16"/>
              </w:rPr>
              <w:t>71400</w:t>
            </w:r>
          </w:p>
        </w:tc>
        <w:tc>
          <w:tcPr>
            <w:tcW w:w="1620" w:type="dxa"/>
            <w:tcBorders>
              <w:top w:val="nil"/>
              <w:left w:val="nil"/>
              <w:bottom w:val="single" w:sz="4" w:space="0" w:color="auto"/>
              <w:right w:val="single" w:sz="8" w:space="0" w:color="auto"/>
            </w:tcBorders>
            <w:shd w:val="clear" w:color="000000" w:fill="D9D9D9"/>
            <w:vAlign w:val="center"/>
            <w:hideMark/>
          </w:tcPr>
          <w:p w14:paraId="405FA848"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r w:rsidRPr="003A4C20">
              <w:rPr>
                <w:rFonts w:ascii="Aptos Narrow" w:eastAsia="Times New Roman" w:hAnsi="Aptos Narrow" w:cs="Times New Roman"/>
                <w:i/>
                <w:iCs/>
                <w:color w:val="auto"/>
                <w:sz w:val="16"/>
                <w:szCs w:val="16"/>
              </w:rPr>
              <w:t>Contractual Services-Individuals</w:t>
            </w:r>
          </w:p>
        </w:tc>
        <w:tc>
          <w:tcPr>
            <w:tcW w:w="990" w:type="dxa"/>
            <w:tcBorders>
              <w:top w:val="nil"/>
              <w:left w:val="nil"/>
              <w:bottom w:val="single" w:sz="4" w:space="0" w:color="auto"/>
              <w:right w:val="single" w:sz="8" w:space="0" w:color="auto"/>
            </w:tcBorders>
            <w:shd w:val="clear" w:color="000000" w:fill="D9D9D9"/>
            <w:noWrap/>
            <w:vAlign w:val="bottom"/>
            <w:hideMark/>
          </w:tcPr>
          <w:p w14:paraId="30C7A76D"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7,588</w:t>
            </w:r>
          </w:p>
        </w:tc>
        <w:tc>
          <w:tcPr>
            <w:tcW w:w="990" w:type="dxa"/>
            <w:tcBorders>
              <w:top w:val="nil"/>
              <w:left w:val="nil"/>
              <w:bottom w:val="single" w:sz="4" w:space="0" w:color="auto"/>
              <w:right w:val="single" w:sz="8" w:space="0" w:color="auto"/>
            </w:tcBorders>
            <w:shd w:val="clear" w:color="000000" w:fill="D9D9D9"/>
            <w:noWrap/>
            <w:vAlign w:val="bottom"/>
            <w:hideMark/>
          </w:tcPr>
          <w:p w14:paraId="766ECF32"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7,588</w:t>
            </w:r>
          </w:p>
        </w:tc>
        <w:tc>
          <w:tcPr>
            <w:tcW w:w="900" w:type="dxa"/>
            <w:tcBorders>
              <w:top w:val="nil"/>
              <w:left w:val="nil"/>
              <w:bottom w:val="single" w:sz="4" w:space="0" w:color="auto"/>
              <w:right w:val="single" w:sz="8" w:space="0" w:color="auto"/>
            </w:tcBorders>
            <w:shd w:val="clear" w:color="000000" w:fill="D9D9D9"/>
            <w:noWrap/>
            <w:vAlign w:val="bottom"/>
            <w:hideMark/>
          </w:tcPr>
          <w:p w14:paraId="140F9FC3"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0</w:t>
            </w:r>
          </w:p>
        </w:tc>
        <w:tc>
          <w:tcPr>
            <w:tcW w:w="900" w:type="dxa"/>
            <w:tcBorders>
              <w:top w:val="nil"/>
              <w:left w:val="nil"/>
              <w:bottom w:val="single" w:sz="4" w:space="0" w:color="auto"/>
              <w:right w:val="single" w:sz="8" w:space="0" w:color="auto"/>
            </w:tcBorders>
            <w:shd w:val="clear" w:color="000000" w:fill="D9D9D9"/>
            <w:noWrap/>
            <w:vAlign w:val="bottom"/>
            <w:hideMark/>
          </w:tcPr>
          <w:p w14:paraId="3670B336"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0</w:t>
            </w:r>
          </w:p>
        </w:tc>
        <w:tc>
          <w:tcPr>
            <w:tcW w:w="990" w:type="dxa"/>
            <w:tcBorders>
              <w:top w:val="single" w:sz="8" w:space="0" w:color="auto"/>
              <w:left w:val="nil"/>
              <w:bottom w:val="single" w:sz="4" w:space="0" w:color="auto"/>
              <w:right w:val="single" w:sz="8" w:space="0" w:color="auto"/>
            </w:tcBorders>
            <w:shd w:val="clear" w:color="000000" w:fill="D9D9D9"/>
            <w:noWrap/>
            <w:vAlign w:val="bottom"/>
            <w:hideMark/>
          </w:tcPr>
          <w:p w14:paraId="1C980160"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15,176</w:t>
            </w:r>
          </w:p>
        </w:tc>
        <w:tc>
          <w:tcPr>
            <w:tcW w:w="720" w:type="dxa"/>
            <w:tcBorders>
              <w:top w:val="nil"/>
              <w:left w:val="nil"/>
              <w:bottom w:val="single" w:sz="4" w:space="0" w:color="auto"/>
              <w:right w:val="single" w:sz="8" w:space="0" w:color="auto"/>
            </w:tcBorders>
            <w:shd w:val="clear" w:color="000000" w:fill="D9D9D9"/>
            <w:noWrap/>
            <w:vAlign w:val="center"/>
            <w:hideMark/>
          </w:tcPr>
          <w:p w14:paraId="0E7982CA" w14:textId="77777777" w:rsidR="003A4C20" w:rsidRPr="003A4C20" w:rsidRDefault="003A4C20" w:rsidP="003A4C20">
            <w:pPr>
              <w:spacing w:after="0" w:line="240" w:lineRule="auto"/>
              <w:jc w:val="center"/>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10</w:t>
            </w:r>
          </w:p>
        </w:tc>
      </w:tr>
      <w:tr w:rsidR="00773071" w:rsidRPr="003A4C20" w14:paraId="18EB5A90" w14:textId="77777777" w:rsidTr="00773071">
        <w:trPr>
          <w:trHeight w:val="300"/>
        </w:trPr>
        <w:tc>
          <w:tcPr>
            <w:tcW w:w="1250" w:type="dxa"/>
            <w:vMerge/>
            <w:tcBorders>
              <w:top w:val="nil"/>
              <w:left w:val="single" w:sz="8" w:space="0" w:color="auto"/>
              <w:bottom w:val="single" w:sz="4" w:space="0" w:color="auto"/>
              <w:right w:val="single" w:sz="4" w:space="0" w:color="auto"/>
            </w:tcBorders>
            <w:vAlign w:val="center"/>
            <w:hideMark/>
          </w:tcPr>
          <w:p w14:paraId="6C28C603" w14:textId="77777777" w:rsidR="003A4C20" w:rsidRPr="003A4C20" w:rsidRDefault="003A4C20" w:rsidP="003A4C20">
            <w:pPr>
              <w:spacing w:after="0" w:line="240" w:lineRule="auto"/>
              <w:rPr>
                <w:rFonts w:ascii="Aptos Narrow" w:eastAsia="Times New Roman" w:hAnsi="Aptos Narrow" w:cs="Times New Roman"/>
                <w:b/>
                <w:bCs/>
                <w:i/>
                <w:iCs/>
                <w:color w:val="auto"/>
                <w:sz w:val="16"/>
                <w:szCs w:val="16"/>
              </w:rPr>
            </w:pPr>
          </w:p>
        </w:tc>
        <w:tc>
          <w:tcPr>
            <w:tcW w:w="1460" w:type="dxa"/>
            <w:vMerge/>
            <w:tcBorders>
              <w:top w:val="nil"/>
              <w:left w:val="single" w:sz="4" w:space="0" w:color="auto"/>
              <w:bottom w:val="single" w:sz="4" w:space="0" w:color="auto"/>
              <w:right w:val="single" w:sz="4" w:space="0" w:color="auto"/>
            </w:tcBorders>
            <w:vAlign w:val="center"/>
            <w:hideMark/>
          </w:tcPr>
          <w:p w14:paraId="73415620"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1036" w:type="dxa"/>
            <w:vMerge/>
            <w:tcBorders>
              <w:top w:val="nil"/>
              <w:left w:val="single" w:sz="4" w:space="0" w:color="auto"/>
              <w:bottom w:val="nil"/>
              <w:right w:val="single" w:sz="4" w:space="0" w:color="auto"/>
            </w:tcBorders>
            <w:vAlign w:val="center"/>
            <w:hideMark/>
          </w:tcPr>
          <w:p w14:paraId="2C91FF57"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834" w:type="dxa"/>
            <w:vMerge/>
            <w:tcBorders>
              <w:top w:val="nil"/>
              <w:left w:val="single" w:sz="4" w:space="0" w:color="auto"/>
              <w:bottom w:val="nil"/>
              <w:right w:val="single" w:sz="4" w:space="0" w:color="auto"/>
            </w:tcBorders>
            <w:vAlign w:val="center"/>
            <w:hideMark/>
          </w:tcPr>
          <w:p w14:paraId="77FD6DDD"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834" w:type="dxa"/>
            <w:vMerge/>
            <w:tcBorders>
              <w:top w:val="nil"/>
              <w:left w:val="single" w:sz="4" w:space="0" w:color="auto"/>
              <w:bottom w:val="nil"/>
              <w:right w:val="nil"/>
            </w:tcBorders>
            <w:vAlign w:val="center"/>
            <w:hideMark/>
          </w:tcPr>
          <w:p w14:paraId="506CBF81"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966" w:type="dxa"/>
            <w:vMerge/>
            <w:tcBorders>
              <w:top w:val="nil"/>
              <w:left w:val="single" w:sz="8" w:space="0" w:color="auto"/>
              <w:bottom w:val="single" w:sz="8" w:space="0" w:color="000000"/>
              <w:right w:val="nil"/>
            </w:tcBorders>
            <w:vAlign w:val="center"/>
            <w:hideMark/>
          </w:tcPr>
          <w:p w14:paraId="76FB9A64"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990" w:type="dxa"/>
            <w:tcBorders>
              <w:top w:val="nil"/>
              <w:left w:val="single" w:sz="8" w:space="0" w:color="auto"/>
              <w:bottom w:val="single" w:sz="4" w:space="0" w:color="auto"/>
              <w:right w:val="single" w:sz="4" w:space="0" w:color="auto"/>
            </w:tcBorders>
            <w:shd w:val="clear" w:color="000000" w:fill="D9D9D9"/>
            <w:vAlign w:val="center"/>
            <w:hideMark/>
          </w:tcPr>
          <w:p w14:paraId="2D5EE910" w14:textId="77777777" w:rsidR="003A4C20" w:rsidRPr="003A4C20" w:rsidRDefault="003A4C20" w:rsidP="003A4C20">
            <w:pPr>
              <w:spacing w:after="0" w:line="240" w:lineRule="auto"/>
              <w:jc w:val="center"/>
              <w:rPr>
                <w:rFonts w:ascii="Aptos Narrow" w:eastAsia="Times New Roman" w:hAnsi="Aptos Narrow" w:cs="Times New Roman"/>
                <w:i/>
                <w:iCs/>
                <w:color w:val="auto"/>
                <w:sz w:val="16"/>
                <w:szCs w:val="16"/>
              </w:rPr>
            </w:pPr>
            <w:r w:rsidRPr="003A4C20">
              <w:rPr>
                <w:rFonts w:ascii="Aptos Narrow" w:eastAsia="Times New Roman" w:hAnsi="Aptos Narrow" w:cs="Times New Roman"/>
                <w:i/>
                <w:iCs/>
                <w:color w:val="auto"/>
                <w:sz w:val="16"/>
                <w:szCs w:val="16"/>
              </w:rPr>
              <w:t>71600</w:t>
            </w:r>
          </w:p>
        </w:tc>
        <w:tc>
          <w:tcPr>
            <w:tcW w:w="1620" w:type="dxa"/>
            <w:tcBorders>
              <w:top w:val="nil"/>
              <w:left w:val="nil"/>
              <w:bottom w:val="single" w:sz="4" w:space="0" w:color="auto"/>
              <w:right w:val="single" w:sz="8" w:space="0" w:color="auto"/>
            </w:tcBorders>
            <w:shd w:val="clear" w:color="000000" w:fill="D9D9D9"/>
            <w:vAlign w:val="center"/>
            <w:hideMark/>
          </w:tcPr>
          <w:p w14:paraId="2D1FD2AC"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r w:rsidRPr="003A4C20">
              <w:rPr>
                <w:rFonts w:ascii="Aptos Narrow" w:eastAsia="Times New Roman" w:hAnsi="Aptos Narrow" w:cs="Times New Roman"/>
                <w:i/>
                <w:iCs/>
                <w:color w:val="auto"/>
                <w:sz w:val="16"/>
                <w:szCs w:val="16"/>
              </w:rPr>
              <w:t>Travel</w:t>
            </w:r>
          </w:p>
        </w:tc>
        <w:tc>
          <w:tcPr>
            <w:tcW w:w="990" w:type="dxa"/>
            <w:tcBorders>
              <w:top w:val="nil"/>
              <w:left w:val="nil"/>
              <w:bottom w:val="single" w:sz="4" w:space="0" w:color="auto"/>
              <w:right w:val="single" w:sz="8" w:space="0" w:color="auto"/>
            </w:tcBorders>
            <w:shd w:val="clear" w:color="000000" w:fill="D9D9D9"/>
            <w:noWrap/>
            <w:vAlign w:val="bottom"/>
            <w:hideMark/>
          </w:tcPr>
          <w:p w14:paraId="38E1CB61"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15,000</w:t>
            </w:r>
          </w:p>
        </w:tc>
        <w:tc>
          <w:tcPr>
            <w:tcW w:w="990" w:type="dxa"/>
            <w:tcBorders>
              <w:top w:val="nil"/>
              <w:left w:val="nil"/>
              <w:bottom w:val="single" w:sz="4" w:space="0" w:color="auto"/>
              <w:right w:val="single" w:sz="8" w:space="0" w:color="auto"/>
            </w:tcBorders>
            <w:shd w:val="clear" w:color="000000" w:fill="D9D9D9"/>
            <w:noWrap/>
            <w:vAlign w:val="bottom"/>
            <w:hideMark/>
          </w:tcPr>
          <w:p w14:paraId="4944193C"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25,000</w:t>
            </w:r>
          </w:p>
        </w:tc>
        <w:tc>
          <w:tcPr>
            <w:tcW w:w="900" w:type="dxa"/>
            <w:tcBorders>
              <w:top w:val="nil"/>
              <w:left w:val="nil"/>
              <w:bottom w:val="single" w:sz="4" w:space="0" w:color="auto"/>
              <w:right w:val="single" w:sz="8" w:space="0" w:color="auto"/>
            </w:tcBorders>
            <w:shd w:val="clear" w:color="000000" w:fill="D9D9D9"/>
            <w:noWrap/>
            <w:vAlign w:val="bottom"/>
            <w:hideMark/>
          </w:tcPr>
          <w:p w14:paraId="5488FA32"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25,000</w:t>
            </w:r>
          </w:p>
        </w:tc>
        <w:tc>
          <w:tcPr>
            <w:tcW w:w="900" w:type="dxa"/>
            <w:tcBorders>
              <w:top w:val="nil"/>
              <w:left w:val="nil"/>
              <w:bottom w:val="single" w:sz="4" w:space="0" w:color="auto"/>
              <w:right w:val="single" w:sz="8" w:space="0" w:color="auto"/>
            </w:tcBorders>
            <w:shd w:val="clear" w:color="000000" w:fill="D9D9D9"/>
            <w:noWrap/>
            <w:vAlign w:val="bottom"/>
            <w:hideMark/>
          </w:tcPr>
          <w:p w14:paraId="25F3437B"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24,000</w:t>
            </w:r>
          </w:p>
        </w:tc>
        <w:tc>
          <w:tcPr>
            <w:tcW w:w="990" w:type="dxa"/>
            <w:tcBorders>
              <w:top w:val="single" w:sz="8" w:space="0" w:color="auto"/>
              <w:left w:val="nil"/>
              <w:bottom w:val="single" w:sz="4" w:space="0" w:color="auto"/>
              <w:right w:val="single" w:sz="8" w:space="0" w:color="auto"/>
            </w:tcBorders>
            <w:shd w:val="clear" w:color="000000" w:fill="D9D9D9"/>
            <w:noWrap/>
            <w:vAlign w:val="bottom"/>
            <w:hideMark/>
          </w:tcPr>
          <w:p w14:paraId="00708E12"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89,000</w:t>
            </w:r>
          </w:p>
        </w:tc>
        <w:tc>
          <w:tcPr>
            <w:tcW w:w="720" w:type="dxa"/>
            <w:tcBorders>
              <w:top w:val="nil"/>
              <w:left w:val="nil"/>
              <w:bottom w:val="single" w:sz="4" w:space="0" w:color="auto"/>
              <w:right w:val="single" w:sz="8" w:space="0" w:color="auto"/>
            </w:tcBorders>
            <w:shd w:val="clear" w:color="000000" w:fill="D9D9D9"/>
            <w:noWrap/>
            <w:vAlign w:val="center"/>
            <w:hideMark/>
          </w:tcPr>
          <w:p w14:paraId="7906E77B" w14:textId="77777777" w:rsidR="003A4C20" w:rsidRPr="003A4C20" w:rsidRDefault="003A4C20" w:rsidP="003A4C20">
            <w:pPr>
              <w:spacing w:after="0" w:line="240" w:lineRule="auto"/>
              <w:jc w:val="center"/>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6</w:t>
            </w:r>
          </w:p>
        </w:tc>
      </w:tr>
      <w:tr w:rsidR="00773071" w:rsidRPr="003A4C20" w14:paraId="5BECFE93" w14:textId="77777777" w:rsidTr="00773071">
        <w:trPr>
          <w:trHeight w:val="640"/>
        </w:trPr>
        <w:tc>
          <w:tcPr>
            <w:tcW w:w="1250" w:type="dxa"/>
            <w:vMerge/>
            <w:tcBorders>
              <w:top w:val="nil"/>
              <w:left w:val="single" w:sz="8" w:space="0" w:color="auto"/>
              <w:bottom w:val="single" w:sz="4" w:space="0" w:color="auto"/>
              <w:right w:val="single" w:sz="4" w:space="0" w:color="auto"/>
            </w:tcBorders>
            <w:vAlign w:val="center"/>
            <w:hideMark/>
          </w:tcPr>
          <w:p w14:paraId="17FE1584" w14:textId="77777777" w:rsidR="003A4C20" w:rsidRPr="003A4C20" w:rsidRDefault="003A4C20" w:rsidP="003A4C20">
            <w:pPr>
              <w:spacing w:after="0" w:line="240" w:lineRule="auto"/>
              <w:rPr>
                <w:rFonts w:ascii="Aptos Narrow" w:eastAsia="Times New Roman" w:hAnsi="Aptos Narrow" w:cs="Times New Roman"/>
                <w:b/>
                <w:bCs/>
                <w:i/>
                <w:iCs/>
                <w:color w:val="auto"/>
                <w:sz w:val="16"/>
                <w:szCs w:val="16"/>
              </w:rPr>
            </w:pPr>
          </w:p>
        </w:tc>
        <w:tc>
          <w:tcPr>
            <w:tcW w:w="1460" w:type="dxa"/>
            <w:vMerge/>
            <w:tcBorders>
              <w:top w:val="nil"/>
              <w:left w:val="single" w:sz="4" w:space="0" w:color="auto"/>
              <w:bottom w:val="single" w:sz="4" w:space="0" w:color="auto"/>
              <w:right w:val="single" w:sz="4" w:space="0" w:color="auto"/>
            </w:tcBorders>
            <w:vAlign w:val="center"/>
            <w:hideMark/>
          </w:tcPr>
          <w:p w14:paraId="098C1C35"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1036" w:type="dxa"/>
            <w:vMerge/>
            <w:tcBorders>
              <w:top w:val="nil"/>
              <w:left w:val="single" w:sz="4" w:space="0" w:color="auto"/>
              <w:bottom w:val="nil"/>
              <w:right w:val="single" w:sz="4" w:space="0" w:color="auto"/>
            </w:tcBorders>
            <w:vAlign w:val="center"/>
            <w:hideMark/>
          </w:tcPr>
          <w:p w14:paraId="5F22DA05"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834" w:type="dxa"/>
            <w:vMerge/>
            <w:tcBorders>
              <w:top w:val="nil"/>
              <w:left w:val="single" w:sz="4" w:space="0" w:color="auto"/>
              <w:bottom w:val="nil"/>
              <w:right w:val="single" w:sz="4" w:space="0" w:color="auto"/>
            </w:tcBorders>
            <w:vAlign w:val="center"/>
            <w:hideMark/>
          </w:tcPr>
          <w:p w14:paraId="5712D791"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834" w:type="dxa"/>
            <w:vMerge/>
            <w:tcBorders>
              <w:top w:val="nil"/>
              <w:left w:val="single" w:sz="4" w:space="0" w:color="auto"/>
              <w:bottom w:val="nil"/>
              <w:right w:val="nil"/>
            </w:tcBorders>
            <w:vAlign w:val="center"/>
            <w:hideMark/>
          </w:tcPr>
          <w:p w14:paraId="08E4C925"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966" w:type="dxa"/>
            <w:vMerge/>
            <w:tcBorders>
              <w:top w:val="nil"/>
              <w:left w:val="single" w:sz="8" w:space="0" w:color="auto"/>
              <w:bottom w:val="single" w:sz="8" w:space="0" w:color="000000"/>
              <w:right w:val="nil"/>
            </w:tcBorders>
            <w:vAlign w:val="center"/>
            <w:hideMark/>
          </w:tcPr>
          <w:p w14:paraId="4C054065"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990" w:type="dxa"/>
            <w:tcBorders>
              <w:top w:val="nil"/>
              <w:left w:val="single" w:sz="8" w:space="0" w:color="auto"/>
              <w:bottom w:val="single" w:sz="4" w:space="0" w:color="auto"/>
              <w:right w:val="single" w:sz="4" w:space="0" w:color="auto"/>
            </w:tcBorders>
            <w:shd w:val="clear" w:color="000000" w:fill="D9D9D9"/>
            <w:vAlign w:val="center"/>
            <w:hideMark/>
          </w:tcPr>
          <w:p w14:paraId="00844620" w14:textId="77777777" w:rsidR="003A4C20" w:rsidRPr="003A4C20" w:rsidRDefault="003A4C20" w:rsidP="003A4C20">
            <w:pPr>
              <w:spacing w:after="0" w:line="240" w:lineRule="auto"/>
              <w:jc w:val="center"/>
              <w:rPr>
                <w:rFonts w:ascii="Aptos Narrow" w:eastAsia="Times New Roman" w:hAnsi="Aptos Narrow" w:cs="Times New Roman"/>
                <w:i/>
                <w:iCs/>
                <w:color w:val="auto"/>
                <w:sz w:val="16"/>
                <w:szCs w:val="16"/>
              </w:rPr>
            </w:pPr>
            <w:r w:rsidRPr="003A4C20">
              <w:rPr>
                <w:rFonts w:ascii="Aptos Narrow" w:eastAsia="Times New Roman" w:hAnsi="Aptos Narrow" w:cs="Times New Roman"/>
                <w:i/>
                <w:iCs/>
                <w:color w:val="auto"/>
                <w:sz w:val="16"/>
                <w:szCs w:val="16"/>
              </w:rPr>
              <w:t>72100</w:t>
            </w:r>
          </w:p>
        </w:tc>
        <w:tc>
          <w:tcPr>
            <w:tcW w:w="1620" w:type="dxa"/>
            <w:tcBorders>
              <w:top w:val="nil"/>
              <w:left w:val="nil"/>
              <w:bottom w:val="single" w:sz="4" w:space="0" w:color="auto"/>
              <w:right w:val="single" w:sz="8" w:space="0" w:color="auto"/>
            </w:tcBorders>
            <w:shd w:val="clear" w:color="000000" w:fill="D9D9D9"/>
            <w:vAlign w:val="center"/>
            <w:hideMark/>
          </w:tcPr>
          <w:p w14:paraId="6D82EE86"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r w:rsidRPr="003A4C20">
              <w:rPr>
                <w:rFonts w:ascii="Aptos Narrow" w:eastAsia="Times New Roman" w:hAnsi="Aptos Narrow" w:cs="Times New Roman"/>
                <w:i/>
                <w:iCs/>
                <w:color w:val="auto"/>
                <w:sz w:val="16"/>
                <w:szCs w:val="16"/>
              </w:rPr>
              <w:t>Contractual Services-Companies</w:t>
            </w:r>
          </w:p>
        </w:tc>
        <w:tc>
          <w:tcPr>
            <w:tcW w:w="990" w:type="dxa"/>
            <w:tcBorders>
              <w:top w:val="nil"/>
              <w:left w:val="nil"/>
              <w:bottom w:val="nil"/>
              <w:right w:val="single" w:sz="8" w:space="0" w:color="auto"/>
            </w:tcBorders>
            <w:shd w:val="clear" w:color="000000" w:fill="D9D9D9"/>
            <w:noWrap/>
            <w:vAlign w:val="bottom"/>
            <w:hideMark/>
          </w:tcPr>
          <w:p w14:paraId="53056DA9"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0</w:t>
            </w:r>
          </w:p>
        </w:tc>
        <w:tc>
          <w:tcPr>
            <w:tcW w:w="990" w:type="dxa"/>
            <w:tcBorders>
              <w:top w:val="nil"/>
              <w:left w:val="nil"/>
              <w:bottom w:val="nil"/>
              <w:right w:val="single" w:sz="8" w:space="0" w:color="auto"/>
            </w:tcBorders>
            <w:shd w:val="clear" w:color="000000" w:fill="D9D9D9"/>
            <w:noWrap/>
            <w:vAlign w:val="bottom"/>
            <w:hideMark/>
          </w:tcPr>
          <w:p w14:paraId="124CCFD4"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80,000</w:t>
            </w:r>
          </w:p>
        </w:tc>
        <w:tc>
          <w:tcPr>
            <w:tcW w:w="900" w:type="dxa"/>
            <w:tcBorders>
              <w:top w:val="nil"/>
              <w:left w:val="nil"/>
              <w:bottom w:val="nil"/>
              <w:right w:val="single" w:sz="8" w:space="0" w:color="auto"/>
            </w:tcBorders>
            <w:shd w:val="clear" w:color="000000" w:fill="D9D9D9"/>
            <w:noWrap/>
            <w:vAlign w:val="bottom"/>
            <w:hideMark/>
          </w:tcPr>
          <w:p w14:paraId="27CDACEB"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80,000</w:t>
            </w:r>
          </w:p>
        </w:tc>
        <w:tc>
          <w:tcPr>
            <w:tcW w:w="900" w:type="dxa"/>
            <w:tcBorders>
              <w:top w:val="nil"/>
              <w:left w:val="nil"/>
              <w:bottom w:val="nil"/>
              <w:right w:val="single" w:sz="8" w:space="0" w:color="auto"/>
            </w:tcBorders>
            <w:shd w:val="clear" w:color="000000" w:fill="D9D9D9"/>
            <w:noWrap/>
            <w:vAlign w:val="bottom"/>
            <w:hideMark/>
          </w:tcPr>
          <w:p w14:paraId="186F6FFE"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0</w:t>
            </w:r>
          </w:p>
        </w:tc>
        <w:tc>
          <w:tcPr>
            <w:tcW w:w="990" w:type="dxa"/>
            <w:tcBorders>
              <w:top w:val="single" w:sz="8" w:space="0" w:color="auto"/>
              <w:left w:val="nil"/>
              <w:bottom w:val="single" w:sz="4" w:space="0" w:color="auto"/>
              <w:right w:val="single" w:sz="8" w:space="0" w:color="auto"/>
            </w:tcBorders>
            <w:shd w:val="clear" w:color="000000" w:fill="D9D9D9"/>
            <w:noWrap/>
            <w:vAlign w:val="bottom"/>
            <w:hideMark/>
          </w:tcPr>
          <w:p w14:paraId="062814BB"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160,000</w:t>
            </w:r>
          </w:p>
        </w:tc>
        <w:tc>
          <w:tcPr>
            <w:tcW w:w="720" w:type="dxa"/>
            <w:tcBorders>
              <w:top w:val="nil"/>
              <w:left w:val="nil"/>
              <w:bottom w:val="nil"/>
              <w:right w:val="single" w:sz="8" w:space="0" w:color="auto"/>
            </w:tcBorders>
            <w:shd w:val="clear" w:color="000000" w:fill="D9D9D9"/>
            <w:noWrap/>
            <w:vAlign w:val="center"/>
            <w:hideMark/>
          </w:tcPr>
          <w:p w14:paraId="4AAFF8EA" w14:textId="77777777" w:rsidR="003A4C20" w:rsidRPr="003A4C20" w:rsidRDefault="003A4C20" w:rsidP="003A4C20">
            <w:pPr>
              <w:spacing w:after="0" w:line="240" w:lineRule="auto"/>
              <w:jc w:val="center"/>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11</w:t>
            </w:r>
          </w:p>
        </w:tc>
      </w:tr>
      <w:tr w:rsidR="00773071" w:rsidRPr="003A4C20" w14:paraId="09504F7F" w14:textId="77777777" w:rsidTr="00773071">
        <w:trPr>
          <w:trHeight w:val="300"/>
        </w:trPr>
        <w:tc>
          <w:tcPr>
            <w:tcW w:w="1250" w:type="dxa"/>
            <w:vMerge/>
            <w:tcBorders>
              <w:top w:val="nil"/>
              <w:left w:val="single" w:sz="8" w:space="0" w:color="auto"/>
              <w:bottom w:val="single" w:sz="4" w:space="0" w:color="auto"/>
              <w:right w:val="single" w:sz="4" w:space="0" w:color="auto"/>
            </w:tcBorders>
            <w:vAlign w:val="center"/>
            <w:hideMark/>
          </w:tcPr>
          <w:p w14:paraId="2DEF37E0" w14:textId="77777777" w:rsidR="003A4C20" w:rsidRPr="003A4C20" w:rsidRDefault="003A4C20" w:rsidP="003A4C20">
            <w:pPr>
              <w:spacing w:after="0" w:line="240" w:lineRule="auto"/>
              <w:rPr>
                <w:rFonts w:ascii="Aptos Narrow" w:eastAsia="Times New Roman" w:hAnsi="Aptos Narrow" w:cs="Times New Roman"/>
                <w:b/>
                <w:bCs/>
                <w:i/>
                <w:iCs/>
                <w:color w:val="auto"/>
                <w:sz w:val="16"/>
                <w:szCs w:val="16"/>
              </w:rPr>
            </w:pPr>
          </w:p>
        </w:tc>
        <w:tc>
          <w:tcPr>
            <w:tcW w:w="1460" w:type="dxa"/>
            <w:vMerge/>
            <w:tcBorders>
              <w:top w:val="nil"/>
              <w:left w:val="single" w:sz="4" w:space="0" w:color="auto"/>
              <w:bottom w:val="single" w:sz="4" w:space="0" w:color="auto"/>
              <w:right w:val="single" w:sz="4" w:space="0" w:color="auto"/>
            </w:tcBorders>
            <w:vAlign w:val="center"/>
            <w:hideMark/>
          </w:tcPr>
          <w:p w14:paraId="4D3F6A7C"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1036" w:type="dxa"/>
            <w:vMerge/>
            <w:tcBorders>
              <w:top w:val="nil"/>
              <w:left w:val="single" w:sz="4" w:space="0" w:color="auto"/>
              <w:bottom w:val="nil"/>
              <w:right w:val="single" w:sz="4" w:space="0" w:color="auto"/>
            </w:tcBorders>
            <w:vAlign w:val="center"/>
            <w:hideMark/>
          </w:tcPr>
          <w:p w14:paraId="14E4F649"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834" w:type="dxa"/>
            <w:vMerge/>
            <w:tcBorders>
              <w:top w:val="nil"/>
              <w:left w:val="single" w:sz="4" w:space="0" w:color="auto"/>
              <w:bottom w:val="nil"/>
              <w:right w:val="single" w:sz="4" w:space="0" w:color="auto"/>
            </w:tcBorders>
            <w:vAlign w:val="center"/>
            <w:hideMark/>
          </w:tcPr>
          <w:p w14:paraId="2EC8FCD4"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834" w:type="dxa"/>
            <w:vMerge/>
            <w:tcBorders>
              <w:top w:val="nil"/>
              <w:left w:val="single" w:sz="4" w:space="0" w:color="auto"/>
              <w:bottom w:val="nil"/>
              <w:right w:val="nil"/>
            </w:tcBorders>
            <w:vAlign w:val="center"/>
            <w:hideMark/>
          </w:tcPr>
          <w:p w14:paraId="6F980E3B"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966" w:type="dxa"/>
            <w:vMerge/>
            <w:tcBorders>
              <w:top w:val="nil"/>
              <w:left w:val="single" w:sz="8" w:space="0" w:color="auto"/>
              <w:bottom w:val="single" w:sz="8" w:space="0" w:color="000000"/>
              <w:right w:val="nil"/>
            </w:tcBorders>
            <w:vAlign w:val="center"/>
            <w:hideMark/>
          </w:tcPr>
          <w:p w14:paraId="3766D6A2"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990" w:type="dxa"/>
            <w:tcBorders>
              <w:top w:val="nil"/>
              <w:left w:val="single" w:sz="8" w:space="0" w:color="auto"/>
              <w:bottom w:val="single" w:sz="4" w:space="0" w:color="auto"/>
              <w:right w:val="single" w:sz="4" w:space="0" w:color="auto"/>
            </w:tcBorders>
            <w:shd w:val="clear" w:color="000000" w:fill="D9D9D9"/>
            <w:vAlign w:val="center"/>
            <w:hideMark/>
          </w:tcPr>
          <w:p w14:paraId="7F44DF96" w14:textId="77777777" w:rsidR="003A4C20" w:rsidRPr="003A4C20" w:rsidRDefault="003A4C20" w:rsidP="003A4C20">
            <w:pPr>
              <w:spacing w:after="0" w:line="240" w:lineRule="auto"/>
              <w:jc w:val="center"/>
              <w:rPr>
                <w:rFonts w:ascii="Aptos Narrow" w:eastAsia="Times New Roman" w:hAnsi="Aptos Narrow" w:cs="Times New Roman"/>
                <w:i/>
                <w:iCs/>
                <w:color w:val="auto"/>
                <w:sz w:val="16"/>
                <w:szCs w:val="16"/>
              </w:rPr>
            </w:pPr>
            <w:r w:rsidRPr="003A4C20">
              <w:rPr>
                <w:rFonts w:ascii="Aptos Narrow" w:eastAsia="Times New Roman" w:hAnsi="Aptos Narrow" w:cs="Times New Roman"/>
                <w:i/>
                <w:iCs/>
                <w:color w:val="auto"/>
                <w:sz w:val="16"/>
                <w:szCs w:val="16"/>
              </w:rPr>
              <w:t>72500</w:t>
            </w:r>
          </w:p>
        </w:tc>
        <w:tc>
          <w:tcPr>
            <w:tcW w:w="1620" w:type="dxa"/>
            <w:tcBorders>
              <w:top w:val="nil"/>
              <w:left w:val="nil"/>
              <w:bottom w:val="single" w:sz="4" w:space="0" w:color="auto"/>
              <w:right w:val="single" w:sz="8" w:space="0" w:color="auto"/>
            </w:tcBorders>
            <w:shd w:val="clear" w:color="000000" w:fill="D9D9D9"/>
            <w:vAlign w:val="center"/>
            <w:hideMark/>
          </w:tcPr>
          <w:p w14:paraId="10427C6D"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r w:rsidRPr="003A4C20">
              <w:rPr>
                <w:rFonts w:ascii="Aptos Narrow" w:eastAsia="Times New Roman" w:hAnsi="Aptos Narrow" w:cs="Times New Roman"/>
                <w:i/>
                <w:iCs/>
                <w:color w:val="auto"/>
                <w:sz w:val="16"/>
                <w:szCs w:val="16"/>
              </w:rPr>
              <w:t>Supplies</w:t>
            </w:r>
          </w:p>
        </w:tc>
        <w:tc>
          <w:tcPr>
            <w:tcW w:w="990" w:type="dxa"/>
            <w:tcBorders>
              <w:top w:val="single" w:sz="4" w:space="0" w:color="auto"/>
              <w:left w:val="nil"/>
              <w:bottom w:val="nil"/>
              <w:right w:val="single" w:sz="8" w:space="0" w:color="auto"/>
            </w:tcBorders>
            <w:shd w:val="clear" w:color="000000" w:fill="D9D9D9"/>
            <w:noWrap/>
            <w:vAlign w:val="bottom"/>
            <w:hideMark/>
          </w:tcPr>
          <w:p w14:paraId="61AC09AF"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0</w:t>
            </w:r>
          </w:p>
        </w:tc>
        <w:tc>
          <w:tcPr>
            <w:tcW w:w="990" w:type="dxa"/>
            <w:tcBorders>
              <w:top w:val="single" w:sz="4" w:space="0" w:color="auto"/>
              <w:left w:val="nil"/>
              <w:bottom w:val="nil"/>
              <w:right w:val="single" w:sz="8" w:space="0" w:color="auto"/>
            </w:tcBorders>
            <w:shd w:val="clear" w:color="000000" w:fill="D9D9D9"/>
            <w:noWrap/>
            <w:vAlign w:val="bottom"/>
            <w:hideMark/>
          </w:tcPr>
          <w:p w14:paraId="1FFC5F3C"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4,000</w:t>
            </w:r>
          </w:p>
        </w:tc>
        <w:tc>
          <w:tcPr>
            <w:tcW w:w="900" w:type="dxa"/>
            <w:tcBorders>
              <w:top w:val="single" w:sz="4" w:space="0" w:color="auto"/>
              <w:left w:val="nil"/>
              <w:bottom w:val="nil"/>
              <w:right w:val="single" w:sz="8" w:space="0" w:color="auto"/>
            </w:tcBorders>
            <w:shd w:val="clear" w:color="000000" w:fill="D9D9D9"/>
            <w:noWrap/>
            <w:vAlign w:val="bottom"/>
            <w:hideMark/>
          </w:tcPr>
          <w:p w14:paraId="2FDE406A"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1,000</w:t>
            </w:r>
          </w:p>
        </w:tc>
        <w:tc>
          <w:tcPr>
            <w:tcW w:w="900" w:type="dxa"/>
            <w:tcBorders>
              <w:top w:val="single" w:sz="4" w:space="0" w:color="auto"/>
              <w:left w:val="nil"/>
              <w:bottom w:val="nil"/>
              <w:right w:val="single" w:sz="8" w:space="0" w:color="auto"/>
            </w:tcBorders>
            <w:shd w:val="clear" w:color="000000" w:fill="D9D9D9"/>
            <w:noWrap/>
            <w:vAlign w:val="bottom"/>
            <w:hideMark/>
          </w:tcPr>
          <w:p w14:paraId="7C59DE26"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0</w:t>
            </w:r>
          </w:p>
        </w:tc>
        <w:tc>
          <w:tcPr>
            <w:tcW w:w="990" w:type="dxa"/>
            <w:tcBorders>
              <w:top w:val="single" w:sz="8" w:space="0" w:color="auto"/>
              <w:left w:val="nil"/>
              <w:bottom w:val="single" w:sz="4" w:space="0" w:color="auto"/>
              <w:right w:val="single" w:sz="8" w:space="0" w:color="auto"/>
            </w:tcBorders>
            <w:shd w:val="clear" w:color="000000" w:fill="D9D9D9"/>
            <w:noWrap/>
            <w:vAlign w:val="bottom"/>
            <w:hideMark/>
          </w:tcPr>
          <w:p w14:paraId="1EAC4820"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5,000</w:t>
            </w:r>
          </w:p>
        </w:tc>
        <w:tc>
          <w:tcPr>
            <w:tcW w:w="720" w:type="dxa"/>
            <w:tcBorders>
              <w:top w:val="single" w:sz="4" w:space="0" w:color="auto"/>
              <w:left w:val="nil"/>
              <w:bottom w:val="nil"/>
              <w:right w:val="single" w:sz="8" w:space="0" w:color="auto"/>
            </w:tcBorders>
            <w:shd w:val="clear" w:color="000000" w:fill="D9D9D9"/>
            <w:noWrap/>
            <w:vAlign w:val="center"/>
            <w:hideMark/>
          </w:tcPr>
          <w:p w14:paraId="5257B1E4" w14:textId="77777777" w:rsidR="003A4C20" w:rsidRPr="003A4C20" w:rsidRDefault="003A4C20" w:rsidP="003A4C20">
            <w:pPr>
              <w:spacing w:after="0" w:line="240" w:lineRule="auto"/>
              <w:jc w:val="center"/>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2</w:t>
            </w:r>
          </w:p>
        </w:tc>
      </w:tr>
      <w:tr w:rsidR="00773071" w:rsidRPr="003A4C20" w14:paraId="580405F4" w14:textId="77777777" w:rsidTr="00773071">
        <w:trPr>
          <w:trHeight w:val="850"/>
        </w:trPr>
        <w:tc>
          <w:tcPr>
            <w:tcW w:w="1250" w:type="dxa"/>
            <w:vMerge/>
            <w:tcBorders>
              <w:top w:val="nil"/>
              <w:left w:val="single" w:sz="8" w:space="0" w:color="auto"/>
              <w:bottom w:val="single" w:sz="4" w:space="0" w:color="auto"/>
              <w:right w:val="single" w:sz="4" w:space="0" w:color="auto"/>
            </w:tcBorders>
            <w:vAlign w:val="center"/>
            <w:hideMark/>
          </w:tcPr>
          <w:p w14:paraId="6906828B" w14:textId="77777777" w:rsidR="003A4C20" w:rsidRPr="003A4C20" w:rsidRDefault="003A4C20" w:rsidP="003A4C20">
            <w:pPr>
              <w:spacing w:after="0" w:line="240" w:lineRule="auto"/>
              <w:rPr>
                <w:rFonts w:ascii="Aptos Narrow" w:eastAsia="Times New Roman" w:hAnsi="Aptos Narrow" w:cs="Times New Roman"/>
                <w:b/>
                <w:bCs/>
                <w:i/>
                <w:iCs/>
                <w:color w:val="auto"/>
                <w:sz w:val="16"/>
                <w:szCs w:val="16"/>
              </w:rPr>
            </w:pPr>
          </w:p>
        </w:tc>
        <w:tc>
          <w:tcPr>
            <w:tcW w:w="1460" w:type="dxa"/>
            <w:vMerge/>
            <w:tcBorders>
              <w:top w:val="nil"/>
              <w:left w:val="single" w:sz="4" w:space="0" w:color="auto"/>
              <w:bottom w:val="single" w:sz="4" w:space="0" w:color="auto"/>
              <w:right w:val="single" w:sz="4" w:space="0" w:color="auto"/>
            </w:tcBorders>
            <w:vAlign w:val="center"/>
            <w:hideMark/>
          </w:tcPr>
          <w:p w14:paraId="39CAEC4F"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1036" w:type="dxa"/>
            <w:vMerge/>
            <w:tcBorders>
              <w:top w:val="nil"/>
              <w:left w:val="single" w:sz="4" w:space="0" w:color="auto"/>
              <w:bottom w:val="nil"/>
              <w:right w:val="single" w:sz="4" w:space="0" w:color="auto"/>
            </w:tcBorders>
            <w:vAlign w:val="center"/>
            <w:hideMark/>
          </w:tcPr>
          <w:p w14:paraId="38D8560F"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834" w:type="dxa"/>
            <w:vMerge/>
            <w:tcBorders>
              <w:top w:val="nil"/>
              <w:left w:val="single" w:sz="4" w:space="0" w:color="auto"/>
              <w:bottom w:val="nil"/>
              <w:right w:val="single" w:sz="4" w:space="0" w:color="auto"/>
            </w:tcBorders>
            <w:vAlign w:val="center"/>
            <w:hideMark/>
          </w:tcPr>
          <w:p w14:paraId="5E6A629A"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834" w:type="dxa"/>
            <w:vMerge/>
            <w:tcBorders>
              <w:top w:val="nil"/>
              <w:left w:val="single" w:sz="4" w:space="0" w:color="auto"/>
              <w:bottom w:val="nil"/>
              <w:right w:val="nil"/>
            </w:tcBorders>
            <w:vAlign w:val="center"/>
            <w:hideMark/>
          </w:tcPr>
          <w:p w14:paraId="32559007"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966" w:type="dxa"/>
            <w:vMerge/>
            <w:tcBorders>
              <w:top w:val="nil"/>
              <w:left w:val="single" w:sz="8" w:space="0" w:color="auto"/>
              <w:bottom w:val="single" w:sz="8" w:space="0" w:color="000000"/>
              <w:right w:val="nil"/>
            </w:tcBorders>
            <w:vAlign w:val="center"/>
            <w:hideMark/>
          </w:tcPr>
          <w:p w14:paraId="17832D78"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990" w:type="dxa"/>
            <w:tcBorders>
              <w:top w:val="nil"/>
              <w:left w:val="single" w:sz="8" w:space="0" w:color="auto"/>
              <w:bottom w:val="single" w:sz="8" w:space="0" w:color="auto"/>
              <w:right w:val="single" w:sz="4" w:space="0" w:color="auto"/>
            </w:tcBorders>
            <w:shd w:val="clear" w:color="000000" w:fill="D9D9D9"/>
            <w:vAlign w:val="center"/>
            <w:hideMark/>
          </w:tcPr>
          <w:p w14:paraId="1E740EAA" w14:textId="77777777" w:rsidR="003A4C20" w:rsidRPr="003A4C20" w:rsidRDefault="003A4C20" w:rsidP="003A4C20">
            <w:pPr>
              <w:spacing w:after="0" w:line="240" w:lineRule="auto"/>
              <w:jc w:val="center"/>
              <w:rPr>
                <w:rFonts w:ascii="Aptos Narrow" w:eastAsia="Times New Roman" w:hAnsi="Aptos Narrow" w:cs="Times New Roman"/>
                <w:i/>
                <w:iCs/>
                <w:color w:val="auto"/>
                <w:sz w:val="16"/>
                <w:szCs w:val="16"/>
              </w:rPr>
            </w:pPr>
            <w:r w:rsidRPr="003A4C20">
              <w:rPr>
                <w:rFonts w:ascii="Aptos Narrow" w:eastAsia="Times New Roman" w:hAnsi="Aptos Narrow" w:cs="Times New Roman"/>
                <w:i/>
                <w:iCs/>
                <w:color w:val="auto"/>
                <w:sz w:val="16"/>
                <w:szCs w:val="16"/>
              </w:rPr>
              <w:t>75700</w:t>
            </w:r>
          </w:p>
        </w:tc>
        <w:tc>
          <w:tcPr>
            <w:tcW w:w="1620" w:type="dxa"/>
            <w:tcBorders>
              <w:top w:val="nil"/>
              <w:left w:val="nil"/>
              <w:bottom w:val="single" w:sz="8" w:space="0" w:color="auto"/>
              <w:right w:val="single" w:sz="8" w:space="0" w:color="auto"/>
            </w:tcBorders>
            <w:shd w:val="clear" w:color="000000" w:fill="D9D9D9"/>
            <w:vAlign w:val="center"/>
            <w:hideMark/>
          </w:tcPr>
          <w:p w14:paraId="656360D4"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r w:rsidRPr="003A4C20">
              <w:rPr>
                <w:rFonts w:ascii="Aptos Narrow" w:eastAsia="Times New Roman" w:hAnsi="Aptos Narrow" w:cs="Times New Roman"/>
                <w:i/>
                <w:iCs/>
                <w:color w:val="auto"/>
                <w:sz w:val="16"/>
                <w:szCs w:val="16"/>
              </w:rPr>
              <w:t>Training, Workshops and Conference</w:t>
            </w:r>
          </w:p>
        </w:tc>
        <w:tc>
          <w:tcPr>
            <w:tcW w:w="990" w:type="dxa"/>
            <w:tcBorders>
              <w:top w:val="single" w:sz="4" w:space="0" w:color="auto"/>
              <w:left w:val="nil"/>
              <w:bottom w:val="single" w:sz="8" w:space="0" w:color="auto"/>
              <w:right w:val="single" w:sz="8" w:space="0" w:color="auto"/>
            </w:tcBorders>
            <w:shd w:val="clear" w:color="000000" w:fill="D9D9D9"/>
            <w:noWrap/>
            <w:vAlign w:val="bottom"/>
            <w:hideMark/>
          </w:tcPr>
          <w:p w14:paraId="30869363"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0</w:t>
            </w:r>
          </w:p>
        </w:tc>
        <w:tc>
          <w:tcPr>
            <w:tcW w:w="990" w:type="dxa"/>
            <w:tcBorders>
              <w:top w:val="single" w:sz="4" w:space="0" w:color="auto"/>
              <w:left w:val="nil"/>
              <w:bottom w:val="single" w:sz="8" w:space="0" w:color="auto"/>
              <w:right w:val="single" w:sz="8" w:space="0" w:color="auto"/>
            </w:tcBorders>
            <w:shd w:val="clear" w:color="000000" w:fill="D9D9D9"/>
            <w:noWrap/>
            <w:vAlign w:val="bottom"/>
            <w:hideMark/>
          </w:tcPr>
          <w:p w14:paraId="35D105CC"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40,000</w:t>
            </w:r>
          </w:p>
        </w:tc>
        <w:tc>
          <w:tcPr>
            <w:tcW w:w="900" w:type="dxa"/>
            <w:tcBorders>
              <w:top w:val="single" w:sz="4" w:space="0" w:color="auto"/>
              <w:left w:val="nil"/>
              <w:bottom w:val="single" w:sz="8" w:space="0" w:color="auto"/>
              <w:right w:val="single" w:sz="8" w:space="0" w:color="auto"/>
            </w:tcBorders>
            <w:shd w:val="clear" w:color="000000" w:fill="D9D9D9"/>
            <w:noWrap/>
            <w:vAlign w:val="bottom"/>
            <w:hideMark/>
          </w:tcPr>
          <w:p w14:paraId="2ED82BDE"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40,000</w:t>
            </w:r>
          </w:p>
        </w:tc>
        <w:tc>
          <w:tcPr>
            <w:tcW w:w="900" w:type="dxa"/>
            <w:tcBorders>
              <w:top w:val="single" w:sz="4" w:space="0" w:color="auto"/>
              <w:left w:val="nil"/>
              <w:bottom w:val="single" w:sz="8" w:space="0" w:color="auto"/>
              <w:right w:val="single" w:sz="8" w:space="0" w:color="auto"/>
            </w:tcBorders>
            <w:shd w:val="clear" w:color="000000" w:fill="D9D9D9"/>
            <w:noWrap/>
            <w:vAlign w:val="bottom"/>
            <w:hideMark/>
          </w:tcPr>
          <w:p w14:paraId="3617A570"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0</w:t>
            </w:r>
          </w:p>
        </w:tc>
        <w:tc>
          <w:tcPr>
            <w:tcW w:w="990" w:type="dxa"/>
            <w:tcBorders>
              <w:top w:val="single" w:sz="8" w:space="0" w:color="auto"/>
              <w:left w:val="nil"/>
              <w:bottom w:val="single" w:sz="4" w:space="0" w:color="auto"/>
              <w:right w:val="single" w:sz="8" w:space="0" w:color="auto"/>
            </w:tcBorders>
            <w:shd w:val="clear" w:color="000000" w:fill="D9D9D9"/>
            <w:noWrap/>
            <w:vAlign w:val="bottom"/>
            <w:hideMark/>
          </w:tcPr>
          <w:p w14:paraId="44327F98"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80,000</w:t>
            </w:r>
          </w:p>
        </w:tc>
        <w:tc>
          <w:tcPr>
            <w:tcW w:w="720" w:type="dxa"/>
            <w:tcBorders>
              <w:top w:val="single" w:sz="4" w:space="0" w:color="auto"/>
              <w:left w:val="nil"/>
              <w:bottom w:val="single" w:sz="8" w:space="0" w:color="auto"/>
              <w:right w:val="single" w:sz="8" w:space="0" w:color="auto"/>
            </w:tcBorders>
            <w:shd w:val="clear" w:color="000000" w:fill="D9D9D9"/>
            <w:noWrap/>
            <w:vAlign w:val="center"/>
            <w:hideMark/>
          </w:tcPr>
          <w:p w14:paraId="6055D61D" w14:textId="77777777" w:rsidR="003A4C20" w:rsidRPr="003A4C20" w:rsidRDefault="003A4C20" w:rsidP="003A4C20">
            <w:pPr>
              <w:spacing w:after="0" w:line="240" w:lineRule="auto"/>
              <w:jc w:val="center"/>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12</w:t>
            </w:r>
          </w:p>
        </w:tc>
      </w:tr>
      <w:tr w:rsidR="00773071" w:rsidRPr="003A4C20" w14:paraId="71BE8434" w14:textId="77777777" w:rsidTr="00773071">
        <w:trPr>
          <w:trHeight w:val="300"/>
        </w:trPr>
        <w:tc>
          <w:tcPr>
            <w:tcW w:w="1250" w:type="dxa"/>
            <w:vMerge/>
            <w:tcBorders>
              <w:top w:val="nil"/>
              <w:left w:val="single" w:sz="8" w:space="0" w:color="auto"/>
              <w:bottom w:val="single" w:sz="4" w:space="0" w:color="auto"/>
              <w:right w:val="single" w:sz="4" w:space="0" w:color="auto"/>
            </w:tcBorders>
            <w:vAlign w:val="center"/>
            <w:hideMark/>
          </w:tcPr>
          <w:p w14:paraId="2D653F4D" w14:textId="77777777" w:rsidR="003A4C20" w:rsidRPr="003A4C20" w:rsidRDefault="003A4C20" w:rsidP="003A4C20">
            <w:pPr>
              <w:spacing w:after="0" w:line="240" w:lineRule="auto"/>
              <w:rPr>
                <w:rFonts w:ascii="Aptos Narrow" w:eastAsia="Times New Roman" w:hAnsi="Aptos Narrow" w:cs="Times New Roman"/>
                <w:b/>
                <w:bCs/>
                <w:i/>
                <w:iCs/>
                <w:color w:val="auto"/>
                <w:sz w:val="16"/>
                <w:szCs w:val="16"/>
              </w:rPr>
            </w:pPr>
          </w:p>
        </w:tc>
        <w:tc>
          <w:tcPr>
            <w:tcW w:w="1460" w:type="dxa"/>
            <w:vMerge/>
            <w:tcBorders>
              <w:top w:val="nil"/>
              <w:left w:val="single" w:sz="4" w:space="0" w:color="auto"/>
              <w:bottom w:val="single" w:sz="4" w:space="0" w:color="auto"/>
              <w:right w:val="single" w:sz="4" w:space="0" w:color="auto"/>
            </w:tcBorders>
            <w:vAlign w:val="center"/>
            <w:hideMark/>
          </w:tcPr>
          <w:p w14:paraId="203A48C3"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1036" w:type="dxa"/>
            <w:vMerge/>
            <w:tcBorders>
              <w:top w:val="nil"/>
              <w:left w:val="single" w:sz="4" w:space="0" w:color="auto"/>
              <w:bottom w:val="nil"/>
              <w:right w:val="single" w:sz="4" w:space="0" w:color="auto"/>
            </w:tcBorders>
            <w:vAlign w:val="center"/>
            <w:hideMark/>
          </w:tcPr>
          <w:p w14:paraId="770627DE"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834" w:type="dxa"/>
            <w:vMerge/>
            <w:tcBorders>
              <w:top w:val="nil"/>
              <w:left w:val="single" w:sz="4" w:space="0" w:color="auto"/>
              <w:bottom w:val="nil"/>
              <w:right w:val="single" w:sz="4" w:space="0" w:color="auto"/>
            </w:tcBorders>
            <w:vAlign w:val="center"/>
            <w:hideMark/>
          </w:tcPr>
          <w:p w14:paraId="42347758"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834" w:type="dxa"/>
            <w:vMerge/>
            <w:tcBorders>
              <w:top w:val="nil"/>
              <w:left w:val="single" w:sz="4" w:space="0" w:color="auto"/>
              <w:bottom w:val="nil"/>
              <w:right w:val="nil"/>
            </w:tcBorders>
            <w:vAlign w:val="center"/>
            <w:hideMark/>
          </w:tcPr>
          <w:p w14:paraId="71D34302"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966" w:type="dxa"/>
            <w:vMerge w:val="restart"/>
            <w:tcBorders>
              <w:top w:val="single" w:sz="8" w:space="0" w:color="auto"/>
              <w:left w:val="single" w:sz="8" w:space="0" w:color="auto"/>
              <w:bottom w:val="nil"/>
              <w:right w:val="single" w:sz="8" w:space="0" w:color="auto"/>
            </w:tcBorders>
            <w:shd w:val="clear" w:color="000000" w:fill="DAE9F8"/>
            <w:vAlign w:val="center"/>
            <w:hideMark/>
          </w:tcPr>
          <w:p w14:paraId="50BE8DF9" w14:textId="77777777" w:rsidR="003A4C20" w:rsidRPr="003A4C20" w:rsidRDefault="003A4C20" w:rsidP="003A4C20">
            <w:pPr>
              <w:spacing w:after="0" w:line="240" w:lineRule="auto"/>
              <w:jc w:val="center"/>
              <w:rPr>
                <w:rFonts w:ascii="Aptos Narrow" w:eastAsia="Times New Roman" w:hAnsi="Aptos Narrow" w:cs="Times New Roman"/>
                <w:i/>
                <w:iCs/>
                <w:color w:val="auto"/>
                <w:sz w:val="16"/>
                <w:szCs w:val="16"/>
              </w:rPr>
            </w:pPr>
            <w:r w:rsidRPr="003A4C20">
              <w:rPr>
                <w:rFonts w:ascii="Aptos Narrow" w:eastAsia="Times New Roman" w:hAnsi="Aptos Narrow" w:cs="Times New Roman"/>
                <w:i/>
                <w:iCs/>
                <w:color w:val="auto"/>
                <w:sz w:val="16"/>
                <w:szCs w:val="16"/>
              </w:rPr>
              <w:t>Activity 2.2</w:t>
            </w:r>
            <w:r w:rsidRPr="003A4C20">
              <w:rPr>
                <w:rFonts w:ascii="Aptos Narrow" w:eastAsia="Times New Roman" w:hAnsi="Aptos Narrow" w:cs="Times New Roman"/>
                <w:i/>
                <w:iCs/>
                <w:color w:val="auto"/>
                <w:sz w:val="16"/>
                <w:szCs w:val="16"/>
              </w:rPr>
              <w:br/>
              <w:t>(Output 2.2)</w:t>
            </w:r>
          </w:p>
        </w:tc>
        <w:tc>
          <w:tcPr>
            <w:tcW w:w="990" w:type="dxa"/>
            <w:tcBorders>
              <w:top w:val="nil"/>
              <w:left w:val="single" w:sz="8" w:space="0" w:color="auto"/>
              <w:bottom w:val="single" w:sz="4" w:space="0" w:color="auto"/>
              <w:right w:val="single" w:sz="4" w:space="0" w:color="auto"/>
            </w:tcBorders>
            <w:shd w:val="clear" w:color="000000" w:fill="DAE9F8"/>
            <w:noWrap/>
            <w:vAlign w:val="center"/>
            <w:hideMark/>
          </w:tcPr>
          <w:p w14:paraId="3959792D" w14:textId="77777777" w:rsidR="003A4C20" w:rsidRPr="003A4C20" w:rsidRDefault="003A4C20" w:rsidP="003A4C20">
            <w:pPr>
              <w:spacing w:after="0" w:line="240" w:lineRule="auto"/>
              <w:jc w:val="center"/>
              <w:rPr>
                <w:rFonts w:ascii="Aptos Narrow" w:eastAsia="Times New Roman" w:hAnsi="Aptos Narrow" w:cs="Times New Roman"/>
                <w:i/>
                <w:iCs/>
                <w:color w:val="auto"/>
                <w:sz w:val="16"/>
                <w:szCs w:val="16"/>
              </w:rPr>
            </w:pPr>
            <w:r w:rsidRPr="003A4C20">
              <w:rPr>
                <w:rFonts w:ascii="Aptos Narrow" w:eastAsia="Times New Roman" w:hAnsi="Aptos Narrow" w:cs="Times New Roman"/>
                <w:i/>
                <w:iCs/>
                <w:color w:val="auto"/>
                <w:sz w:val="16"/>
                <w:szCs w:val="16"/>
              </w:rPr>
              <w:t>71200</w:t>
            </w:r>
          </w:p>
        </w:tc>
        <w:tc>
          <w:tcPr>
            <w:tcW w:w="1620" w:type="dxa"/>
            <w:tcBorders>
              <w:top w:val="nil"/>
              <w:left w:val="nil"/>
              <w:bottom w:val="single" w:sz="4" w:space="0" w:color="auto"/>
              <w:right w:val="single" w:sz="8" w:space="0" w:color="auto"/>
            </w:tcBorders>
            <w:shd w:val="clear" w:color="000000" w:fill="DAE9F8"/>
            <w:noWrap/>
            <w:vAlign w:val="center"/>
            <w:hideMark/>
          </w:tcPr>
          <w:p w14:paraId="388A8685"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r w:rsidRPr="003A4C20">
              <w:rPr>
                <w:rFonts w:ascii="Aptos Narrow" w:eastAsia="Times New Roman" w:hAnsi="Aptos Narrow" w:cs="Times New Roman"/>
                <w:i/>
                <w:iCs/>
                <w:color w:val="auto"/>
                <w:sz w:val="16"/>
                <w:szCs w:val="16"/>
              </w:rPr>
              <w:t>International Consultants</w:t>
            </w:r>
          </w:p>
        </w:tc>
        <w:tc>
          <w:tcPr>
            <w:tcW w:w="990" w:type="dxa"/>
            <w:tcBorders>
              <w:top w:val="nil"/>
              <w:left w:val="nil"/>
              <w:bottom w:val="single" w:sz="4" w:space="0" w:color="auto"/>
              <w:right w:val="single" w:sz="8" w:space="0" w:color="auto"/>
            </w:tcBorders>
            <w:shd w:val="clear" w:color="000000" w:fill="DAE9F8"/>
            <w:noWrap/>
            <w:vAlign w:val="bottom"/>
            <w:hideMark/>
          </w:tcPr>
          <w:p w14:paraId="3557679F"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0</w:t>
            </w:r>
          </w:p>
        </w:tc>
        <w:tc>
          <w:tcPr>
            <w:tcW w:w="990" w:type="dxa"/>
            <w:tcBorders>
              <w:top w:val="nil"/>
              <w:left w:val="nil"/>
              <w:bottom w:val="single" w:sz="4" w:space="0" w:color="auto"/>
              <w:right w:val="single" w:sz="8" w:space="0" w:color="auto"/>
            </w:tcBorders>
            <w:shd w:val="clear" w:color="000000" w:fill="DAE9F8"/>
            <w:noWrap/>
            <w:vAlign w:val="bottom"/>
            <w:hideMark/>
          </w:tcPr>
          <w:p w14:paraId="752F074A"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80,000</w:t>
            </w:r>
          </w:p>
        </w:tc>
        <w:tc>
          <w:tcPr>
            <w:tcW w:w="900" w:type="dxa"/>
            <w:tcBorders>
              <w:top w:val="nil"/>
              <w:left w:val="nil"/>
              <w:bottom w:val="single" w:sz="4" w:space="0" w:color="auto"/>
              <w:right w:val="single" w:sz="8" w:space="0" w:color="auto"/>
            </w:tcBorders>
            <w:shd w:val="clear" w:color="000000" w:fill="DAE9F8"/>
            <w:noWrap/>
            <w:vAlign w:val="bottom"/>
            <w:hideMark/>
          </w:tcPr>
          <w:p w14:paraId="28379B7E"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80,000</w:t>
            </w:r>
          </w:p>
        </w:tc>
        <w:tc>
          <w:tcPr>
            <w:tcW w:w="900" w:type="dxa"/>
            <w:tcBorders>
              <w:top w:val="nil"/>
              <w:left w:val="nil"/>
              <w:bottom w:val="single" w:sz="4" w:space="0" w:color="auto"/>
              <w:right w:val="single" w:sz="8" w:space="0" w:color="auto"/>
            </w:tcBorders>
            <w:shd w:val="clear" w:color="000000" w:fill="DAE9F8"/>
            <w:noWrap/>
            <w:vAlign w:val="bottom"/>
            <w:hideMark/>
          </w:tcPr>
          <w:p w14:paraId="7855031E"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0</w:t>
            </w:r>
          </w:p>
        </w:tc>
        <w:tc>
          <w:tcPr>
            <w:tcW w:w="990" w:type="dxa"/>
            <w:tcBorders>
              <w:top w:val="single" w:sz="8" w:space="0" w:color="auto"/>
              <w:left w:val="nil"/>
              <w:bottom w:val="single" w:sz="4" w:space="0" w:color="auto"/>
              <w:right w:val="single" w:sz="8" w:space="0" w:color="auto"/>
            </w:tcBorders>
            <w:shd w:val="clear" w:color="000000" w:fill="DAE9F8"/>
            <w:noWrap/>
            <w:vAlign w:val="bottom"/>
            <w:hideMark/>
          </w:tcPr>
          <w:p w14:paraId="706587A3"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160,000</w:t>
            </w:r>
          </w:p>
        </w:tc>
        <w:tc>
          <w:tcPr>
            <w:tcW w:w="720" w:type="dxa"/>
            <w:tcBorders>
              <w:top w:val="nil"/>
              <w:left w:val="nil"/>
              <w:bottom w:val="single" w:sz="4" w:space="0" w:color="auto"/>
              <w:right w:val="single" w:sz="8" w:space="0" w:color="auto"/>
            </w:tcBorders>
            <w:shd w:val="clear" w:color="000000" w:fill="DAE9F8"/>
            <w:noWrap/>
            <w:vAlign w:val="center"/>
            <w:hideMark/>
          </w:tcPr>
          <w:p w14:paraId="02116E3B" w14:textId="77777777" w:rsidR="003A4C20" w:rsidRPr="003A4C20" w:rsidRDefault="003A4C20" w:rsidP="003A4C20">
            <w:pPr>
              <w:spacing w:after="0" w:line="240" w:lineRule="auto"/>
              <w:jc w:val="center"/>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13</w:t>
            </w:r>
          </w:p>
        </w:tc>
      </w:tr>
      <w:tr w:rsidR="00773071" w:rsidRPr="003A4C20" w14:paraId="27190080" w14:textId="77777777" w:rsidTr="00773071">
        <w:trPr>
          <w:trHeight w:val="640"/>
        </w:trPr>
        <w:tc>
          <w:tcPr>
            <w:tcW w:w="1250" w:type="dxa"/>
            <w:vMerge/>
            <w:tcBorders>
              <w:top w:val="nil"/>
              <w:left w:val="single" w:sz="8" w:space="0" w:color="auto"/>
              <w:bottom w:val="single" w:sz="4" w:space="0" w:color="auto"/>
              <w:right w:val="single" w:sz="4" w:space="0" w:color="auto"/>
            </w:tcBorders>
            <w:vAlign w:val="center"/>
            <w:hideMark/>
          </w:tcPr>
          <w:p w14:paraId="34E2B6A1" w14:textId="77777777" w:rsidR="003A4C20" w:rsidRPr="003A4C20" w:rsidRDefault="003A4C20" w:rsidP="003A4C20">
            <w:pPr>
              <w:spacing w:after="0" w:line="240" w:lineRule="auto"/>
              <w:rPr>
                <w:rFonts w:ascii="Aptos Narrow" w:eastAsia="Times New Roman" w:hAnsi="Aptos Narrow" w:cs="Times New Roman"/>
                <w:b/>
                <w:bCs/>
                <w:i/>
                <w:iCs/>
                <w:color w:val="auto"/>
                <w:sz w:val="16"/>
                <w:szCs w:val="16"/>
              </w:rPr>
            </w:pPr>
          </w:p>
        </w:tc>
        <w:tc>
          <w:tcPr>
            <w:tcW w:w="1460" w:type="dxa"/>
            <w:vMerge/>
            <w:tcBorders>
              <w:top w:val="nil"/>
              <w:left w:val="single" w:sz="4" w:space="0" w:color="auto"/>
              <w:bottom w:val="single" w:sz="4" w:space="0" w:color="auto"/>
              <w:right w:val="single" w:sz="4" w:space="0" w:color="auto"/>
            </w:tcBorders>
            <w:vAlign w:val="center"/>
            <w:hideMark/>
          </w:tcPr>
          <w:p w14:paraId="78851314"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1036" w:type="dxa"/>
            <w:vMerge/>
            <w:tcBorders>
              <w:top w:val="nil"/>
              <w:left w:val="single" w:sz="4" w:space="0" w:color="auto"/>
              <w:bottom w:val="nil"/>
              <w:right w:val="single" w:sz="4" w:space="0" w:color="auto"/>
            </w:tcBorders>
            <w:vAlign w:val="center"/>
            <w:hideMark/>
          </w:tcPr>
          <w:p w14:paraId="2439E93E"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834" w:type="dxa"/>
            <w:vMerge/>
            <w:tcBorders>
              <w:top w:val="nil"/>
              <w:left w:val="single" w:sz="4" w:space="0" w:color="auto"/>
              <w:bottom w:val="nil"/>
              <w:right w:val="single" w:sz="4" w:space="0" w:color="auto"/>
            </w:tcBorders>
            <w:vAlign w:val="center"/>
            <w:hideMark/>
          </w:tcPr>
          <w:p w14:paraId="5CB5B67B"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834" w:type="dxa"/>
            <w:vMerge/>
            <w:tcBorders>
              <w:top w:val="nil"/>
              <w:left w:val="single" w:sz="4" w:space="0" w:color="auto"/>
              <w:bottom w:val="nil"/>
              <w:right w:val="nil"/>
            </w:tcBorders>
            <w:vAlign w:val="center"/>
            <w:hideMark/>
          </w:tcPr>
          <w:p w14:paraId="4226670C"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966" w:type="dxa"/>
            <w:vMerge/>
            <w:tcBorders>
              <w:top w:val="single" w:sz="8" w:space="0" w:color="auto"/>
              <w:left w:val="single" w:sz="8" w:space="0" w:color="auto"/>
              <w:bottom w:val="nil"/>
              <w:right w:val="single" w:sz="8" w:space="0" w:color="auto"/>
            </w:tcBorders>
            <w:vAlign w:val="center"/>
            <w:hideMark/>
          </w:tcPr>
          <w:p w14:paraId="564C1372"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990" w:type="dxa"/>
            <w:tcBorders>
              <w:top w:val="nil"/>
              <w:left w:val="single" w:sz="8" w:space="0" w:color="auto"/>
              <w:bottom w:val="single" w:sz="4" w:space="0" w:color="auto"/>
              <w:right w:val="single" w:sz="4" w:space="0" w:color="auto"/>
            </w:tcBorders>
            <w:shd w:val="clear" w:color="000000" w:fill="DAE9F8"/>
            <w:vAlign w:val="center"/>
            <w:hideMark/>
          </w:tcPr>
          <w:p w14:paraId="3F92DF52" w14:textId="77777777" w:rsidR="003A4C20" w:rsidRPr="003A4C20" w:rsidRDefault="003A4C20" w:rsidP="003A4C20">
            <w:pPr>
              <w:spacing w:after="0" w:line="240" w:lineRule="auto"/>
              <w:jc w:val="center"/>
              <w:rPr>
                <w:rFonts w:ascii="Aptos Narrow" w:eastAsia="Times New Roman" w:hAnsi="Aptos Narrow" w:cs="Times New Roman"/>
                <w:i/>
                <w:iCs/>
                <w:color w:val="auto"/>
                <w:sz w:val="16"/>
                <w:szCs w:val="16"/>
              </w:rPr>
            </w:pPr>
            <w:r w:rsidRPr="003A4C20">
              <w:rPr>
                <w:rFonts w:ascii="Aptos Narrow" w:eastAsia="Times New Roman" w:hAnsi="Aptos Narrow" w:cs="Times New Roman"/>
                <w:i/>
                <w:iCs/>
                <w:color w:val="auto"/>
                <w:sz w:val="16"/>
                <w:szCs w:val="16"/>
              </w:rPr>
              <w:t>71400</w:t>
            </w:r>
          </w:p>
        </w:tc>
        <w:tc>
          <w:tcPr>
            <w:tcW w:w="1620" w:type="dxa"/>
            <w:tcBorders>
              <w:top w:val="nil"/>
              <w:left w:val="nil"/>
              <w:bottom w:val="single" w:sz="4" w:space="0" w:color="auto"/>
              <w:right w:val="single" w:sz="8" w:space="0" w:color="auto"/>
            </w:tcBorders>
            <w:shd w:val="clear" w:color="000000" w:fill="DAE9F8"/>
            <w:vAlign w:val="center"/>
            <w:hideMark/>
          </w:tcPr>
          <w:p w14:paraId="008E1DA4"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r w:rsidRPr="003A4C20">
              <w:rPr>
                <w:rFonts w:ascii="Aptos Narrow" w:eastAsia="Times New Roman" w:hAnsi="Aptos Narrow" w:cs="Times New Roman"/>
                <w:i/>
                <w:iCs/>
                <w:color w:val="auto"/>
                <w:sz w:val="16"/>
                <w:szCs w:val="16"/>
              </w:rPr>
              <w:t>Contractual Services-Individuals</w:t>
            </w:r>
          </w:p>
        </w:tc>
        <w:tc>
          <w:tcPr>
            <w:tcW w:w="990" w:type="dxa"/>
            <w:tcBorders>
              <w:top w:val="nil"/>
              <w:left w:val="nil"/>
              <w:bottom w:val="single" w:sz="4" w:space="0" w:color="auto"/>
              <w:right w:val="single" w:sz="8" w:space="0" w:color="auto"/>
            </w:tcBorders>
            <w:shd w:val="clear" w:color="000000" w:fill="DAE9F8"/>
            <w:noWrap/>
            <w:vAlign w:val="bottom"/>
            <w:hideMark/>
          </w:tcPr>
          <w:p w14:paraId="6713CFAD"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62,524</w:t>
            </w:r>
          </w:p>
        </w:tc>
        <w:tc>
          <w:tcPr>
            <w:tcW w:w="990" w:type="dxa"/>
            <w:tcBorders>
              <w:top w:val="nil"/>
              <w:left w:val="nil"/>
              <w:bottom w:val="single" w:sz="4" w:space="0" w:color="auto"/>
              <w:right w:val="single" w:sz="8" w:space="0" w:color="auto"/>
            </w:tcBorders>
            <w:shd w:val="clear" w:color="000000" w:fill="DAE9F8"/>
            <w:noWrap/>
            <w:vAlign w:val="bottom"/>
            <w:hideMark/>
          </w:tcPr>
          <w:p w14:paraId="7E131B67"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62,524</w:t>
            </w:r>
          </w:p>
        </w:tc>
        <w:tc>
          <w:tcPr>
            <w:tcW w:w="900" w:type="dxa"/>
            <w:tcBorders>
              <w:top w:val="nil"/>
              <w:left w:val="nil"/>
              <w:bottom w:val="single" w:sz="4" w:space="0" w:color="auto"/>
              <w:right w:val="single" w:sz="8" w:space="0" w:color="auto"/>
            </w:tcBorders>
            <w:shd w:val="clear" w:color="000000" w:fill="DAE9F8"/>
            <w:noWrap/>
            <w:vAlign w:val="bottom"/>
            <w:hideMark/>
          </w:tcPr>
          <w:p w14:paraId="3E0F37E1"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90,966</w:t>
            </w:r>
          </w:p>
        </w:tc>
        <w:tc>
          <w:tcPr>
            <w:tcW w:w="900" w:type="dxa"/>
            <w:tcBorders>
              <w:top w:val="nil"/>
              <w:left w:val="nil"/>
              <w:bottom w:val="single" w:sz="4" w:space="0" w:color="auto"/>
              <w:right w:val="single" w:sz="8" w:space="0" w:color="auto"/>
            </w:tcBorders>
            <w:shd w:val="clear" w:color="000000" w:fill="DAE9F8"/>
            <w:noWrap/>
            <w:vAlign w:val="bottom"/>
            <w:hideMark/>
          </w:tcPr>
          <w:p w14:paraId="68DF7725"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90,966</w:t>
            </w:r>
          </w:p>
        </w:tc>
        <w:tc>
          <w:tcPr>
            <w:tcW w:w="990" w:type="dxa"/>
            <w:tcBorders>
              <w:top w:val="single" w:sz="8" w:space="0" w:color="auto"/>
              <w:left w:val="nil"/>
              <w:bottom w:val="single" w:sz="4" w:space="0" w:color="auto"/>
              <w:right w:val="single" w:sz="8" w:space="0" w:color="auto"/>
            </w:tcBorders>
            <w:shd w:val="clear" w:color="000000" w:fill="DAE9F8"/>
            <w:noWrap/>
            <w:vAlign w:val="bottom"/>
            <w:hideMark/>
          </w:tcPr>
          <w:p w14:paraId="5FEAC06C"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306,980</w:t>
            </w:r>
          </w:p>
        </w:tc>
        <w:tc>
          <w:tcPr>
            <w:tcW w:w="720" w:type="dxa"/>
            <w:tcBorders>
              <w:top w:val="nil"/>
              <w:left w:val="nil"/>
              <w:bottom w:val="single" w:sz="4" w:space="0" w:color="auto"/>
              <w:right w:val="single" w:sz="8" w:space="0" w:color="auto"/>
            </w:tcBorders>
            <w:shd w:val="clear" w:color="000000" w:fill="DAE9F8"/>
            <w:noWrap/>
            <w:vAlign w:val="center"/>
            <w:hideMark/>
          </w:tcPr>
          <w:p w14:paraId="4BE4E459" w14:textId="77777777" w:rsidR="003A4C20" w:rsidRPr="003A4C20" w:rsidRDefault="003A4C20" w:rsidP="003A4C20">
            <w:pPr>
              <w:spacing w:after="0" w:line="240" w:lineRule="auto"/>
              <w:jc w:val="center"/>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14</w:t>
            </w:r>
          </w:p>
        </w:tc>
      </w:tr>
      <w:tr w:rsidR="00773071" w:rsidRPr="003A4C20" w14:paraId="5E1D9509" w14:textId="77777777" w:rsidTr="00773071">
        <w:trPr>
          <w:trHeight w:val="640"/>
        </w:trPr>
        <w:tc>
          <w:tcPr>
            <w:tcW w:w="1250" w:type="dxa"/>
            <w:vMerge/>
            <w:tcBorders>
              <w:top w:val="nil"/>
              <w:left w:val="single" w:sz="8" w:space="0" w:color="auto"/>
              <w:bottom w:val="single" w:sz="4" w:space="0" w:color="auto"/>
              <w:right w:val="single" w:sz="4" w:space="0" w:color="auto"/>
            </w:tcBorders>
            <w:vAlign w:val="center"/>
            <w:hideMark/>
          </w:tcPr>
          <w:p w14:paraId="053503FF" w14:textId="77777777" w:rsidR="003A4C20" w:rsidRPr="003A4C20" w:rsidRDefault="003A4C20" w:rsidP="003A4C20">
            <w:pPr>
              <w:spacing w:after="0" w:line="240" w:lineRule="auto"/>
              <w:rPr>
                <w:rFonts w:ascii="Aptos Narrow" w:eastAsia="Times New Roman" w:hAnsi="Aptos Narrow" w:cs="Times New Roman"/>
                <w:b/>
                <w:bCs/>
                <w:i/>
                <w:iCs/>
                <w:color w:val="auto"/>
                <w:sz w:val="16"/>
                <w:szCs w:val="16"/>
              </w:rPr>
            </w:pPr>
          </w:p>
        </w:tc>
        <w:tc>
          <w:tcPr>
            <w:tcW w:w="1460" w:type="dxa"/>
            <w:vMerge/>
            <w:tcBorders>
              <w:top w:val="nil"/>
              <w:left w:val="single" w:sz="4" w:space="0" w:color="auto"/>
              <w:bottom w:val="single" w:sz="4" w:space="0" w:color="auto"/>
              <w:right w:val="single" w:sz="4" w:space="0" w:color="auto"/>
            </w:tcBorders>
            <w:vAlign w:val="center"/>
            <w:hideMark/>
          </w:tcPr>
          <w:p w14:paraId="5DE70AC7"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1036" w:type="dxa"/>
            <w:vMerge/>
            <w:tcBorders>
              <w:top w:val="nil"/>
              <w:left w:val="single" w:sz="4" w:space="0" w:color="auto"/>
              <w:bottom w:val="nil"/>
              <w:right w:val="single" w:sz="4" w:space="0" w:color="auto"/>
            </w:tcBorders>
            <w:vAlign w:val="center"/>
            <w:hideMark/>
          </w:tcPr>
          <w:p w14:paraId="03955687"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834" w:type="dxa"/>
            <w:vMerge/>
            <w:tcBorders>
              <w:top w:val="nil"/>
              <w:left w:val="single" w:sz="4" w:space="0" w:color="auto"/>
              <w:bottom w:val="nil"/>
              <w:right w:val="single" w:sz="4" w:space="0" w:color="auto"/>
            </w:tcBorders>
            <w:vAlign w:val="center"/>
            <w:hideMark/>
          </w:tcPr>
          <w:p w14:paraId="1325318B"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834" w:type="dxa"/>
            <w:vMerge/>
            <w:tcBorders>
              <w:top w:val="nil"/>
              <w:left w:val="single" w:sz="4" w:space="0" w:color="auto"/>
              <w:bottom w:val="nil"/>
              <w:right w:val="nil"/>
            </w:tcBorders>
            <w:vAlign w:val="center"/>
            <w:hideMark/>
          </w:tcPr>
          <w:p w14:paraId="14EA5354"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966" w:type="dxa"/>
            <w:vMerge/>
            <w:tcBorders>
              <w:top w:val="single" w:sz="8" w:space="0" w:color="auto"/>
              <w:left w:val="single" w:sz="8" w:space="0" w:color="auto"/>
              <w:bottom w:val="nil"/>
              <w:right w:val="single" w:sz="8" w:space="0" w:color="auto"/>
            </w:tcBorders>
            <w:vAlign w:val="center"/>
            <w:hideMark/>
          </w:tcPr>
          <w:p w14:paraId="7C8B68F8"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990" w:type="dxa"/>
            <w:tcBorders>
              <w:top w:val="nil"/>
              <w:left w:val="single" w:sz="8" w:space="0" w:color="auto"/>
              <w:bottom w:val="nil"/>
              <w:right w:val="single" w:sz="4" w:space="0" w:color="auto"/>
            </w:tcBorders>
            <w:shd w:val="clear" w:color="000000" w:fill="DAE9F8"/>
            <w:vAlign w:val="center"/>
            <w:hideMark/>
          </w:tcPr>
          <w:p w14:paraId="0B46FFC9" w14:textId="77777777" w:rsidR="003A4C20" w:rsidRPr="003A4C20" w:rsidRDefault="003A4C20" w:rsidP="003A4C20">
            <w:pPr>
              <w:spacing w:after="0" w:line="240" w:lineRule="auto"/>
              <w:jc w:val="center"/>
              <w:rPr>
                <w:rFonts w:ascii="Aptos Narrow" w:eastAsia="Times New Roman" w:hAnsi="Aptos Narrow" w:cs="Times New Roman"/>
                <w:i/>
                <w:iCs/>
                <w:color w:val="auto"/>
                <w:sz w:val="16"/>
                <w:szCs w:val="16"/>
              </w:rPr>
            </w:pPr>
            <w:r w:rsidRPr="003A4C20">
              <w:rPr>
                <w:rFonts w:ascii="Aptos Narrow" w:eastAsia="Times New Roman" w:hAnsi="Aptos Narrow" w:cs="Times New Roman"/>
                <w:i/>
                <w:iCs/>
                <w:color w:val="auto"/>
                <w:sz w:val="16"/>
                <w:szCs w:val="16"/>
              </w:rPr>
              <w:t>73100</w:t>
            </w:r>
          </w:p>
        </w:tc>
        <w:tc>
          <w:tcPr>
            <w:tcW w:w="1620" w:type="dxa"/>
            <w:tcBorders>
              <w:top w:val="nil"/>
              <w:left w:val="nil"/>
              <w:bottom w:val="nil"/>
              <w:right w:val="single" w:sz="8" w:space="0" w:color="auto"/>
            </w:tcBorders>
            <w:shd w:val="clear" w:color="000000" w:fill="DAE9F8"/>
            <w:vAlign w:val="center"/>
            <w:hideMark/>
          </w:tcPr>
          <w:p w14:paraId="3DCF8814"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r w:rsidRPr="003A4C20">
              <w:rPr>
                <w:rFonts w:ascii="Aptos Narrow" w:eastAsia="Times New Roman" w:hAnsi="Aptos Narrow" w:cs="Times New Roman"/>
                <w:i/>
                <w:iCs/>
                <w:color w:val="auto"/>
                <w:sz w:val="16"/>
                <w:szCs w:val="16"/>
              </w:rPr>
              <w:t>Rental and maintenance costs</w:t>
            </w:r>
          </w:p>
        </w:tc>
        <w:tc>
          <w:tcPr>
            <w:tcW w:w="990" w:type="dxa"/>
            <w:tcBorders>
              <w:top w:val="nil"/>
              <w:left w:val="nil"/>
              <w:bottom w:val="nil"/>
              <w:right w:val="single" w:sz="8" w:space="0" w:color="auto"/>
            </w:tcBorders>
            <w:shd w:val="clear" w:color="000000" w:fill="DAE9F8"/>
            <w:noWrap/>
            <w:vAlign w:val="bottom"/>
            <w:hideMark/>
          </w:tcPr>
          <w:p w14:paraId="5DA43ABC"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1,250</w:t>
            </w:r>
          </w:p>
        </w:tc>
        <w:tc>
          <w:tcPr>
            <w:tcW w:w="990" w:type="dxa"/>
            <w:tcBorders>
              <w:top w:val="nil"/>
              <w:left w:val="nil"/>
              <w:bottom w:val="nil"/>
              <w:right w:val="single" w:sz="8" w:space="0" w:color="auto"/>
            </w:tcBorders>
            <w:shd w:val="clear" w:color="000000" w:fill="DAE9F8"/>
            <w:noWrap/>
            <w:vAlign w:val="bottom"/>
            <w:hideMark/>
          </w:tcPr>
          <w:p w14:paraId="006E257A"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1,250</w:t>
            </w:r>
          </w:p>
        </w:tc>
        <w:tc>
          <w:tcPr>
            <w:tcW w:w="900" w:type="dxa"/>
            <w:tcBorders>
              <w:top w:val="nil"/>
              <w:left w:val="nil"/>
              <w:bottom w:val="nil"/>
              <w:right w:val="single" w:sz="8" w:space="0" w:color="auto"/>
            </w:tcBorders>
            <w:shd w:val="clear" w:color="000000" w:fill="DAE9F8"/>
            <w:noWrap/>
            <w:vAlign w:val="bottom"/>
            <w:hideMark/>
          </w:tcPr>
          <w:p w14:paraId="1CA0715F"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1,250</w:t>
            </w:r>
          </w:p>
        </w:tc>
        <w:tc>
          <w:tcPr>
            <w:tcW w:w="900" w:type="dxa"/>
            <w:tcBorders>
              <w:top w:val="nil"/>
              <w:left w:val="nil"/>
              <w:bottom w:val="nil"/>
              <w:right w:val="single" w:sz="8" w:space="0" w:color="auto"/>
            </w:tcBorders>
            <w:shd w:val="clear" w:color="000000" w:fill="DAE9F8"/>
            <w:noWrap/>
            <w:vAlign w:val="bottom"/>
            <w:hideMark/>
          </w:tcPr>
          <w:p w14:paraId="5229F7E5"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1,250</w:t>
            </w:r>
          </w:p>
        </w:tc>
        <w:tc>
          <w:tcPr>
            <w:tcW w:w="990" w:type="dxa"/>
            <w:tcBorders>
              <w:top w:val="single" w:sz="8" w:space="0" w:color="auto"/>
              <w:left w:val="nil"/>
              <w:bottom w:val="single" w:sz="4" w:space="0" w:color="auto"/>
              <w:right w:val="single" w:sz="8" w:space="0" w:color="auto"/>
            </w:tcBorders>
            <w:shd w:val="clear" w:color="000000" w:fill="DAE9F8"/>
            <w:noWrap/>
            <w:vAlign w:val="bottom"/>
            <w:hideMark/>
          </w:tcPr>
          <w:p w14:paraId="2F17DBE1"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5,000</w:t>
            </w:r>
          </w:p>
        </w:tc>
        <w:tc>
          <w:tcPr>
            <w:tcW w:w="720" w:type="dxa"/>
            <w:tcBorders>
              <w:top w:val="nil"/>
              <w:left w:val="nil"/>
              <w:bottom w:val="nil"/>
              <w:right w:val="single" w:sz="8" w:space="0" w:color="auto"/>
            </w:tcBorders>
            <w:shd w:val="clear" w:color="000000" w:fill="DAE9F8"/>
            <w:noWrap/>
            <w:vAlign w:val="center"/>
            <w:hideMark/>
          </w:tcPr>
          <w:p w14:paraId="415B1411" w14:textId="77777777" w:rsidR="003A4C20" w:rsidRPr="003A4C20" w:rsidRDefault="003A4C20" w:rsidP="003A4C20">
            <w:pPr>
              <w:spacing w:after="0" w:line="240" w:lineRule="auto"/>
              <w:jc w:val="center"/>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3</w:t>
            </w:r>
          </w:p>
        </w:tc>
      </w:tr>
      <w:tr w:rsidR="00773071" w:rsidRPr="003A4C20" w14:paraId="113BBEF7" w14:textId="77777777" w:rsidTr="00773071">
        <w:trPr>
          <w:trHeight w:val="640"/>
        </w:trPr>
        <w:tc>
          <w:tcPr>
            <w:tcW w:w="1250" w:type="dxa"/>
            <w:vMerge/>
            <w:tcBorders>
              <w:top w:val="nil"/>
              <w:left w:val="single" w:sz="8" w:space="0" w:color="auto"/>
              <w:bottom w:val="single" w:sz="4" w:space="0" w:color="auto"/>
              <w:right w:val="single" w:sz="4" w:space="0" w:color="auto"/>
            </w:tcBorders>
            <w:vAlign w:val="center"/>
            <w:hideMark/>
          </w:tcPr>
          <w:p w14:paraId="2FEB5156" w14:textId="77777777" w:rsidR="003A4C20" w:rsidRPr="003A4C20" w:rsidRDefault="003A4C20" w:rsidP="003A4C20">
            <w:pPr>
              <w:spacing w:after="0" w:line="240" w:lineRule="auto"/>
              <w:rPr>
                <w:rFonts w:ascii="Aptos Narrow" w:eastAsia="Times New Roman" w:hAnsi="Aptos Narrow" w:cs="Times New Roman"/>
                <w:b/>
                <w:bCs/>
                <w:i/>
                <w:iCs/>
                <w:color w:val="auto"/>
                <w:sz w:val="16"/>
                <w:szCs w:val="16"/>
              </w:rPr>
            </w:pPr>
          </w:p>
        </w:tc>
        <w:tc>
          <w:tcPr>
            <w:tcW w:w="1460" w:type="dxa"/>
            <w:vMerge/>
            <w:tcBorders>
              <w:top w:val="nil"/>
              <w:left w:val="single" w:sz="4" w:space="0" w:color="auto"/>
              <w:bottom w:val="single" w:sz="4" w:space="0" w:color="auto"/>
              <w:right w:val="single" w:sz="4" w:space="0" w:color="auto"/>
            </w:tcBorders>
            <w:vAlign w:val="center"/>
            <w:hideMark/>
          </w:tcPr>
          <w:p w14:paraId="719C2CA0"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1036" w:type="dxa"/>
            <w:vMerge/>
            <w:tcBorders>
              <w:top w:val="nil"/>
              <w:left w:val="single" w:sz="4" w:space="0" w:color="auto"/>
              <w:bottom w:val="nil"/>
              <w:right w:val="single" w:sz="4" w:space="0" w:color="auto"/>
            </w:tcBorders>
            <w:vAlign w:val="center"/>
            <w:hideMark/>
          </w:tcPr>
          <w:p w14:paraId="0F68F4E8"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834" w:type="dxa"/>
            <w:vMerge/>
            <w:tcBorders>
              <w:top w:val="nil"/>
              <w:left w:val="single" w:sz="4" w:space="0" w:color="auto"/>
              <w:bottom w:val="nil"/>
              <w:right w:val="single" w:sz="4" w:space="0" w:color="auto"/>
            </w:tcBorders>
            <w:vAlign w:val="center"/>
            <w:hideMark/>
          </w:tcPr>
          <w:p w14:paraId="488828A5"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834" w:type="dxa"/>
            <w:vMerge/>
            <w:tcBorders>
              <w:top w:val="nil"/>
              <w:left w:val="single" w:sz="4" w:space="0" w:color="auto"/>
              <w:bottom w:val="nil"/>
              <w:right w:val="nil"/>
            </w:tcBorders>
            <w:vAlign w:val="center"/>
            <w:hideMark/>
          </w:tcPr>
          <w:p w14:paraId="2A8C1CE8"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966" w:type="dxa"/>
            <w:vMerge/>
            <w:tcBorders>
              <w:top w:val="single" w:sz="8" w:space="0" w:color="auto"/>
              <w:left w:val="single" w:sz="8" w:space="0" w:color="auto"/>
              <w:bottom w:val="nil"/>
              <w:right w:val="single" w:sz="8" w:space="0" w:color="auto"/>
            </w:tcBorders>
            <w:vAlign w:val="center"/>
            <w:hideMark/>
          </w:tcPr>
          <w:p w14:paraId="5C3DB763"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990" w:type="dxa"/>
            <w:tcBorders>
              <w:top w:val="single" w:sz="4" w:space="0" w:color="auto"/>
              <w:left w:val="single" w:sz="8" w:space="0" w:color="auto"/>
              <w:bottom w:val="nil"/>
              <w:right w:val="single" w:sz="4" w:space="0" w:color="auto"/>
            </w:tcBorders>
            <w:shd w:val="clear" w:color="000000" w:fill="DAE9F8"/>
            <w:vAlign w:val="center"/>
            <w:hideMark/>
          </w:tcPr>
          <w:p w14:paraId="46B13944" w14:textId="77777777" w:rsidR="003A4C20" w:rsidRPr="003A4C20" w:rsidRDefault="003A4C20" w:rsidP="003A4C20">
            <w:pPr>
              <w:spacing w:after="0" w:line="240" w:lineRule="auto"/>
              <w:jc w:val="center"/>
              <w:rPr>
                <w:rFonts w:ascii="Aptos Narrow" w:eastAsia="Times New Roman" w:hAnsi="Aptos Narrow" w:cs="Times New Roman"/>
                <w:i/>
                <w:iCs/>
                <w:color w:val="auto"/>
                <w:sz w:val="16"/>
                <w:szCs w:val="16"/>
              </w:rPr>
            </w:pPr>
            <w:r w:rsidRPr="003A4C20">
              <w:rPr>
                <w:rFonts w:ascii="Aptos Narrow" w:eastAsia="Times New Roman" w:hAnsi="Aptos Narrow" w:cs="Times New Roman"/>
                <w:i/>
                <w:iCs/>
                <w:color w:val="auto"/>
                <w:sz w:val="16"/>
                <w:szCs w:val="16"/>
              </w:rPr>
              <w:t>72100</w:t>
            </w:r>
          </w:p>
        </w:tc>
        <w:tc>
          <w:tcPr>
            <w:tcW w:w="1620" w:type="dxa"/>
            <w:tcBorders>
              <w:top w:val="single" w:sz="4" w:space="0" w:color="auto"/>
              <w:left w:val="nil"/>
              <w:bottom w:val="nil"/>
              <w:right w:val="single" w:sz="8" w:space="0" w:color="auto"/>
            </w:tcBorders>
            <w:shd w:val="clear" w:color="000000" w:fill="DAE9F8"/>
            <w:vAlign w:val="center"/>
            <w:hideMark/>
          </w:tcPr>
          <w:p w14:paraId="17EEB98D"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r w:rsidRPr="003A4C20">
              <w:rPr>
                <w:rFonts w:ascii="Aptos Narrow" w:eastAsia="Times New Roman" w:hAnsi="Aptos Narrow" w:cs="Times New Roman"/>
                <w:i/>
                <w:iCs/>
                <w:color w:val="auto"/>
                <w:sz w:val="16"/>
                <w:szCs w:val="16"/>
              </w:rPr>
              <w:t xml:space="preserve">Contractual Services-Companies </w:t>
            </w:r>
          </w:p>
        </w:tc>
        <w:tc>
          <w:tcPr>
            <w:tcW w:w="990" w:type="dxa"/>
            <w:tcBorders>
              <w:top w:val="single" w:sz="4" w:space="0" w:color="auto"/>
              <w:left w:val="nil"/>
              <w:bottom w:val="single" w:sz="8" w:space="0" w:color="auto"/>
              <w:right w:val="single" w:sz="8" w:space="0" w:color="auto"/>
            </w:tcBorders>
            <w:shd w:val="clear" w:color="000000" w:fill="DAE9F8"/>
            <w:noWrap/>
            <w:vAlign w:val="bottom"/>
            <w:hideMark/>
          </w:tcPr>
          <w:p w14:paraId="3C511384"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0</w:t>
            </w:r>
          </w:p>
        </w:tc>
        <w:tc>
          <w:tcPr>
            <w:tcW w:w="990" w:type="dxa"/>
            <w:tcBorders>
              <w:top w:val="single" w:sz="4" w:space="0" w:color="auto"/>
              <w:left w:val="nil"/>
              <w:bottom w:val="single" w:sz="8" w:space="0" w:color="auto"/>
              <w:right w:val="single" w:sz="8" w:space="0" w:color="auto"/>
            </w:tcBorders>
            <w:shd w:val="clear" w:color="000000" w:fill="DAE9F8"/>
            <w:noWrap/>
            <w:vAlign w:val="bottom"/>
            <w:hideMark/>
          </w:tcPr>
          <w:p w14:paraId="0D6678C3"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0</w:t>
            </w:r>
          </w:p>
        </w:tc>
        <w:tc>
          <w:tcPr>
            <w:tcW w:w="900" w:type="dxa"/>
            <w:tcBorders>
              <w:top w:val="single" w:sz="4" w:space="0" w:color="auto"/>
              <w:left w:val="nil"/>
              <w:bottom w:val="single" w:sz="8" w:space="0" w:color="auto"/>
              <w:right w:val="single" w:sz="8" w:space="0" w:color="auto"/>
            </w:tcBorders>
            <w:shd w:val="clear" w:color="000000" w:fill="DAE9F8"/>
            <w:noWrap/>
            <w:vAlign w:val="bottom"/>
            <w:hideMark/>
          </w:tcPr>
          <w:p w14:paraId="2F338118"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45,000</w:t>
            </w:r>
          </w:p>
        </w:tc>
        <w:tc>
          <w:tcPr>
            <w:tcW w:w="900" w:type="dxa"/>
            <w:tcBorders>
              <w:top w:val="single" w:sz="4" w:space="0" w:color="auto"/>
              <w:left w:val="nil"/>
              <w:bottom w:val="single" w:sz="8" w:space="0" w:color="auto"/>
              <w:right w:val="single" w:sz="8" w:space="0" w:color="auto"/>
            </w:tcBorders>
            <w:shd w:val="clear" w:color="000000" w:fill="DAE9F8"/>
            <w:noWrap/>
            <w:vAlign w:val="bottom"/>
            <w:hideMark/>
          </w:tcPr>
          <w:p w14:paraId="65EC4EA8"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0</w:t>
            </w:r>
          </w:p>
        </w:tc>
        <w:tc>
          <w:tcPr>
            <w:tcW w:w="990" w:type="dxa"/>
            <w:tcBorders>
              <w:top w:val="single" w:sz="8" w:space="0" w:color="auto"/>
              <w:left w:val="nil"/>
              <w:bottom w:val="single" w:sz="4" w:space="0" w:color="auto"/>
              <w:right w:val="single" w:sz="8" w:space="0" w:color="auto"/>
            </w:tcBorders>
            <w:shd w:val="clear" w:color="000000" w:fill="DAE9F8"/>
            <w:noWrap/>
            <w:vAlign w:val="bottom"/>
            <w:hideMark/>
          </w:tcPr>
          <w:p w14:paraId="3592742D"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45,000</w:t>
            </w:r>
          </w:p>
        </w:tc>
        <w:tc>
          <w:tcPr>
            <w:tcW w:w="720" w:type="dxa"/>
            <w:tcBorders>
              <w:top w:val="single" w:sz="4" w:space="0" w:color="auto"/>
              <w:left w:val="nil"/>
              <w:bottom w:val="single" w:sz="8" w:space="0" w:color="auto"/>
              <w:right w:val="single" w:sz="8" w:space="0" w:color="auto"/>
            </w:tcBorders>
            <w:shd w:val="clear" w:color="000000" w:fill="DAE9F8"/>
            <w:noWrap/>
            <w:vAlign w:val="center"/>
            <w:hideMark/>
          </w:tcPr>
          <w:p w14:paraId="4E7FA076" w14:textId="77777777" w:rsidR="003A4C20" w:rsidRPr="003A4C20" w:rsidRDefault="003A4C20" w:rsidP="003A4C20">
            <w:pPr>
              <w:spacing w:after="0" w:line="240" w:lineRule="auto"/>
              <w:jc w:val="center"/>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15</w:t>
            </w:r>
          </w:p>
        </w:tc>
      </w:tr>
      <w:tr w:rsidR="006E140E" w:rsidRPr="003A4C20" w14:paraId="709C3036" w14:textId="77777777" w:rsidTr="00773071">
        <w:trPr>
          <w:trHeight w:val="300"/>
        </w:trPr>
        <w:tc>
          <w:tcPr>
            <w:tcW w:w="8990" w:type="dxa"/>
            <w:gridSpan w:val="8"/>
            <w:tcBorders>
              <w:top w:val="single" w:sz="8" w:space="0" w:color="auto"/>
              <w:left w:val="single" w:sz="8" w:space="0" w:color="auto"/>
              <w:bottom w:val="single" w:sz="8" w:space="0" w:color="auto"/>
              <w:right w:val="single" w:sz="8" w:space="0" w:color="000000"/>
            </w:tcBorders>
            <w:shd w:val="clear" w:color="000000" w:fill="808080"/>
            <w:vAlign w:val="center"/>
            <w:hideMark/>
          </w:tcPr>
          <w:p w14:paraId="3C19B304" w14:textId="77777777" w:rsidR="003A4C20" w:rsidRPr="003A4C20" w:rsidRDefault="003A4C20" w:rsidP="003A4C20">
            <w:pPr>
              <w:spacing w:after="0" w:line="240" w:lineRule="auto"/>
              <w:rPr>
                <w:rFonts w:ascii="Aptos Narrow" w:eastAsia="Times New Roman" w:hAnsi="Aptos Narrow" w:cs="Times New Roman"/>
                <w:b/>
                <w:bCs/>
                <w:i/>
                <w:iCs/>
                <w:color w:val="FFFFFF"/>
                <w:sz w:val="16"/>
                <w:szCs w:val="16"/>
              </w:rPr>
            </w:pPr>
            <w:r w:rsidRPr="003A4C20">
              <w:rPr>
                <w:rFonts w:ascii="Aptos Narrow" w:eastAsia="Times New Roman" w:hAnsi="Aptos Narrow" w:cs="Times New Roman"/>
                <w:b/>
                <w:bCs/>
                <w:i/>
                <w:iCs/>
                <w:color w:val="FFFFFF"/>
                <w:sz w:val="16"/>
                <w:szCs w:val="16"/>
              </w:rPr>
              <w:t>Total Component 2</w:t>
            </w:r>
          </w:p>
        </w:tc>
        <w:tc>
          <w:tcPr>
            <w:tcW w:w="990" w:type="dxa"/>
            <w:tcBorders>
              <w:top w:val="single" w:sz="4" w:space="0" w:color="auto"/>
              <w:left w:val="nil"/>
              <w:bottom w:val="single" w:sz="8" w:space="0" w:color="auto"/>
              <w:right w:val="single" w:sz="8" w:space="0" w:color="auto"/>
            </w:tcBorders>
            <w:shd w:val="clear" w:color="000000" w:fill="808080"/>
            <w:noWrap/>
            <w:vAlign w:val="bottom"/>
            <w:hideMark/>
          </w:tcPr>
          <w:p w14:paraId="40F57D84" w14:textId="77777777" w:rsidR="003A4C20" w:rsidRPr="003A4C20" w:rsidRDefault="003A4C20" w:rsidP="003A4C20">
            <w:pPr>
              <w:spacing w:after="0" w:line="240" w:lineRule="auto"/>
              <w:jc w:val="right"/>
              <w:rPr>
                <w:rFonts w:ascii="Aptos Narrow" w:eastAsia="Times New Roman" w:hAnsi="Aptos Narrow" w:cs="Times New Roman"/>
                <w:b/>
                <w:bCs/>
                <w:color w:val="FFFFFF"/>
                <w:sz w:val="16"/>
                <w:szCs w:val="16"/>
              </w:rPr>
            </w:pPr>
            <w:r w:rsidRPr="003A4C20">
              <w:rPr>
                <w:rFonts w:ascii="Aptos Narrow" w:eastAsia="Times New Roman" w:hAnsi="Aptos Narrow" w:cs="Times New Roman"/>
                <w:b/>
                <w:bCs/>
                <w:color w:val="FFFFFF"/>
                <w:sz w:val="16"/>
                <w:szCs w:val="16"/>
              </w:rPr>
              <w:t>103,862</w:t>
            </w:r>
          </w:p>
        </w:tc>
        <w:tc>
          <w:tcPr>
            <w:tcW w:w="990" w:type="dxa"/>
            <w:tcBorders>
              <w:top w:val="single" w:sz="4" w:space="0" w:color="auto"/>
              <w:left w:val="nil"/>
              <w:bottom w:val="single" w:sz="8" w:space="0" w:color="auto"/>
              <w:right w:val="single" w:sz="8" w:space="0" w:color="auto"/>
            </w:tcBorders>
            <w:shd w:val="clear" w:color="000000" w:fill="808080"/>
            <w:noWrap/>
            <w:vAlign w:val="bottom"/>
            <w:hideMark/>
          </w:tcPr>
          <w:p w14:paraId="24DCFB5C" w14:textId="77777777" w:rsidR="003A4C20" w:rsidRPr="003A4C20" w:rsidRDefault="003A4C20" w:rsidP="003A4C20">
            <w:pPr>
              <w:spacing w:after="0" w:line="240" w:lineRule="auto"/>
              <w:jc w:val="right"/>
              <w:rPr>
                <w:rFonts w:ascii="Aptos Narrow" w:eastAsia="Times New Roman" w:hAnsi="Aptos Narrow" w:cs="Times New Roman"/>
                <w:b/>
                <w:bCs/>
                <w:color w:val="FFFFFF"/>
                <w:sz w:val="16"/>
                <w:szCs w:val="16"/>
              </w:rPr>
            </w:pPr>
            <w:r w:rsidRPr="003A4C20">
              <w:rPr>
                <w:rFonts w:ascii="Aptos Narrow" w:eastAsia="Times New Roman" w:hAnsi="Aptos Narrow" w:cs="Times New Roman"/>
                <w:b/>
                <w:bCs/>
                <w:color w:val="FFFFFF"/>
                <w:sz w:val="16"/>
                <w:szCs w:val="16"/>
              </w:rPr>
              <w:t>342,362</w:t>
            </w:r>
          </w:p>
        </w:tc>
        <w:tc>
          <w:tcPr>
            <w:tcW w:w="900" w:type="dxa"/>
            <w:tcBorders>
              <w:top w:val="single" w:sz="4" w:space="0" w:color="auto"/>
              <w:left w:val="nil"/>
              <w:bottom w:val="single" w:sz="8" w:space="0" w:color="auto"/>
              <w:right w:val="single" w:sz="8" w:space="0" w:color="auto"/>
            </w:tcBorders>
            <w:shd w:val="clear" w:color="000000" w:fill="808080"/>
            <w:noWrap/>
            <w:vAlign w:val="bottom"/>
            <w:hideMark/>
          </w:tcPr>
          <w:p w14:paraId="4CA3BA0F" w14:textId="77777777" w:rsidR="003A4C20" w:rsidRPr="003A4C20" w:rsidRDefault="003A4C20" w:rsidP="003A4C20">
            <w:pPr>
              <w:spacing w:after="0" w:line="240" w:lineRule="auto"/>
              <w:jc w:val="right"/>
              <w:rPr>
                <w:rFonts w:ascii="Aptos Narrow" w:eastAsia="Times New Roman" w:hAnsi="Aptos Narrow" w:cs="Times New Roman"/>
                <w:b/>
                <w:bCs/>
                <w:color w:val="FFFFFF"/>
                <w:sz w:val="16"/>
                <w:szCs w:val="16"/>
              </w:rPr>
            </w:pPr>
            <w:r w:rsidRPr="003A4C20">
              <w:rPr>
                <w:rFonts w:ascii="Aptos Narrow" w:eastAsia="Times New Roman" w:hAnsi="Aptos Narrow" w:cs="Times New Roman"/>
                <w:b/>
                <w:bCs/>
                <w:color w:val="FFFFFF"/>
                <w:sz w:val="16"/>
                <w:szCs w:val="16"/>
              </w:rPr>
              <w:t>405,216</w:t>
            </w:r>
          </w:p>
        </w:tc>
        <w:tc>
          <w:tcPr>
            <w:tcW w:w="900" w:type="dxa"/>
            <w:tcBorders>
              <w:top w:val="single" w:sz="4" w:space="0" w:color="auto"/>
              <w:left w:val="nil"/>
              <w:bottom w:val="single" w:sz="8" w:space="0" w:color="auto"/>
              <w:right w:val="single" w:sz="8" w:space="0" w:color="auto"/>
            </w:tcBorders>
            <w:shd w:val="clear" w:color="000000" w:fill="808080"/>
            <w:noWrap/>
            <w:vAlign w:val="bottom"/>
            <w:hideMark/>
          </w:tcPr>
          <w:p w14:paraId="4025AFC9" w14:textId="77777777" w:rsidR="003A4C20" w:rsidRPr="003A4C20" w:rsidRDefault="003A4C20" w:rsidP="003A4C20">
            <w:pPr>
              <w:spacing w:after="0" w:line="240" w:lineRule="auto"/>
              <w:jc w:val="right"/>
              <w:rPr>
                <w:rFonts w:ascii="Aptos Narrow" w:eastAsia="Times New Roman" w:hAnsi="Aptos Narrow" w:cs="Times New Roman"/>
                <w:b/>
                <w:bCs/>
                <w:color w:val="FFFFFF"/>
                <w:sz w:val="16"/>
                <w:szCs w:val="16"/>
              </w:rPr>
            </w:pPr>
            <w:r w:rsidRPr="003A4C20">
              <w:rPr>
                <w:rFonts w:ascii="Aptos Narrow" w:eastAsia="Times New Roman" w:hAnsi="Aptos Narrow" w:cs="Times New Roman"/>
                <w:b/>
                <w:bCs/>
                <w:color w:val="FFFFFF"/>
                <w:sz w:val="16"/>
                <w:szCs w:val="16"/>
              </w:rPr>
              <w:t>130,216</w:t>
            </w:r>
          </w:p>
        </w:tc>
        <w:tc>
          <w:tcPr>
            <w:tcW w:w="990" w:type="dxa"/>
            <w:tcBorders>
              <w:top w:val="nil"/>
              <w:left w:val="nil"/>
              <w:bottom w:val="single" w:sz="8" w:space="0" w:color="auto"/>
              <w:right w:val="single" w:sz="8" w:space="0" w:color="auto"/>
            </w:tcBorders>
            <w:shd w:val="clear" w:color="000000" w:fill="808080"/>
            <w:noWrap/>
            <w:vAlign w:val="bottom"/>
            <w:hideMark/>
          </w:tcPr>
          <w:p w14:paraId="00D57FCD" w14:textId="77777777" w:rsidR="003A4C20" w:rsidRPr="003A4C20" w:rsidRDefault="003A4C20" w:rsidP="003A4C20">
            <w:pPr>
              <w:spacing w:after="0" w:line="240" w:lineRule="auto"/>
              <w:jc w:val="right"/>
              <w:rPr>
                <w:rFonts w:ascii="Aptos Narrow" w:eastAsia="Times New Roman" w:hAnsi="Aptos Narrow" w:cs="Times New Roman"/>
                <w:b/>
                <w:bCs/>
                <w:color w:val="FFFFFF"/>
                <w:sz w:val="16"/>
                <w:szCs w:val="16"/>
              </w:rPr>
            </w:pPr>
            <w:r w:rsidRPr="003A4C20">
              <w:rPr>
                <w:rFonts w:ascii="Aptos Narrow" w:eastAsia="Times New Roman" w:hAnsi="Aptos Narrow" w:cs="Times New Roman"/>
                <w:b/>
                <w:bCs/>
                <w:color w:val="FFFFFF"/>
                <w:sz w:val="16"/>
                <w:szCs w:val="16"/>
              </w:rPr>
              <w:t>981,656</w:t>
            </w:r>
          </w:p>
        </w:tc>
        <w:tc>
          <w:tcPr>
            <w:tcW w:w="720" w:type="dxa"/>
            <w:tcBorders>
              <w:top w:val="single" w:sz="4" w:space="0" w:color="auto"/>
              <w:left w:val="nil"/>
              <w:bottom w:val="single" w:sz="8" w:space="0" w:color="auto"/>
              <w:right w:val="single" w:sz="8" w:space="0" w:color="auto"/>
            </w:tcBorders>
            <w:shd w:val="clear" w:color="000000" w:fill="808080"/>
            <w:noWrap/>
            <w:vAlign w:val="center"/>
            <w:hideMark/>
          </w:tcPr>
          <w:p w14:paraId="19947D6B" w14:textId="77777777" w:rsidR="003A4C20" w:rsidRPr="003A4C20" w:rsidRDefault="003A4C20" w:rsidP="003A4C20">
            <w:pPr>
              <w:spacing w:after="0" w:line="240" w:lineRule="auto"/>
              <w:jc w:val="center"/>
              <w:rPr>
                <w:rFonts w:ascii="Aptos Narrow" w:eastAsia="Times New Roman" w:hAnsi="Aptos Narrow" w:cs="Times New Roman"/>
                <w:color w:val="FFFFFF"/>
                <w:sz w:val="16"/>
                <w:szCs w:val="16"/>
              </w:rPr>
            </w:pPr>
            <w:r w:rsidRPr="003A4C20">
              <w:rPr>
                <w:rFonts w:ascii="Aptos Narrow" w:eastAsia="Times New Roman" w:hAnsi="Aptos Narrow" w:cs="Times New Roman"/>
                <w:color w:val="FFFFFF"/>
                <w:sz w:val="16"/>
                <w:szCs w:val="16"/>
              </w:rPr>
              <w:t> </w:t>
            </w:r>
          </w:p>
        </w:tc>
      </w:tr>
      <w:tr w:rsidR="00773071" w:rsidRPr="003A4C20" w14:paraId="2D576EBA" w14:textId="77777777" w:rsidTr="00773071">
        <w:trPr>
          <w:trHeight w:val="640"/>
        </w:trPr>
        <w:tc>
          <w:tcPr>
            <w:tcW w:w="1250" w:type="dxa"/>
            <w:vMerge w:val="restart"/>
            <w:tcBorders>
              <w:top w:val="nil"/>
              <w:left w:val="single" w:sz="8" w:space="0" w:color="auto"/>
              <w:bottom w:val="single" w:sz="4" w:space="0" w:color="auto"/>
              <w:right w:val="single" w:sz="4" w:space="0" w:color="auto"/>
            </w:tcBorders>
            <w:vAlign w:val="center"/>
            <w:hideMark/>
          </w:tcPr>
          <w:p w14:paraId="32F271C1" w14:textId="77777777" w:rsidR="003A4C20" w:rsidRPr="003A4C20" w:rsidRDefault="003A4C20" w:rsidP="003A4C20">
            <w:pPr>
              <w:spacing w:after="0" w:line="240" w:lineRule="auto"/>
              <w:jc w:val="center"/>
              <w:rPr>
                <w:rFonts w:ascii="Aptos Narrow" w:eastAsia="Times New Roman" w:hAnsi="Aptos Narrow" w:cs="Times New Roman"/>
                <w:b/>
                <w:bCs/>
                <w:i/>
                <w:iCs/>
                <w:color w:val="auto"/>
                <w:sz w:val="16"/>
                <w:szCs w:val="16"/>
              </w:rPr>
            </w:pPr>
            <w:r w:rsidRPr="003A4C20">
              <w:rPr>
                <w:rFonts w:ascii="Aptos Narrow" w:eastAsia="Times New Roman" w:hAnsi="Aptos Narrow" w:cs="Times New Roman"/>
                <w:b/>
                <w:bCs/>
                <w:i/>
                <w:iCs/>
                <w:color w:val="auto"/>
                <w:sz w:val="16"/>
                <w:szCs w:val="16"/>
              </w:rPr>
              <w:t xml:space="preserve">Component </w:t>
            </w:r>
            <w:proofErr w:type="gramStart"/>
            <w:r w:rsidRPr="003A4C20">
              <w:rPr>
                <w:rFonts w:ascii="Aptos Narrow" w:eastAsia="Times New Roman" w:hAnsi="Aptos Narrow" w:cs="Times New Roman"/>
                <w:b/>
                <w:bCs/>
                <w:i/>
                <w:iCs/>
                <w:color w:val="auto"/>
                <w:sz w:val="16"/>
                <w:szCs w:val="16"/>
              </w:rPr>
              <w:t>3.Knowledge</w:t>
            </w:r>
            <w:proofErr w:type="gramEnd"/>
            <w:r w:rsidRPr="003A4C20">
              <w:rPr>
                <w:rFonts w:ascii="Aptos Narrow" w:eastAsia="Times New Roman" w:hAnsi="Aptos Narrow" w:cs="Times New Roman"/>
                <w:b/>
                <w:bCs/>
                <w:i/>
                <w:iCs/>
                <w:color w:val="auto"/>
                <w:sz w:val="16"/>
                <w:szCs w:val="16"/>
              </w:rPr>
              <w:t xml:space="preserve"> Management and Regional Collaboration</w:t>
            </w:r>
          </w:p>
        </w:tc>
        <w:tc>
          <w:tcPr>
            <w:tcW w:w="1460" w:type="dxa"/>
            <w:vMerge w:val="restart"/>
            <w:tcBorders>
              <w:top w:val="nil"/>
              <w:left w:val="single" w:sz="4" w:space="0" w:color="auto"/>
              <w:bottom w:val="single" w:sz="4" w:space="0" w:color="auto"/>
              <w:right w:val="single" w:sz="4" w:space="0" w:color="auto"/>
            </w:tcBorders>
            <w:vAlign w:val="center"/>
            <w:hideMark/>
          </w:tcPr>
          <w:p w14:paraId="1A02CB2A" w14:textId="77777777" w:rsidR="003A4C20" w:rsidRPr="003A4C20" w:rsidRDefault="003A4C20" w:rsidP="003A4C20">
            <w:pPr>
              <w:spacing w:after="0" w:line="240" w:lineRule="auto"/>
              <w:jc w:val="center"/>
              <w:rPr>
                <w:rFonts w:ascii="Aptos Narrow" w:eastAsia="Times New Roman" w:hAnsi="Aptos Narrow" w:cs="Times New Roman"/>
                <w:i/>
                <w:iCs/>
                <w:color w:val="auto"/>
                <w:sz w:val="16"/>
                <w:szCs w:val="16"/>
              </w:rPr>
            </w:pPr>
            <w:r w:rsidRPr="003A4C20">
              <w:rPr>
                <w:rFonts w:ascii="Aptos Narrow" w:eastAsia="Times New Roman" w:hAnsi="Aptos Narrow" w:cs="Times New Roman"/>
                <w:i/>
                <w:iCs/>
                <w:color w:val="auto"/>
                <w:sz w:val="16"/>
                <w:szCs w:val="16"/>
              </w:rPr>
              <w:t>Outcome 3: Knowledge, evidence, and lessons from adaptation innovations are captured, shared, and leveraged to inform replication, scale and policy engagement across the Western Balkans through regional learning platform and global networks</w:t>
            </w:r>
          </w:p>
        </w:tc>
        <w:tc>
          <w:tcPr>
            <w:tcW w:w="1036" w:type="dxa"/>
            <w:vMerge w:val="restart"/>
            <w:tcBorders>
              <w:top w:val="nil"/>
              <w:left w:val="single" w:sz="4" w:space="0" w:color="auto"/>
              <w:bottom w:val="single" w:sz="4" w:space="0" w:color="auto"/>
              <w:right w:val="single" w:sz="4" w:space="0" w:color="auto"/>
            </w:tcBorders>
            <w:vAlign w:val="center"/>
            <w:hideMark/>
          </w:tcPr>
          <w:p w14:paraId="7838B9C2" w14:textId="77777777" w:rsidR="003A4C20" w:rsidRPr="003A4C20" w:rsidRDefault="003A4C20" w:rsidP="003A4C20">
            <w:pPr>
              <w:spacing w:after="0" w:line="240" w:lineRule="auto"/>
              <w:jc w:val="center"/>
              <w:rPr>
                <w:rFonts w:ascii="Aptos Narrow" w:eastAsia="Times New Roman" w:hAnsi="Aptos Narrow" w:cs="Times New Roman"/>
                <w:i/>
                <w:iCs/>
                <w:color w:val="auto"/>
                <w:sz w:val="16"/>
                <w:szCs w:val="16"/>
              </w:rPr>
            </w:pPr>
            <w:r w:rsidRPr="003A4C20">
              <w:rPr>
                <w:rFonts w:ascii="Aptos Narrow" w:eastAsia="Times New Roman" w:hAnsi="Aptos Narrow" w:cs="Times New Roman"/>
                <w:i/>
                <w:iCs/>
                <w:color w:val="auto"/>
                <w:sz w:val="16"/>
                <w:szCs w:val="16"/>
              </w:rPr>
              <w:t>UNDP</w:t>
            </w:r>
          </w:p>
        </w:tc>
        <w:tc>
          <w:tcPr>
            <w:tcW w:w="834" w:type="dxa"/>
            <w:vMerge w:val="restart"/>
            <w:tcBorders>
              <w:top w:val="nil"/>
              <w:left w:val="single" w:sz="4" w:space="0" w:color="auto"/>
              <w:bottom w:val="single" w:sz="4" w:space="0" w:color="auto"/>
              <w:right w:val="single" w:sz="4" w:space="0" w:color="auto"/>
            </w:tcBorders>
            <w:vAlign w:val="center"/>
            <w:hideMark/>
          </w:tcPr>
          <w:p w14:paraId="333B4DD3" w14:textId="77777777" w:rsidR="003A4C20" w:rsidRPr="003A4C20" w:rsidRDefault="003A4C20" w:rsidP="003A4C20">
            <w:pPr>
              <w:spacing w:after="0" w:line="240" w:lineRule="auto"/>
              <w:jc w:val="center"/>
              <w:rPr>
                <w:rFonts w:ascii="Aptos Narrow" w:eastAsia="Times New Roman" w:hAnsi="Aptos Narrow" w:cs="Times New Roman"/>
                <w:i/>
                <w:iCs/>
                <w:color w:val="auto"/>
                <w:sz w:val="16"/>
                <w:szCs w:val="16"/>
              </w:rPr>
            </w:pPr>
            <w:r w:rsidRPr="003A4C20">
              <w:rPr>
                <w:rFonts w:ascii="Aptos Narrow" w:eastAsia="Times New Roman" w:hAnsi="Aptos Narrow" w:cs="Times New Roman"/>
                <w:i/>
                <w:iCs/>
                <w:color w:val="auto"/>
                <w:sz w:val="16"/>
                <w:szCs w:val="16"/>
              </w:rPr>
              <w:t>62000</w:t>
            </w:r>
          </w:p>
        </w:tc>
        <w:tc>
          <w:tcPr>
            <w:tcW w:w="834" w:type="dxa"/>
            <w:vMerge w:val="restart"/>
            <w:tcBorders>
              <w:top w:val="nil"/>
              <w:left w:val="single" w:sz="4" w:space="0" w:color="auto"/>
              <w:bottom w:val="single" w:sz="4" w:space="0" w:color="auto"/>
              <w:right w:val="nil"/>
            </w:tcBorders>
            <w:vAlign w:val="center"/>
            <w:hideMark/>
          </w:tcPr>
          <w:p w14:paraId="0525655B" w14:textId="77777777" w:rsidR="003A4C20" w:rsidRPr="003A4C20" w:rsidRDefault="003A4C20" w:rsidP="003A4C20">
            <w:pPr>
              <w:spacing w:after="0" w:line="240" w:lineRule="auto"/>
              <w:jc w:val="center"/>
              <w:rPr>
                <w:rFonts w:ascii="Aptos Narrow" w:eastAsia="Times New Roman" w:hAnsi="Aptos Narrow" w:cs="Times New Roman"/>
                <w:i/>
                <w:iCs/>
                <w:color w:val="auto"/>
                <w:sz w:val="16"/>
                <w:szCs w:val="16"/>
              </w:rPr>
            </w:pPr>
            <w:r w:rsidRPr="003A4C20">
              <w:rPr>
                <w:rFonts w:ascii="Aptos Narrow" w:eastAsia="Times New Roman" w:hAnsi="Aptos Narrow" w:cs="Times New Roman"/>
                <w:i/>
                <w:iCs/>
                <w:color w:val="auto"/>
                <w:sz w:val="16"/>
                <w:szCs w:val="16"/>
              </w:rPr>
              <w:t>011602</w:t>
            </w:r>
          </w:p>
        </w:tc>
        <w:tc>
          <w:tcPr>
            <w:tcW w:w="966"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06AE1566" w14:textId="77777777" w:rsidR="003A4C20" w:rsidRPr="003A4C20" w:rsidRDefault="003A4C20" w:rsidP="003A4C20">
            <w:pPr>
              <w:spacing w:after="0" w:line="240" w:lineRule="auto"/>
              <w:jc w:val="center"/>
              <w:rPr>
                <w:rFonts w:ascii="Aptos Narrow" w:eastAsia="Times New Roman" w:hAnsi="Aptos Narrow" w:cs="Times New Roman"/>
                <w:i/>
                <w:iCs/>
                <w:color w:val="auto"/>
                <w:sz w:val="16"/>
                <w:szCs w:val="16"/>
              </w:rPr>
            </w:pPr>
            <w:r w:rsidRPr="003A4C20">
              <w:rPr>
                <w:rFonts w:ascii="Aptos Narrow" w:eastAsia="Times New Roman" w:hAnsi="Aptos Narrow" w:cs="Times New Roman"/>
                <w:i/>
                <w:iCs/>
                <w:color w:val="auto"/>
                <w:sz w:val="16"/>
                <w:szCs w:val="16"/>
              </w:rPr>
              <w:t>Activity 3.1</w:t>
            </w:r>
            <w:r w:rsidRPr="003A4C20">
              <w:rPr>
                <w:rFonts w:ascii="Aptos Narrow" w:eastAsia="Times New Roman" w:hAnsi="Aptos Narrow" w:cs="Times New Roman"/>
                <w:i/>
                <w:iCs/>
                <w:color w:val="auto"/>
                <w:sz w:val="16"/>
                <w:szCs w:val="16"/>
              </w:rPr>
              <w:br/>
              <w:t>(Output 3.1)</w:t>
            </w:r>
          </w:p>
        </w:tc>
        <w:tc>
          <w:tcPr>
            <w:tcW w:w="990" w:type="dxa"/>
            <w:tcBorders>
              <w:top w:val="nil"/>
              <w:left w:val="nil"/>
              <w:bottom w:val="single" w:sz="4" w:space="0" w:color="auto"/>
              <w:right w:val="single" w:sz="4" w:space="0" w:color="auto"/>
            </w:tcBorders>
            <w:shd w:val="clear" w:color="000000" w:fill="D9D9D9"/>
            <w:vAlign w:val="center"/>
            <w:hideMark/>
          </w:tcPr>
          <w:p w14:paraId="5F77AC84" w14:textId="77777777" w:rsidR="003A4C20" w:rsidRPr="003A4C20" w:rsidRDefault="003A4C20" w:rsidP="003A4C20">
            <w:pPr>
              <w:spacing w:after="0" w:line="240" w:lineRule="auto"/>
              <w:jc w:val="center"/>
              <w:rPr>
                <w:rFonts w:ascii="Aptos Narrow" w:eastAsia="Times New Roman" w:hAnsi="Aptos Narrow" w:cs="Times New Roman"/>
                <w:i/>
                <w:iCs/>
                <w:color w:val="auto"/>
                <w:sz w:val="16"/>
                <w:szCs w:val="16"/>
              </w:rPr>
            </w:pPr>
            <w:r w:rsidRPr="003A4C20">
              <w:rPr>
                <w:rFonts w:ascii="Aptos Narrow" w:eastAsia="Times New Roman" w:hAnsi="Aptos Narrow" w:cs="Times New Roman"/>
                <w:i/>
                <w:iCs/>
                <w:color w:val="auto"/>
                <w:sz w:val="16"/>
                <w:szCs w:val="16"/>
              </w:rPr>
              <w:t>71400</w:t>
            </w:r>
          </w:p>
        </w:tc>
        <w:tc>
          <w:tcPr>
            <w:tcW w:w="1620" w:type="dxa"/>
            <w:tcBorders>
              <w:top w:val="nil"/>
              <w:left w:val="nil"/>
              <w:bottom w:val="single" w:sz="4" w:space="0" w:color="auto"/>
              <w:right w:val="single" w:sz="8" w:space="0" w:color="auto"/>
            </w:tcBorders>
            <w:shd w:val="clear" w:color="000000" w:fill="D9D9D9"/>
            <w:vAlign w:val="center"/>
            <w:hideMark/>
          </w:tcPr>
          <w:p w14:paraId="0D222237"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r w:rsidRPr="003A4C20">
              <w:rPr>
                <w:rFonts w:ascii="Aptos Narrow" w:eastAsia="Times New Roman" w:hAnsi="Aptos Narrow" w:cs="Times New Roman"/>
                <w:i/>
                <w:iCs/>
                <w:color w:val="auto"/>
                <w:sz w:val="16"/>
                <w:szCs w:val="16"/>
              </w:rPr>
              <w:t>Contractual Services-Individuals</w:t>
            </w:r>
          </w:p>
        </w:tc>
        <w:tc>
          <w:tcPr>
            <w:tcW w:w="990" w:type="dxa"/>
            <w:tcBorders>
              <w:top w:val="nil"/>
              <w:left w:val="nil"/>
              <w:bottom w:val="single" w:sz="4" w:space="0" w:color="auto"/>
              <w:right w:val="single" w:sz="8" w:space="0" w:color="auto"/>
            </w:tcBorders>
            <w:shd w:val="clear" w:color="000000" w:fill="D9D9D9"/>
            <w:noWrap/>
            <w:vAlign w:val="bottom"/>
            <w:hideMark/>
          </w:tcPr>
          <w:p w14:paraId="71875EC9"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134,400</w:t>
            </w:r>
          </w:p>
        </w:tc>
        <w:tc>
          <w:tcPr>
            <w:tcW w:w="990" w:type="dxa"/>
            <w:tcBorders>
              <w:top w:val="nil"/>
              <w:left w:val="nil"/>
              <w:bottom w:val="single" w:sz="4" w:space="0" w:color="auto"/>
              <w:right w:val="single" w:sz="8" w:space="0" w:color="auto"/>
            </w:tcBorders>
            <w:shd w:val="clear" w:color="000000" w:fill="D9D9D9"/>
            <w:noWrap/>
            <w:vAlign w:val="bottom"/>
            <w:hideMark/>
          </w:tcPr>
          <w:p w14:paraId="714C37CF"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102,271</w:t>
            </w:r>
          </w:p>
        </w:tc>
        <w:tc>
          <w:tcPr>
            <w:tcW w:w="900" w:type="dxa"/>
            <w:tcBorders>
              <w:top w:val="nil"/>
              <w:left w:val="nil"/>
              <w:bottom w:val="single" w:sz="4" w:space="0" w:color="auto"/>
              <w:right w:val="single" w:sz="8" w:space="0" w:color="auto"/>
            </w:tcBorders>
            <w:shd w:val="clear" w:color="000000" w:fill="D9D9D9"/>
            <w:noWrap/>
            <w:vAlign w:val="bottom"/>
            <w:hideMark/>
          </w:tcPr>
          <w:p w14:paraId="1405E488"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91,561</w:t>
            </w:r>
          </w:p>
        </w:tc>
        <w:tc>
          <w:tcPr>
            <w:tcW w:w="900" w:type="dxa"/>
            <w:tcBorders>
              <w:top w:val="nil"/>
              <w:left w:val="nil"/>
              <w:bottom w:val="single" w:sz="4" w:space="0" w:color="auto"/>
              <w:right w:val="single" w:sz="8" w:space="0" w:color="auto"/>
            </w:tcBorders>
            <w:shd w:val="clear" w:color="000000" w:fill="D9D9D9"/>
            <w:noWrap/>
            <w:vAlign w:val="bottom"/>
            <w:hideMark/>
          </w:tcPr>
          <w:p w14:paraId="411CF146"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72,361</w:t>
            </w:r>
          </w:p>
        </w:tc>
        <w:tc>
          <w:tcPr>
            <w:tcW w:w="990" w:type="dxa"/>
            <w:tcBorders>
              <w:top w:val="nil"/>
              <w:left w:val="nil"/>
              <w:bottom w:val="single" w:sz="4" w:space="0" w:color="auto"/>
              <w:right w:val="single" w:sz="8" w:space="0" w:color="auto"/>
            </w:tcBorders>
            <w:shd w:val="clear" w:color="000000" w:fill="D9D9D9"/>
            <w:noWrap/>
            <w:vAlign w:val="bottom"/>
            <w:hideMark/>
          </w:tcPr>
          <w:p w14:paraId="0E60E94B"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400,593</w:t>
            </w:r>
          </w:p>
        </w:tc>
        <w:tc>
          <w:tcPr>
            <w:tcW w:w="720" w:type="dxa"/>
            <w:tcBorders>
              <w:top w:val="nil"/>
              <w:left w:val="nil"/>
              <w:bottom w:val="single" w:sz="4" w:space="0" w:color="auto"/>
              <w:right w:val="single" w:sz="8" w:space="0" w:color="auto"/>
            </w:tcBorders>
            <w:shd w:val="clear" w:color="000000" w:fill="D9D9D9"/>
            <w:noWrap/>
            <w:vAlign w:val="center"/>
            <w:hideMark/>
          </w:tcPr>
          <w:p w14:paraId="36E29413" w14:textId="77777777" w:rsidR="003A4C20" w:rsidRPr="003A4C20" w:rsidRDefault="003A4C20" w:rsidP="003A4C20">
            <w:pPr>
              <w:spacing w:after="0" w:line="240" w:lineRule="auto"/>
              <w:jc w:val="center"/>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16</w:t>
            </w:r>
          </w:p>
        </w:tc>
      </w:tr>
      <w:tr w:rsidR="00773071" w:rsidRPr="003A4C20" w14:paraId="18428DDB" w14:textId="77777777" w:rsidTr="00773071">
        <w:trPr>
          <w:trHeight w:val="640"/>
        </w:trPr>
        <w:tc>
          <w:tcPr>
            <w:tcW w:w="1250" w:type="dxa"/>
            <w:vMerge/>
            <w:tcBorders>
              <w:top w:val="nil"/>
              <w:left w:val="single" w:sz="8" w:space="0" w:color="auto"/>
              <w:bottom w:val="single" w:sz="4" w:space="0" w:color="auto"/>
              <w:right w:val="single" w:sz="4" w:space="0" w:color="auto"/>
            </w:tcBorders>
            <w:vAlign w:val="center"/>
            <w:hideMark/>
          </w:tcPr>
          <w:p w14:paraId="0E3F9689" w14:textId="77777777" w:rsidR="003A4C20" w:rsidRPr="003A4C20" w:rsidRDefault="003A4C20" w:rsidP="003A4C20">
            <w:pPr>
              <w:spacing w:after="0" w:line="240" w:lineRule="auto"/>
              <w:rPr>
                <w:rFonts w:ascii="Aptos Narrow" w:eastAsia="Times New Roman" w:hAnsi="Aptos Narrow" w:cs="Times New Roman"/>
                <w:b/>
                <w:bCs/>
                <w:i/>
                <w:iCs/>
                <w:color w:val="auto"/>
                <w:sz w:val="16"/>
                <w:szCs w:val="16"/>
              </w:rPr>
            </w:pPr>
          </w:p>
        </w:tc>
        <w:tc>
          <w:tcPr>
            <w:tcW w:w="1460" w:type="dxa"/>
            <w:vMerge/>
            <w:tcBorders>
              <w:top w:val="nil"/>
              <w:left w:val="single" w:sz="4" w:space="0" w:color="auto"/>
              <w:bottom w:val="single" w:sz="4" w:space="0" w:color="auto"/>
              <w:right w:val="single" w:sz="4" w:space="0" w:color="auto"/>
            </w:tcBorders>
            <w:vAlign w:val="center"/>
            <w:hideMark/>
          </w:tcPr>
          <w:p w14:paraId="387ECBC1"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1036" w:type="dxa"/>
            <w:vMerge/>
            <w:tcBorders>
              <w:top w:val="nil"/>
              <w:left w:val="single" w:sz="4" w:space="0" w:color="auto"/>
              <w:bottom w:val="single" w:sz="4" w:space="0" w:color="auto"/>
              <w:right w:val="single" w:sz="4" w:space="0" w:color="auto"/>
            </w:tcBorders>
            <w:vAlign w:val="center"/>
            <w:hideMark/>
          </w:tcPr>
          <w:p w14:paraId="735B779D"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834" w:type="dxa"/>
            <w:vMerge/>
            <w:tcBorders>
              <w:top w:val="nil"/>
              <w:left w:val="single" w:sz="4" w:space="0" w:color="auto"/>
              <w:bottom w:val="single" w:sz="4" w:space="0" w:color="auto"/>
              <w:right w:val="single" w:sz="4" w:space="0" w:color="auto"/>
            </w:tcBorders>
            <w:vAlign w:val="center"/>
            <w:hideMark/>
          </w:tcPr>
          <w:p w14:paraId="1708AD56"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834" w:type="dxa"/>
            <w:vMerge/>
            <w:tcBorders>
              <w:top w:val="nil"/>
              <w:left w:val="single" w:sz="4" w:space="0" w:color="auto"/>
              <w:bottom w:val="single" w:sz="4" w:space="0" w:color="auto"/>
              <w:right w:val="nil"/>
            </w:tcBorders>
            <w:vAlign w:val="center"/>
            <w:hideMark/>
          </w:tcPr>
          <w:p w14:paraId="42EE73EA"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966" w:type="dxa"/>
            <w:vMerge/>
            <w:tcBorders>
              <w:top w:val="nil"/>
              <w:left w:val="single" w:sz="8" w:space="0" w:color="auto"/>
              <w:bottom w:val="single" w:sz="8" w:space="0" w:color="000000"/>
              <w:right w:val="single" w:sz="8" w:space="0" w:color="auto"/>
            </w:tcBorders>
            <w:vAlign w:val="center"/>
            <w:hideMark/>
          </w:tcPr>
          <w:p w14:paraId="50E1B046"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990" w:type="dxa"/>
            <w:tcBorders>
              <w:top w:val="nil"/>
              <w:left w:val="nil"/>
              <w:bottom w:val="nil"/>
              <w:right w:val="single" w:sz="4" w:space="0" w:color="auto"/>
            </w:tcBorders>
            <w:shd w:val="clear" w:color="000000" w:fill="D9D9D9"/>
            <w:vAlign w:val="center"/>
            <w:hideMark/>
          </w:tcPr>
          <w:p w14:paraId="7D344637" w14:textId="77777777" w:rsidR="003A4C20" w:rsidRPr="003A4C20" w:rsidRDefault="003A4C20" w:rsidP="003A4C20">
            <w:pPr>
              <w:spacing w:after="0" w:line="240" w:lineRule="auto"/>
              <w:jc w:val="center"/>
              <w:rPr>
                <w:rFonts w:ascii="Aptos Narrow" w:eastAsia="Times New Roman" w:hAnsi="Aptos Narrow" w:cs="Times New Roman"/>
                <w:i/>
                <w:iCs/>
                <w:color w:val="auto"/>
                <w:sz w:val="16"/>
                <w:szCs w:val="16"/>
              </w:rPr>
            </w:pPr>
            <w:r w:rsidRPr="003A4C20">
              <w:rPr>
                <w:rFonts w:ascii="Aptos Narrow" w:eastAsia="Times New Roman" w:hAnsi="Aptos Narrow" w:cs="Times New Roman"/>
                <w:i/>
                <w:iCs/>
                <w:color w:val="auto"/>
                <w:sz w:val="16"/>
                <w:szCs w:val="16"/>
              </w:rPr>
              <w:t>73100</w:t>
            </w:r>
          </w:p>
        </w:tc>
        <w:tc>
          <w:tcPr>
            <w:tcW w:w="1620" w:type="dxa"/>
            <w:tcBorders>
              <w:top w:val="nil"/>
              <w:left w:val="nil"/>
              <w:bottom w:val="nil"/>
              <w:right w:val="single" w:sz="8" w:space="0" w:color="auto"/>
            </w:tcBorders>
            <w:shd w:val="clear" w:color="000000" w:fill="D9D9D9"/>
            <w:vAlign w:val="center"/>
            <w:hideMark/>
          </w:tcPr>
          <w:p w14:paraId="5976B58C"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r w:rsidRPr="003A4C20">
              <w:rPr>
                <w:rFonts w:ascii="Aptos Narrow" w:eastAsia="Times New Roman" w:hAnsi="Aptos Narrow" w:cs="Times New Roman"/>
                <w:i/>
                <w:iCs/>
                <w:color w:val="auto"/>
                <w:sz w:val="16"/>
                <w:szCs w:val="16"/>
              </w:rPr>
              <w:t>Rental and maintenance costs</w:t>
            </w:r>
          </w:p>
        </w:tc>
        <w:tc>
          <w:tcPr>
            <w:tcW w:w="990" w:type="dxa"/>
            <w:tcBorders>
              <w:top w:val="nil"/>
              <w:left w:val="single" w:sz="8" w:space="0" w:color="auto"/>
              <w:bottom w:val="nil"/>
              <w:right w:val="single" w:sz="8" w:space="0" w:color="auto"/>
            </w:tcBorders>
            <w:shd w:val="clear" w:color="000000" w:fill="D9D9D9"/>
            <w:noWrap/>
            <w:vAlign w:val="bottom"/>
            <w:hideMark/>
          </w:tcPr>
          <w:p w14:paraId="3A1FA895"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1,500</w:t>
            </w:r>
          </w:p>
        </w:tc>
        <w:tc>
          <w:tcPr>
            <w:tcW w:w="990" w:type="dxa"/>
            <w:tcBorders>
              <w:top w:val="nil"/>
              <w:left w:val="nil"/>
              <w:bottom w:val="nil"/>
              <w:right w:val="single" w:sz="8" w:space="0" w:color="auto"/>
            </w:tcBorders>
            <w:shd w:val="clear" w:color="000000" w:fill="D9D9D9"/>
            <w:noWrap/>
            <w:vAlign w:val="bottom"/>
            <w:hideMark/>
          </w:tcPr>
          <w:p w14:paraId="6B93251B"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1,500</w:t>
            </w:r>
          </w:p>
        </w:tc>
        <w:tc>
          <w:tcPr>
            <w:tcW w:w="900" w:type="dxa"/>
            <w:tcBorders>
              <w:top w:val="nil"/>
              <w:left w:val="nil"/>
              <w:bottom w:val="nil"/>
              <w:right w:val="single" w:sz="8" w:space="0" w:color="auto"/>
            </w:tcBorders>
            <w:shd w:val="clear" w:color="000000" w:fill="D9D9D9"/>
            <w:noWrap/>
            <w:vAlign w:val="bottom"/>
            <w:hideMark/>
          </w:tcPr>
          <w:p w14:paraId="070379DE"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1,500</w:t>
            </w:r>
          </w:p>
        </w:tc>
        <w:tc>
          <w:tcPr>
            <w:tcW w:w="900" w:type="dxa"/>
            <w:tcBorders>
              <w:top w:val="nil"/>
              <w:left w:val="nil"/>
              <w:bottom w:val="nil"/>
              <w:right w:val="single" w:sz="8" w:space="0" w:color="auto"/>
            </w:tcBorders>
            <w:shd w:val="clear" w:color="000000" w:fill="D9D9D9"/>
            <w:noWrap/>
            <w:vAlign w:val="bottom"/>
            <w:hideMark/>
          </w:tcPr>
          <w:p w14:paraId="2B66F345"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1,500</w:t>
            </w:r>
          </w:p>
        </w:tc>
        <w:tc>
          <w:tcPr>
            <w:tcW w:w="990" w:type="dxa"/>
            <w:tcBorders>
              <w:top w:val="single" w:sz="8" w:space="0" w:color="auto"/>
              <w:left w:val="single" w:sz="8" w:space="0" w:color="auto"/>
              <w:bottom w:val="single" w:sz="4" w:space="0" w:color="auto"/>
              <w:right w:val="single" w:sz="8" w:space="0" w:color="auto"/>
            </w:tcBorders>
            <w:shd w:val="clear" w:color="000000" w:fill="D9D9D9"/>
            <w:noWrap/>
            <w:vAlign w:val="bottom"/>
            <w:hideMark/>
          </w:tcPr>
          <w:p w14:paraId="278F6BB2"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6,000</w:t>
            </w:r>
          </w:p>
        </w:tc>
        <w:tc>
          <w:tcPr>
            <w:tcW w:w="720" w:type="dxa"/>
            <w:tcBorders>
              <w:top w:val="nil"/>
              <w:left w:val="nil"/>
              <w:bottom w:val="nil"/>
              <w:right w:val="single" w:sz="8" w:space="0" w:color="auto"/>
            </w:tcBorders>
            <w:shd w:val="clear" w:color="000000" w:fill="D9D9D9"/>
            <w:noWrap/>
            <w:vAlign w:val="center"/>
            <w:hideMark/>
          </w:tcPr>
          <w:p w14:paraId="44234609" w14:textId="77777777" w:rsidR="003A4C20" w:rsidRPr="003A4C20" w:rsidRDefault="003A4C20" w:rsidP="003A4C20">
            <w:pPr>
              <w:spacing w:after="0" w:line="240" w:lineRule="auto"/>
              <w:jc w:val="center"/>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3</w:t>
            </w:r>
          </w:p>
        </w:tc>
      </w:tr>
      <w:tr w:rsidR="00773071" w:rsidRPr="003A4C20" w14:paraId="1E6E3EE3" w14:textId="77777777" w:rsidTr="00773071">
        <w:trPr>
          <w:trHeight w:val="300"/>
        </w:trPr>
        <w:tc>
          <w:tcPr>
            <w:tcW w:w="1250" w:type="dxa"/>
            <w:vMerge/>
            <w:tcBorders>
              <w:top w:val="nil"/>
              <w:left w:val="single" w:sz="8" w:space="0" w:color="auto"/>
              <w:bottom w:val="single" w:sz="4" w:space="0" w:color="auto"/>
              <w:right w:val="single" w:sz="4" w:space="0" w:color="auto"/>
            </w:tcBorders>
            <w:vAlign w:val="center"/>
            <w:hideMark/>
          </w:tcPr>
          <w:p w14:paraId="4C48C214" w14:textId="77777777" w:rsidR="003A4C20" w:rsidRPr="003A4C20" w:rsidRDefault="003A4C20" w:rsidP="003A4C20">
            <w:pPr>
              <w:spacing w:after="0" w:line="240" w:lineRule="auto"/>
              <w:rPr>
                <w:rFonts w:ascii="Aptos Narrow" w:eastAsia="Times New Roman" w:hAnsi="Aptos Narrow" w:cs="Times New Roman"/>
                <w:b/>
                <w:bCs/>
                <w:i/>
                <w:iCs/>
                <w:color w:val="auto"/>
                <w:sz w:val="16"/>
                <w:szCs w:val="16"/>
              </w:rPr>
            </w:pPr>
          </w:p>
        </w:tc>
        <w:tc>
          <w:tcPr>
            <w:tcW w:w="1460" w:type="dxa"/>
            <w:vMerge/>
            <w:tcBorders>
              <w:top w:val="nil"/>
              <w:left w:val="single" w:sz="4" w:space="0" w:color="auto"/>
              <w:bottom w:val="single" w:sz="4" w:space="0" w:color="auto"/>
              <w:right w:val="single" w:sz="4" w:space="0" w:color="auto"/>
            </w:tcBorders>
            <w:vAlign w:val="center"/>
            <w:hideMark/>
          </w:tcPr>
          <w:p w14:paraId="1E4A69F6"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1036" w:type="dxa"/>
            <w:vMerge/>
            <w:tcBorders>
              <w:top w:val="nil"/>
              <w:left w:val="single" w:sz="4" w:space="0" w:color="auto"/>
              <w:bottom w:val="single" w:sz="4" w:space="0" w:color="auto"/>
              <w:right w:val="single" w:sz="4" w:space="0" w:color="auto"/>
            </w:tcBorders>
            <w:vAlign w:val="center"/>
            <w:hideMark/>
          </w:tcPr>
          <w:p w14:paraId="27CFBD0A"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834" w:type="dxa"/>
            <w:vMerge/>
            <w:tcBorders>
              <w:top w:val="nil"/>
              <w:left w:val="single" w:sz="4" w:space="0" w:color="auto"/>
              <w:bottom w:val="single" w:sz="4" w:space="0" w:color="auto"/>
              <w:right w:val="single" w:sz="4" w:space="0" w:color="auto"/>
            </w:tcBorders>
            <w:vAlign w:val="center"/>
            <w:hideMark/>
          </w:tcPr>
          <w:p w14:paraId="6793E4B9"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834" w:type="dxa"/>
            <w:vMerge/>
            <w:tcBorders>
              <w:top w:val="nil"/>
              <w:left w:val="single" w:sz="4" w:space="0" w:color="auto"/>
              <w:bottom w:val="single" w:sz="4" w:space="0" w:color="auto"/>
              <w:right w:val="nil"/>
            </w:tcBorders>
            <w:vAlign w:val="center"/>
            <w:hideMark/>
          </w:tcPr>
          <w:p w14:paraId="2FBA80F9"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966" w:type="dxa"/>
            <w:vMerge/>
            <w:tcBorders>
              <w:top w:val="nil"/>
              <w:left w:val="single" w:sz="8" w:space="0" w:color="auto"/>
              <w:bottom w:val="single" w:sz="8" w:space="0" w:color="000000"/>
              <w:right w:val="single" w:sz="8" w:space="0" w:color="auto"/>
            </w:tcBorders>
            <w:vAlign w:val="center"/>
            <w:hideMark/>
          </w:tcPr>
          <w:p w14:paraId="20F29C49"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990" w:type="dxa"/>
            <w:tcBorders>
              <w:top w:val="single" w:sz="4" w:space="0" w:color="auto"/>
              <w:left w:val="nil"/>
              <w:bottom w:val="single" w:sz="8" w:space="0" w:color="auto"/>
              <w:right w:val="single" w:sz="4" w:space="0" w:color="auto"/>
            </w:tcBorders>
            <w:shd w:val="clear" w:color="000000" w:fill="D9D9D9"/>
            <w:noWrap/>
            <w:vAlign w:val="center"/>
            <w:hideMark/>
          </w:tcPr>
          <w:p w14:paraId="16626F78" w14:textId="77777777" w:rsidR="003A4C20" w:rsidRPr="003A4C20" w:rsidRDefault="003A4C20" w:rsidP="003A4C20">
            <w:pPr>
              <w:spacing w:after="0" w:line="240" w:lineRule="auto"/>
              <w:jc w:val="center"/>
              <w:rPr>
                <w:rFonts w:ascii="Aptos Narrow" w:eastAsia="Times New Roman" w:hAnsi="Aptos Narrow" w:cs="Times New Roman"/>
                <w:i/>
                <w:iCs/>
                <w:color w:val="auto"/>
                <w:sz w:val="16"/>
                <w:szCs w:val="16"/>
              </w:rPr>
            </w:pPr>
            <w:r w:rsidRPr="003A4C20">
              <w:rPr>
                <w:rFonts w:ascii="Aptos Narrow" w:eastAsia="Times New Roman" w:hAnsi="Aptos Narrow" w:cs="Times New Roman"/>
                <w:i/>
                <w:iCs/>
                <w:color w:val="auto"/>
                <w:sz w:val="16"/>
                <w:szCs w:val="16"/>
              </w:rPr>
              <w:t>71600</w:t>
            </w:r>
          </w:p>
        </w:tc>
        <w:tc>
          <w:tcPr>
            <w:tcW w:w="1620" w:type="dxa"/>
            <w:tcBorders>
              <w:top w:val="single" w:sz="4" w:space="0" w:color="auto"/>
              <w:left w:val="nil"/>
              <w:bottom w:val="single" w:sz="8" w:space="0" w:color="auto"/>
              <w:right w:val="single" w:sz="8" w:space="0" w:color="auto"/>
            </w:tcBorders>
            <w:shd w:val="clear" w:color="000000" w:fill="D9D9D9"/>
            <w:vAlign w:val="center"/>
            <w:hideMark/>
          </w:tcPr>
          <w:p w14:paraId="595B04FE"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r w:rsidRPr="003A4C20">
              <w:rPr>
                <w:rFonts w:ascii="Aptos Narrow" w:eastAsia="Times New Roman" w:hAnsi="Aptos Narrow" w:cs="Times New Roman"/>
                <w:i/>
                <w:iCs/>
                <w:color w:val="auto"/>
                <w:sz w:val="16"/>
                <w:szCs w:val="16"/>
              </w:rPr>
              <w:t>Travel</w:t>
            </w:r>
          </w:p>
        </w:tc>
        <w:tc>
          <w:tcPr>
            <w:tcW w:w="990" w:type="dxa"/>
            <w:tcBorders>
              <w:top w:val="single" w:sz="4" w:space="0" w:color="auto"/>
              <w:left w:val="nil"/>
              <w:bottom w:val="single" w:sz="8" w:space="0" w:color="auto"/>
              <w:right w:val="single" w:sz="8" w:space="0" w:color="auto"/>
            </w:tcBorders>
            <w:shd w:val="clear" w:color="000000" w:fill="D9D9D9"/>
            <w:noWrap/>
            <w:vAlign w:val="bottom"/>
            <w:hideMark/>
          </w:tcPr>
          <w:p w14:paraId="13DB592C"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20,000</w:t>
            </w:r>
          </w:p>
        </w:tc>
        <w:tc>
          <w:tcPr>
            <w:tcW w:w="990" w:type="dxa"/>
            <w:tcBorders>
              <w:top w:val="single" w:sz="4" w:space="0" w:color="auto"/>
              <w:left w:val="nil"/>
              <w:bottom w:val="single" w:sz="8" w:space="0" w:color="auto"/>
              <w:right w:val="single" w:sz="8" w:space="0" w:color="auto"/>
            </w:tcBorders>
            <w:shd w:val="clear" w:color="000000" w:fill="D9D9D9"/>
            <w:noWrap/>
            <w:vAlign w:val="bottom"/>
            <w:hideMark/>
          </w:tcPr>
          <w:p w14:paraId="60F898BE"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20,000</w:t>
            </w:r>
          </w:p>
        </w:tc>
        <w:tc>
          <w:tcPr>
            <w:tcW w:w="900" w:type="dxa"/>
            <w:tcBorders>
              <w:top w:val="single" w:sz="4" w:space="0" w:color="auto"/>
              <w:left w:val="nil"/>
              <w:bottom w:val="single" w:sz="8" w:space="0" w:color="auto"/>
              <w:right w:val="single" w:sz="8" w:space="0" w:color="auto"/>
            </w:tcBorders>
            <w:shd w:val="clear" w:color="000000" w:fill="D9D9D9"/>
            <w:noWrap/>
            <w:vAlign w:val="bottom"/>
            <w:hideMark/>
          </w:tcPr>
          <w:p w14:paraId="3C088DDC"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20,000</w:t>
            </w:r>
          </w:p>
        </w:tc>
        <w:tc>
          <w:tcPr>
            <w:tcW w:w="900" w:type="dxa"/>
            <w:tcBorders>
              <w:top w:val="single" w:sz="4" w:space="0" w:color="auto"/>
              <w:left w:val="nil"/>
              <w:bottom w:val="single" w:sz="8" w:space="0" w:color="auto"/>
              <w:right w:val="single" w:sz="8" w:space="0" w:color="auto"/>
            </w:tcBorders>
            <w:shd w:val="clear" w:color="000000" w:fill="D9D9D9"/>
            <w:noWrap/>
            <w:vAlign w:val="bottom"/>
            <w:hideMark/>
          </w:tcPr>
          <w:p w14:paraId="2F370CC9"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20,000</w:t>
            </w:r>
          </w:p>
        </w:tc>
        <w:tc>
          <w:tcPr>
            <w:tcW w:w="990" w:type="dxa"/>
            <w:tcBorders>
              <w:top w:val="single" w:sz="8" w:space="0" w:color="auto"/>
              <w:left w:val="nil"/>
              <w:bottom w:val="single" w:sz="4" w:space="0" w:color="auto"/>
              <w:right w:val="single" w:sz="8" w:space="0" w:color="auto"/>
            </w:tcBorders>
            <w:shd w:val="clear" w:color="000000" w:fill="D9D9D9"/>
            <w:noWrap/>
            <w:vAlign w:val="bottom"/>
            <w:hideMark/>
          </w:tcPr>
          <w:p w14:paraId="6DF24904"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80,000</w:t>
            </w:r>
          </w:p>
        </w:tc>
        <w:tc>
          <w:tcPr>
            <w:tcW w:w="720" w:type="dxa"/>
            <w:tcBorders>
              <w:top w:val="single" w:sz="4" w:space="0" w:color="auto"/>
              <w:left w:val="nil"/>
              <w:bottom w:val="single" w:sz="8" w:space="0" w:color="auto"/>
              <w:right w:val="single" w:sz="8" w:space="0" w:color="auto"/>
            </w:tcBorders>
            <w:shd w:val="clear" w:color="000000" w:fill="D9D9D9"/>
            <w:noWrap/>
            <w:vAlign w:val="center"/>
            <w:hideMark/>
          </w:tcPr>
          <w:p w14:paraId="02E82208" w14:textId="77777777" w:rsidR="003A4C20" w:rsidRPr="003A4C20" w:rsidRDefault="003A4C20" w:rsidP="003A4C20">
            <w:pPr>
              <w:spacing w:after="0" w:line="240" w:lineRule="auto"/>
              <w:jc w:val="center"/>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6</w:t>
            </w:r>
          </w:p>
        </w:tc>
      </w:tr>
      <w:tr w:rsidR="00773071" w:rsidRPr="003A4C20" w14:paraId="35595A21" w14:textId="77777777" w:rsidTr="00773071">
        <w:trPr>
          <w:trHeight w:val="300"/>
        </w:trPr>
        <w:tc>
          <w:tcPr>
            <w:tcW w:w="1250" w:type="dxa"/>
            <w:vMerge/>
            <w:tcBorders>
              <w:top w:val="nil"/>
              <w:left w:val="single" w:sz="8" w:space="0" w:color="auto"/>
              <w:bottom w:val="single" w:sz="4" w:space="0" w:color="auto"/>
              <w:right w:val="single" w:sz="4" w:space="0" w:color="auto"/>
            </w:tcBorders>
            <w:vAlign w:val="center"/>
            <w:hideMark/>
          </w:tcPr>
          <w:p w14:paraId="066F43DE" w14:textId="77777777" w:rsidR="003A4C20" w:rsidRPr="003A4C20" w:rsidRDefault="003A4C20" w:rsidP="003A4C20">
            <w:pPr>
              <w:spacing w:after="0" w:line="240" w:lineRule="auto"/>
              <w:rPr>
                <w:rFonts w:ascii="Aptos Narrow" w:eastAsia="Times New Roman" w:hAnsi="Aptos Narrow" w:cs="Times New Roman"/>
                <w:b/>
                <w:bCs/>
                <w:i/>
                <w:iCs/>
                <w:color w:val="auto"/>
                <w:sz w:val="16"/>
                <w:szCs w:val="16"/>
              </w:rPr>
            </w:pPr>
          </w:p>
        </w:tc>
        <w:tc>
          <w:tcPr>
            <w:tcW w:w="1460" w:type="dxa"/>
            <w:vMerge/>
            <w:tcBorders>
              <w:top w:val="nil"/>
              <w:left w:val="single" w:sz="4" w:space="0" w:color="auto"/>
              <w:bottom w:val="single" w:sz="4" w:space="0" w:color="auto"/>
              <w:right w:val="single" w:sz="4" w:space="0" w:color="auto"/>
            </w:tcBorders>
            <w:vAlign w:val="center"/>
            <w:hideMark/>
          </w:tcPr>
          <w:p w14:paraId="758B4502"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1036" w:type="dxa"/>
            <w:vMerge/>
            <w:tcBorders>
              <w:top w:val="nil"/>
              <w:left w:val="single" w:sz="4" w:space="0" w:color="auto"/>
              <w:bottom w:val="single" w:sz="4" w:space="0" w:color="auto"/>
              <w:right w:val="single" w:sz="4" w:space="0" w:color="auto"/>
            </w:tcBorders>
            <w:vAlign w:val="center"/>
            <w:hideMark/>
          </w:tcPr>
          <w:p w14:paraId="7AE341C1"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834" w:type="dxa"/>
            <w:vMerge/>
            <w:tcBorders>
              <w:top w:val="nil"/>
              <w:left w:val="single" w:sz="4" w:space="0" w:color="auto"/>
              <w:bottom w:val="single" w:sz="4" w:space="0" w:color="auto"/>
              <w:right w:val="single" w:sz="4" w:space="0" w:color="auto"/>
            </w:tcBorders>
            <w:vAlign w:val="center"/>
            <w:hideMark/>
          </w:tcPr>
          <w:p w14:paraId="7B5E75D5"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834" w:type="dxa"/>
            <w:vMerge/>
            <w:tcBorders>
              <w:top w:val="nil"/>
              <w:left w:val="single" w:sz="4" w:space="0" w:color="auto"/>
              <w:bottom w:val="single" w:sz="4" w:space="0" w:color="auto"/>
              <w:right w:val="nil"/>
            </w:tcBorders>
            <w:vAlign w:val="center"/>
            <w:hideMark/>
          </w:tcPr>
          <w:p w14:paraId="71DB5BCB"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966" w:type="dxa"/>
            <w:vMerge w:val="restart"/>
            <w:tcBorders>
              <w:top w:val="single" w:sz="8" w:space="0" w:color="auto"/>
              <w:left w:val="single" w:sz="8" w:space="0" w:color="auto"/>
              <w:bottom w:val="nil"/>
              <w:right w:val="single" w:sz="8" w:space="0" w:color="auto"/>
            </w:tcBorders>
            <w:shd w:val="clear" w:color="000000" w:fill="DAE9F8"/>
            <w:vAlign w:val="center"/>
            <w:hideMark/>
          </w:tcPr>
          <w:p w14:paraId="075D7ED9" w14:textId="77777777" w:rsidR="003A4C20" w:rsidRPr="003A4C20" w:rsidRDefault="003A4C20" w:rsidP="003A4C20">
            <w:pPr>
              <w:spacing w:after="0" w:line="240" w:lineRule="auto"/>
              <w:jc w:val="center"/>
              <w:rPr>
                <w:rFonts w:ascii="Aptos Narrow" w:eastAsia="Times New Roman" w:hAnsi="Aptos Narrow" w:cs="Times New Roman"/>
                <w:i/>
                <w:iCs/>
                <w:color w:val="auto"/>
                <w:sz w:val="16"/>
                <w:szCs w:val="16"/>
              </w:rPr>
            </w:pPr>
            <w:r w:rsidRPr="003A4C20">
              <w:rPr>
                <w:rFonts w:ascii="Aptos Narrow" w:eastAsia="Times New Roman" w:hAnsi="Aptos Narrow" w:cs="Times New Roman"/>
                <w:i/>
                <w:iCs/>
                <w:color w:val="auto"/>
                <w:sz w:val="16"/>
                <w:szCs w:val="16"/>
              </w:rPr>
              <w:t>Activity 3.2</w:t>
            </w:r>
            <w:r w:rsidRPr="003A4C20">
              <w:rPr>
                <w:rFonts w:ascii="Aptos Narrow" w:eastAsia="Times New Roman" w:hAnsi="Aptos Narrow" w:cs="Times New Roman"/>
                <w:i/>
                <w:iCs/>
                <w:color w:val="auto"/>
                <w:sz w:val="16"/>
                <w:szCs w:val="16"/>
              </w:rPr>
              <w:br/>
              <w:t>(Output 3.2)</w:t>
            </w:r>
          </w:p>
        </w:tc>
        <w:tc>
          <w:tcPr>
            <w:tcW w:w="990" w:type="dxa"/>
            <w:tcBorders>
              <w:top w:val="nil"/>
              <w:left w:val="single" w:sz="8" w:space="0" w:color="auto"/>
              <w:bottom w:val="single" w:sz="4" w:space="0" w:color="auto"/>
              <w:right w:val="single" w:sz="4" w:space="0" w:color="auto"/>
            </w:tcBorders>
            <w:shd w:val="clear" w:color="000000" w:fill="DAE9F8"/>
            <w:noWrap/>
            <w:vAlign w:val="center"/>
            <w:hideMark/>
          </w:tcPr>
          <w:p w14:paraId="28D8074D" w14:textId="77777777" w:rsidR="003A4C20" w:rsidRPr="003A4C20" w:rsidRDefault="003A4C20" w:rsidP="003A4C20">
            <w:pPr>
              <w:spacing w:after="0" w:line="240" w:lineRule="auto"/>
              <w:jc w:val="center"/>
              <w:rPr>
                <w:rFonts w:ascii="Aptos Narrow" w:eastAsia="Times New Roman" w:hAnsi="Aptos Narrow" w:cs="Times New Roman"/>
                <w:i/>
                <w:iCs/>
                <w:color w:val="auto"/>
                <w:sz w:val="16"/>
                <w:szCs w:val="16"/>
              </w:rPr>
            </w:pPr>
            <w:r w:rsidRPr="003A4C20">
              <w:rPr>
                <w:rFonts w:ascii="Aptos Narrow" w:eastAsia="Times New Roman" w:hAnsi="Aptos Narrow" w:cs="Times New Roman"/>
                <w:i/>
                <w:iCs/>
                <w:color w:val="auto"/>
                <w:sz w:val="16"/>
                <w:szCs w:val="16"/>
              </w:rPr>
              <w:t>71200</w:t>
            </w:r>
          </w:p>
        </w:tc>
        <w:tc>
          <w:tcPr>
            <w:tcW w:w="1620" w:type="dxa"/>
            <w:tcBorders>
              <w:top w:val="nil"/>
              <w:left w:val="nil"/>
              <w:bottom w:val="single" w:sz="4" w:space="0" w:color="auto"/>
              <w:right w:val="single" w:sz="8" w:space="0" w:color="auto"/>
            </w:tcBorders>
            <w:shd w:val="clear" w:color="000000" w:fill="DAE9F8"/>
            <w:noWrap/>
            <w:vAlign w:val="center"/>
            <w:hideMark/>
          </w:tcPr>
          <w:p w14:paraId="029CDEDB"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r w:rsidRPr="003A4C20">
              <w:rPr>
                <w:rFonts w:ascii="Aptos Narrow" w:eastAsia="Times New Roman" w:hAnsi="Aptos Narrow" w:cs="Times New Roman"/>
                <w:i/>
                <w:iCs/>
                <w:color w:val="auto"/>
                <w:sz w:val="16"/>
                <w:szCs w:val="16"/>
              </w:rPr>
              <w:t>International Consultants</w:t>
            </w:r>
          </w:p>
        </w:tc>
        <w:tc>
          <w:tcPr>
            <w:tcW w:w="990" w:type="dxa"/>
            <w:tcBorders>
              <w:top w:val="nil"/>
              <w:left w:val="nil"/>
              <w:bottom w:val="single" w:sz="4" w:space="0" w:color="auto"/>
              <w:right w:val="single" w:sz="8" w:space="0" w:color="auto"/>
            </w:tcBorders>
            <w:shd w:val="clear" w:color="000000" w:fill="DAE9F8"/>
            <w:noWrap/>
            <w:vAlign w:val="bottom"/>
            <w:hideMark/>
          </w:tcPr>
          <w:p w14:paraId="571E2EC8"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14,000</w:t>
            </w:r>
          </w:p>
        </w:tc>
        <w:tc>
          <w:tcPr>
            <w:tcW w:w="990" w:type="dxa"/>
            <w:tcBorders>
              <w:top w:val="nil"/>
              <w:left w:val="nil"/>
              <w:bottom w:val="single" w:sz="4" w:space="0" w:color="auto"/>
              <w:right w:val="single" w:sz="8" w:space="0" w:color="auto"/>
            </w:tcBorders>
            <w:shd w:val="clear" w:color="000000" w:fill="DAE9F8"/>
            <w:noWrap/>
            <w:vAlign w:val="bottom"/>
            <w:hideMark/>
          </w:tcPr>
          <w:p w14:paraId="3BF5837A"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9,500</w:t>
            </w:r>
          </w:p>
        </w:tc>
        <w:tc>
          <w:tcPr>
            <w:tcW w:w="900" w:type="dxa"/>
            <w:tcBorders>
              <w:top w:val="nil"/>
              <w:left w:val="nil"/>
              <w:bottom w:val="single" w:sz="4" w:space="0" w:color="auto"/>
              <w:right w:val="single" w:sz="8" w:space="0" w:color="auto"/>
            </w:tcBorders>
            <w:shd w:val="clear" w:color="000000" w:fill="DAE9F8"/>
            <w:noWrap/>
            <w:vAlign w:val="bottom"/>
            <w:hideMark/>
          </w:tcPr>
          <w:p w14:paraId="54C1C17A"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9,500</w:t>
            </w:r>
          </w:p>
        </w:tc>
        <w:tc>
          <w:tcPr>
            <w:tcW w:w="900" w:type="dxa"/>
            <w:tcBorders>
              <w:top w:val="nil"/>
              <w:left w:val="nil"/>
              <w:bottom w:val="single" w:sz="4" w:space="0" w:color="auto"/>
              <w:right w:val="single" w:sz="8" w:space="0" w:color="auto"/>
            </w:tcBorders>
            <w:shd w:val="clear" w:color="000000" w:fill="DAE9F8"/>
            <w:noWrap/>
            <w:vAlign w:val="bottom"/>
            <w:hideMark/>
          </w:tcPr>
          <w:p w14:paraId="28283D37"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9,500</w:t>
            </w:r>
          </w:p>
        </w:tc>
        <w:tc>
          <w:tcPr>
            <w:tcW w:w="990" w:type="dxa"/>
            <w:tcBorders>
              <w:top w:val="single" w:sz="8" w:space="0" w:color="auto"/>
              <w:left w:val="nil"/>
              <w:bottom w:val="single" w:sz="4" w:space="0" w:color="auto"/>
              <w:right w:val="single" w:sz="8" w:space="0" w:color="auto"/>
            </w:tcBorders>
            <w:shd w:val="clear" w:color="000000" w:fill="DAE9F8"/>
            <w:noWrap/>
            <w:vAlign w:val="bottom"/>
            <w:hideMark/>
          </w:tcPr>
          <w:p w14:paraId="2AC11CEE"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42,500</w:t>
            </w:r>
          </w:p>
        </w:tc>
        <w:tc>
          <w:tcPr>
            <w:tcW w:w="720" w:type="dxa"/>
            <w:tcBorders>
              <w:top w:val="nil"/>
              <w:left w:val="nil"/>
              <w:bottom w:val="single" w:sz="4" w:space="0" w:color="auto"/>
              <w:right w:val="single" w:sz="8" w:space="0" w:color="auto"/>
            </w:tcBorders>
            <w:shd w:val="clear" w:color="000000" w:fill="DAE9F8"/>
            <w:noWrap/>
            <w:vAlign w:val="center"/>
            <w:hideMark/>
          </w:tcPr>
          <w:p w14:paraId="4D7FA7E8" w14:textId="77777777" w:rsidR="003A4C20" w:rsidRPr="003A4C20" w:rsidRDefault="003A4C20" w:rsidP="003A4C20">
            <w:pPr>
              <w:spacing w:after="0" w:line="240" w:lineRule="auto"/>
              <w:jc w:val="center"/>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17</w:t>
            </w:r>
          </w:p>
        </w:tc>
      </w:tr>
      <w:tr w:rsidR="00773071" w:rsidRPr="003A4C20" w14:paraId="5003BB77" w14:textId="77777777" w:rsidTr="00773071">
        <w:trPr>
          <w:trHeight w:val="640"/>
        </w:trPr>
        <w:tc>
          <w:tcPr>
            <w:tcW w:w="1250" w:type="dxa"/>
            <w:vMerge/>
            <w:tcBorders>
              <w:top w:val="nil"/>
              <w:left w:val="single" w:sz="8" w:space="0" w:color="auto"/>
              <w:bottom w:val="single" w:sz="4" w:space="0" w:color="auto"/>
              <w:right w:val="single" w:sz="4" w:space="0" w:color="auto"/>
            </w:tcBorders>
            <w:vAlign w:val="center"/>
            <w:hideMark/>
          </w:tcPr>
          <w:p w14:paraId="3FE37E94" w14:textId="77777777" w:rsidR="003A4C20" w:rsidRPr="003A4C20" w:rsidRDefault="003A4C20" w:rsidP="003A4C20">
            <w:pPr>
              <w:spacing w:after="0" w:line="240" w:lineRule="auto"/>
              <w:rPr>
                <w:rFonts w:ascii="Aptos Narrow" w:eastAsia="Times New Roman" w:hAnsi="Aptos Narrow" w:cs="Times New Roman"/>
                <w:b/>
                <w:bCs/>
                <w:i/>
                <w:iCs/>
                <w:color w:val="auto"/>
                <w:sz w:val="16"/>
                <w:szCs w:val="16"/>
              </w:rPr>
            </w:pPr>
          </w:p>
        </w:tc>
        <w:tc>
          <w:tcPr>
            <w:tcW w:w="1460" w:type="dxa"/>
            <w:vMerge/>
            <w:tcBorders>
              <w:top w:val="nil"/>
              <w:left w:val="single" w:sz="4" w:space="0" w:color="auto"/>
              <w:bottom w:val="single" w:sz="4" w:space="0" w:color="auto"/>
              <w:right w:val="single" w:sz="4" w:space="0" w:color="auto"/>
            </w:tcBorders>
            <w:vAlign w:val="center"/>
            <w:hideMark/>
          </w:tcPr>
          <w:p w14:paraId="157BBE66"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1036" w:type="dxa"/>
            <w:vMerge/>
            <w:tcBorders>
              <w:top w:val="nil"/>
              <w:left w:val="single" w:sz="4" w:space="0" w:color="auto"/>
              <w:bottom w:val="single" w:sz="4" w:space="0" w:color="auto"/>
              <w:right w:val="single" w:sz="4" w:space="0" w:color="auto"/>
            </w:tcBorders>
            <w:vAlign w:val="center"/>
            <w:hideMark/>
          </w:tcPr>
          <w:p w14:paraId="4743FF3C"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834" w:type="dxa"/>
            <w:vMerge/>
            <w:tcBorders>
              <w:top w:val="nil"/>
              <w:left w:val="single" w:sz="4" w:space="0" w:color="auto"/>
              <w:bottom w:val="single" w:sz="4" w:space="0" w:color="auto"/>
              <w:right w:val="single" w:sz="4" w:space="0" w:color="auto"/>
            </w:tcBorders>
            <w:vAlign w:val="center"/>
            <w:hideMark/>
          </w:tcPr>
          <w:p w14:paraId="16A372C5"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834" w:type="dxa"/>
            <w:vMerge/>
            <w:tcBorders>
              <w:top w:val="nil"/>
              <w:left w:val="single" w:sz="4" w:space="0" w:color="auto"/>
              <w:bottom w:val="single" w:sz="4" w:space="0" w:color="auto"/>
              <w:right w:val="nil"/>
            </w:tcBorders>
            <w:vAlign w:val="center"/>
            <w:hideMark/>
          </w:tcPr>
          <w:p w14:paraId="1776BE78"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966" w:type="dxa"/>
            <w:vMerge/>
            <w:tcBorders>
              <w:top w:val="single" w:sz="8" w:space="0" w:color="auto"/>
              <w:left w:val="single" w:sz="8" w:space="0" w:color="auto"/>
              <w:bottom w:val="nil"/>
              <w:right w:val="single" w:sz="8" w:space="0" w:color="auto"/>
            </w:tcBorders>
            <w:vAlign w:val="center"/>
            <w:hideMark/>
          </w:tcPr>
          <w:p w14:paraId="4175BF56"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990" w:type="dxa"/>
            <w:tcBorders>
              <w:top w:val="nil"/>
              <w:left w:val="single" w:sz="8" w:space="0" w:color="auto"/>
              <w:bottom w:val="single" w:sz="4" w:space="0" w:color="auto"/>
              <w:right w:val="single" w:sz="4" w:space="0" w:color="auto"/>
            </w:tcBorders>
            <w:shd w:val="clear" w:color="000000" w:fill="DAE9F8"/>
            <w:vAlign w:val="center"/>
            <w:hideMark/>
          </w:tcPr>
          <w:p w14:paraId="5D3A137E" w14:textId="77777777" w:rsidR="003A4C20" w:rsidRPr="003A4C20" w:rsidRDefault="003A4C20" w:rsidP="003A4C20">
            <w:pPr>
              <w:spacing w:after="0" w:line="240" w:lineRule="auto"/>
              <w:jc w:val="center"/>
              <w:rPr>
                <w:rFonts w:ascii="Aptos Narrow" w:eastAsia="Times New Roman" w:hAnsi="Aptos Narrow" w:cs="Times New Roman"/>
                <w:i/>
                <w:iCs/>
                <w:color w:val="auto"/>
                <w:sz w:val="16"/>
                <w:szCs w:val="16"/>
              </w:rPr>
            </w:pPr>
            <w:r w:rsidRPr="003A4C20">
              <w:rPr>
                <w:rFonts w:ascii="Aptos Narrow" w:eastAsia="Times New Roman" w:hAnsi="Aptos Narrow" w:cs="Times New Roman"/>
                <w:i/>
                <w:iCs/>
                <w:color w:val="auto"/>
                <w:sz w:val="16"/>
                <w:szCs w:val="16"/>
              </w:rPr>
              <w:t>71400</w:t>
            </w:r>
          </w:p>
        </w:tc>
        <w:tc>
          <w:tcPr>
            <w:tcW w:w="1620" w:type="dxa"/>
            <w:tcBorders>
              <w:top w:val="nil"/>
              <w:left w:val="nil"/>
              <w:bottom w:val="single" w:sz="4" w:space="0" w:color="auto"/>
              <w:right w:val="single" w:sz="8" w:space="0" w:color="auto"/>
            </w:tcBorders>
            <w:shd w:val="clear" w:color="000000" w:fill="DAE9F8"/>
            <w:vAlign w:val="center"/>
            <w:hideMark/>
          </w:tcPr>
          <w:p w14:paraId="180AAD08"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r w:rsidRPr="003A4C20">
              <w:rPr>
                <w:rFonts w:ascii="Aptos Narrow" w:eastAsia="Times New Roman" w:hAnsi="Aptos Narrow" w:cs="Times New Roman"/>
                <w:i/>
                <w:iCs/>
                <w:color w:val="auto"/>
                <w:sz w:val="16"/>
                <w:szCs w:val="16"/>
              </w:rPr>
              <w:t>Contractual Services-Individuals</w:t>
            </w:r>
          </w:p>
        </w:tc>
        <w:tc>
          <w:tcPr>
            <w:tcW w:w="990" w:type="dxa"/>
            <w:tcBorders>
              <w:top w:val="nil"/>
              <w:left w:val="nil"/>
              <w:bottom w:val="single" w:sz="4" w:space="0" w:color="auto"/>
              <w:right w:val="single" w:sz="8" w:space="0" w:color="auto"/>
            </w:tcBorders>
            <w:shd w:val="clear" w:color="000000" w:fill="DAE9F8"/>
            <w:noWrap/>
            <w:vAlign w:val="bottom"/>
            <w:hideMark/>
          </w:tcPr>
          <w:p w14:paraId="6C9CC0BA"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25,352</w:t>
            </w:r>
          </w:p>
        </w:tc>
        <w:tc>
          <w:tcPr>
            <w:tcW w:w="990" w:type="dxa"/>
            <w:tcBorders>
              <w:top w:val="nil"/>
              <w:left w:val="nil"/>
              <w:bottom w:val="single" w:sz="4" w:space="0" w:color="auto"/>
              <w:right w:val="single" w:sz="8" w:space="0" w:color="auto"/>
            </w:tcBorders>
            <w:shd w:val="clear" w:color="000000" w:fill="DAE9F8"/>
            <w:noWrap/>
            <w:vAlign w:val="bottom"/>
            <w:hideMark/>
          </w:tcPr>
          <w:p w14:paraId="549AA1F2"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16,901</w:t>
            </w:r>
          </w:p>
        </w:tc>
        <w:tc>
          <w:tcPr>
            <w:tcW w:w="900" w:type="dxa"/>
            <w:tcBorders>
              <w:top w:val="nil"/>
              <w:left w:val="nil"/>
              <w:bottom w:val="single" w:sz="4" w:space="0" w:color="auto"/>
              <w:right w:val="single" w:sz="8" w:space="0" w:color="auto"/>
            </w:tcBorders>
            <w:shd w:val="clear" w:color="000000" w:fill="DAE9F8"/>
            <w:noWrap/>
            <w:vAlign w:val="bottom"/>
            <w:hideMark/>
          </w:tcPr>
          <w:p w14:paraId="4B439CDA"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8,450</w:t>
            </w:r>
          </w:p>
        </w:tc>
        <w:tc>
          <w:tcPr>
            <w:tcW w:w="900" w:type="dxa"/>
            <w:tcBorders>
              <w:top w:val="nil"/>
              <w:left w:val="nil"/>
              <w:bottom w:val="single" w:sz="4" w:space="0" w:color="auto"/>
              <w:right w:val="single" w:sz="8" w:space="0" w:color="auto"/>
            </w:tcBorders>
            <w:shd w:val="clear" w:color="000000" w:fill="DAE9F8"/>
            <w:noWrap/>
            <w:vAlign w:val="bottom"/>
            <w:hideMark/>
          </w:tcPr>
          <w:p w14:paraId="7BE52C29"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8,450</w:t>
            </w:r>
          </w:p>
        </w:tc>
        <w:tc>
          <w:tcPr>
            <w:tcW w:w="990" w:type="dxa"/>
            <w:tcBorders>
              <w:top w:val="single" w:sz="8" w:space="0" w:color="auto"/>
              <w:left w:val="nil"/>
              <w:bottom w:val="single" w:sz="4" w:space="0" w:color="auto"/>
              <w:right w:val="single" w:sz="8" w:space="0" w:color="auto"/>
            </w:tcBorders>
            <w:shd w:val="clear" w:color="000000" w:fill="DAE9F8"/>
            <w:noWrap/>
            <w:vAlign w:val="bottom"/>
            <w:hideMark/>
          </w:tcPr>
          <w:p w14:paraId="21DC205A"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59,153</w:t>
            </w:r>
          </w:p>
        </w:tc>
        <w:tc>
          <w:tcPr>
            <w:tcW w:w="720" w:type="dxa"/>
            <w:tcBorders>
              <w:top w:val="nil"/>
              <w:left w:val="nil"/>
              <w:bottom w:val="single" w:sz="4" w:space="0" w:color="auto"/>
              <w:right w:val="single" w:sz="8" w:space="0" w:color="auto"/>
            </w:tcBorders>
            <w:shd w:val="clear" w:color="000000" w:fill="DAE9F8"/>
            <w:noWrap/>
            <w:vAlign w:val="center"/>
            <w:hideMark/>
          </w:tcPr>
          <w:p w14:paraId="14D1CF20" w14:textId="77777777" w:rsidR="003A4C20" w:rsidRPr="003A4C20" w:rsidRDefault="003A4C20" w:rsidP="003A4C20">
            <w:pPr>
              <w:spacing w:after="0" w:line="240" w:lineRule="auto"/>
              <w:jc w:val="center"/>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18</w:t>
            </w:r>
          </w:p>
        </w:tc>
      </w:tr>
      <w:tr w:rsidR="00773071" w:rsidRPr="003A4C20" w14:paraId="0536B5F6" w14:textId="77777777" w:rsidTr="00773071">
        <w:trPr>
          <w:trHeight w:val="640"/>
        </w:trPr>
        <w:tc>
          <w:tcPr>
            <w:tcW w:w="1250" w:type="dxa"/>
            <w:vMerge/>
            <w:tcBorders>
              <w:top w:val="nil"/>
              <w:left w:val="single" w:sz="8" w:space="0" w:color="auto"/>
              <w:bottom w:val="single" w:sz="4" w:space="0" w:color="auto"/>
              <w:right w:val="single" w:sz="4" w:space="0" w:color="auto"/>
            </w:tcBorders>
            <w:vAlign w:val="center"/>
            <w:hideMark/>
          </w:tcPr>
          <w:p w14:paraId="3A3BB0F4" w14:textId="77777777" w:rsidR="003A4C20" w:rsidRPr="003A4C20" w:rsidRDefault="003A4C20" w:rsidP="003A4C20">
            <w:pPr>
              <w:spacing w:after="0" w:line="240" w:lineRule="auto"/>
              <w:rPr>
                <w:rFonts w:ascii="Aptos Narrow" w:eastAsia="Times New Roman" w:hAnsi="Aptos Narrow" w:cs="Times New Roman"/>
                <w:b/>
                <w:bCs/>
                <w:i/>
                <w:iCs/>
                <w:color w:val="auto"/>
                <w:sz w:val="16"/>
                <w:szCs w:val="16"/>
              </w:rPr>
            </w:pPr>
          </w:p>
        </w:tc>
        <w:tc>
          <w:tcPr>
            <w:tcW w:w="1460" w:type="dxa"/>
            <w:vMerge/>
            <w:tcBorders>
              <w:top w:val="nil"/>
              <w:left w:val="single" w:sz="4" w:space="0" w:color="auto"/>
              <w:bottom w:val="single" w:sz="4" w:space="0" w:color="auto"/>
              <w:right w:val="single" w:sz="4" w:space="0" w:color="auto"/>
            </w:tcBorders>
            <w:vAlign w:val="center"/>
            <w:hideMark/>
          </w:tcPr>
          <w:p w14:paraId="1F0049A0"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1036" w:type="dxa"/>
            <w:vMerge/>
            <w:tcBorders>
              <w:top w:val="nil"/>
              <w:left w:val="single" w:sz="4" w:space="0" w:color="auto"/>
              <w:bottom w:val="single" w:sz="4" w:space="0" w:color="auto"/>
              <w:right w:val="single" w:sz="4" w:space="0" w:color="auto"/>
            </w:tcBorders>
            <w:vAlign w:val="center"/>
            <w:hideMark/>
          </w:tcPr>
          <w:p w14:paraId="69152F74"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834" w:type="dxa"/>
            <w:vMerge/>
            <w:tcBorders>
              <w:top w:val="nil"/>
              <w:left w:val="single" w:sz="4" w:space="0" w:color="auto"/>
              <w:bottom w:val="single" w:sz="4" w:space="0" w:color="auto"/>
              <w:right w:val="single" w:sz="4" w:space="0" w:color="auto"/>
            </w:tcBorders>
            <w:vAlign w:val="center"/>
            <w:hideMark/>
          </w:tcPr>
          <w:p w14:paraId="6CCA550C"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834" w:type="dxa"/>
            <w:vMerge/>
            <w:tcBorders>
              <w:top w:val="nil"/>
              <w:left w:val="single" w:sz="4" w:space="0" w:color="auto"/>
              <w:bottom w:val="single" w:sz="4" w:space="0" w:color="auto"/>
              <w:right w:val="nil"/>
            </w:tcBorders>
            <w:vAlign w:val="center"/>
            <w:hideMark/>
          </w:tcPr>
          <w:p w14:paraId="292D9A62"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966" w:type="dxa"/>
            <w:vMerge/>
            <w:tcBorders>
              <w:top w:val="single" w:sz="8" w:space="0" w:color="auto"/>
              <w:left w:val="single" w:sz="8" w:space="0" w:color="auto"/>
              <w:bottom w:val="nil"/>
              <w:right w:val="single" w:sz="8" w:space="0" w:color="auto"/>
            </w:tcBorders>
            <w:vAlign w:val="center"/>
            <w:hideMark/>
          </w:tcPr>
          <w:p w14:paraId="5588602A"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990" w:type="dxa"/>
            <w:tcBorders>
              <w:top w:val="nil"/>
              <w:left w:val="single" w:sz="8" w:space="0" w:color="auto"/>
              <w:bottom w:val="nil"/>
              <w:right w:val="single" w:sz="4" w:space="0" w:color="auto"/>
            </w:tcBorders>
            <w:shd w:val="clear" w:color="000000" w:fill="DAE9F8"/>
            <w:noWrap/>
            <w:vAlign w:val="center"/>
            <w:hideMark/>
          </w:tcPr>
          <w:p w14:paraId="6BDE1ECB" w14:textId="77777777" w:rsidR="003A4C20" w:rsidRPr="003A4C20" w:rsidRDefault="003A4C20" w:rsidP="003A4C20">
            <w:pPr>
              <w:spacing w:after="0" w:line="240" w:lineRule="auto"/>
              <w:jc w:val="center"/>
              <w:rPr>
                <w:rFonts w:ascii="Aptos Narrow" w:eastAsia="Times New Roman" w:hAnsi="Aptos Narrow" w:cs="Times New Roman"/>
                <w:i/>
                <w:iCs/>
                <w:color w:val="auto"/>
                <w:sz w:val="16"/>
                <w:szCs w:val="16"/>
              </w:rPr>
            </w:pPr>
            <w:r w:rsidRPr="003A4C20">
              <w:rPr>
                <w:rFonts w:ascii="Aptos Narrow" w:eastAsia="Times New Roman" w:hAnsi="Aptos Narrow" w:cs="Times New Roman"/>
                <w:i/>
                <w:iCs/>
                <w:color w:val="auto"/>
                <w:sz w:val="16"/>
                <w:szCs w:val="16"/>
              </w:rPr>
              <w:t>75700</w:t>
            </w:r>
          </w:p>
        </w:tc>
        <w:tc>
          <w:tcPr>
            <w:tcW w:w="1620" w:type="dxa"/>
            <w:tcBorders>
              <w:top w:val="nil"/>
              <w:left w:val="nil"/>
              <w:bottom w:val="nil"/>
              <w:right w:val="single" w:sz="8" w:space="0" w:color="auto"/>
            </w:tcBorders>
            <w:shd w:val="clear" w:color="000000" w:fill="DAE9F8"/>
            <w:vAlign w:val="center"/>
            <w:hideMark/>
          </w:tcPr>
          <w:p w14:paraId="43505565"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r w:rsidRPr="003A4C20">
              <w:rPr>
                <w:rFonts w:ascii="Aptos Narrow" w:eastAsia="Times New Roman" w:hAnsi="Aptos Narrow" w:cs="Times New Roman"/>
                <w:i/>
                <w:iCs/>
                <w:color w:val="auto"/>
                <w:sz w:val="16"/>
                <w:szCs w:val="16"/>
              </w:rPr>
              <w:t>Training, Workshops and Confer</w:t>
            </w:r>
          </w:p>
        </w:tc>
        <w:tc>
          <w:tcPr>
            <w:tcW w:w="990" w:type="dxa"/>
            <w:tcBorders>
              <w:top w:val="nil"/>
              <w:left w:val="nil"/>
              <w:bottom w:val="single" w:sz="8" w:space="0" w:color="auto"/>
              <w:right w:val="single" w:sz="8" w:space="0" w:color="auto"/>
            </w:tcBorders>
            <w:shd w:val="clear" w:color="000000" w:fill="DAE9F8"/>
            <w:noWrap/>
            <w:vAlign w:val="bottom"/>
            <w:hideMark/>
          </w:tcPr>
          <w:p w14:paraId="7BE8E312"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0</w:t>
            </w:r>
          </w:p>
        </w:tc>
        <w:tc>
          <w:tcPr>
            <w:tcW w:w="990" w:type="dxa"/>
            <w:tcBorders>
              <w:top w:val="nil"/>
              <w:left w:val="nil"/>
              <w:bottom w:val="single" w:sz="8" w:space="0" w:color="auto"/>
              <w:right w:val="single" w:sz="8" w:space="0" w:color="auto"/>
            </w:tcBorders>
            <w:shd w:val="clear" w:color="000000" w:fill="DAE9F8"/>
            <w:noWrap/>
            <w:vAlign w:val="bottom"/>
            <w:hideMark/>
          </w:tcPr>
          <w:p w14:paraId="305C3282"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0</w:t>
            </w:r>
          </w:p>
        </w:tc>
        <w:tc>
          <w:tcPr>
            <w:tcW w:w="900" w:type="dxa"/>
            <w:tcBorders>
              <w:top w:val="nil"/>
              <w:left w:val="nil"/>
              <w:bottom w:val="single" w:sz="8" w:space="0" w:color="auto"/>
              <w:right w:val="single" w:sz="8" w:space="0" w:color="auto"/>
            </w:tcBorders>
            <w:shd w:val="clear" w:color="000000" w:fill="DAE9F8"/>
            <w:noWrap/>
            <w:vAlign w:val="bottom"/>
            <w:hideMark/>
          </w:tcPr>
          <w:p w14:paraId="5C0A8090"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0</w:t>
            </w:r>
          </w:p>
        </w:tc>
        <w:tc>
          <w:tcPr>
            <w:tcW w:w="900" w:type="dxa"/>
            <w:tcBorders>
              <w:top w:val="nil"/>
              <w:left w:val="nil"/>
              <w:bottom w:val="single" w:sz="8" w:space="0" w:color="auto"/>
              <w:right w:val="single" w:sz="8" w:space="0" w:color="auto"/>
            </w:tcBorders>
            <w:shd w:val="clear" w:color="000000" w:fill="DAE9F8"/>
            <w:noWrap/>
            <w:vAlign w:val="bottom"/>
            <w:hideMark/>
          </w:tcPr>
          <w:p w14:paraId="19F2FE44"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50,000</w:t>
            </w:r>
          </w:p>
        </w:tc>
        <w:tc>
          <w:tcPr>
            <w:tcW w:w="990" w:type="dxa"/>
            <w:tcBorders>
              <w:top w:val="single" w:sz="8" w:space="0" w:color="auto"/>
              <w:left w:val="nil"/>
              <w:bottom w:val="single" w:sz="4" w:space="0" w:color="auto"/>
              <w:right w:val="single" w:sz="8" w:space="0" w:color="auto"/>
            </w:tcBorders>
            <w:shd w:val="clear" w:color="000000" w:fill="DAE9F8"/>
            <w:noWrap/>
            <w:vAlign w:val="bottom"/>
            <w:hideMark/>
          </w:tcPr>
          <w:p w14:paraId="1A11240A"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50,000</w:t>
            </w:r>
          </w:p>
        </w:tc>
        <w:tc>
          <w:tcPr>
            <w:tcW w:w="720" w:type="dxa"/>
            <w:tcBorders>
              <w:top w:val="nil"/>
              <w:left w:val="nil"/>
              <w:bottom w:val="single" w:sz="8" w:space="0" w:color="auto"/>
              <w:right w:val="single" w:sz="8" w:space="0" w:color="auto"/>
            </w:tcBorders>
            <w:shd w:val="clear" w:color="000000" w:fill="DAE9F8"/>
            <w:noWrap/>
            <w:vAlign w:val="center"/>
            <w:hideMark/>
          </w:tcPr>
          <w:p w14:paraId="1EA042FD" w14:textId="77777777" w:rsidR="003A4C20" w:rsidRPr="003A4C20" w:rsidRDefault="003A4C20" w:rsidP="003A4C20">
            <w:pPr>
              <w:spacing w:after="0" w:line="240" w:lineRule="auto"/>
              <w:jc w:val="center"/>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19</w:t>
            </w:r>
          </w:p>
        </w:tc>
      </w:tr>
      <w:tr w:rsidR="006E140E" w:rsidRPr="003A4C20" w14:paraId="3794BF33" w14:textId="77777777" w:rsidTr="00773071">
        <w:trPr>
          <w:trHeight w:val="300"/>
        </w:trPr>
        <w:tc>
          <w:tcPr>
            <w:tcW w:w="8990" w:type="dxa"/>
            <w:gridSpan w:val="8"/>
            <w:tcBorders>
              <w:top w:val="single" w:sz="8" w:space="0" w:color="auto"/>
              <w:left w:val="single" w:sz="8" w:space="0" w:color="auto"/>
              <w:bottom w:val="single" w:sz="8" w:space="0" w:color="auto"/>
              <w:right w:val="single" w:sz="8" w:space="0" w:color="000000"/>
            </w:tcBorders>
            <w:shd w:val="clear" w:color="000000" w:fill="808080"/>
            <w:vAlign w:val="center"/>
            <w:hideMark/>
          </w:tcPr>
          <w:p w14:paraId="1EEF4DE0" w14:textId="77777777" w:rsidR="003A4C20" w:rsidRPr="003A4C20" w:rsidRDefault="003A4C20" w:rsidP="003A4C20">
            <w:pPr>
              <w:spacing w:after="0" w:line="240" w:lineRule="auto"/>
              <w:rPr>
                <w:rFonts w:ascii="Aptos Narrow" w:eastAsia="Times New Roman" w:hAnsi="Aptos Narrow" w:cs="Times New Roman"/>
                <w:b/>
                <w:bCs/>
                <w:i/>
                <w:iCs/>
                <w:color w:val="FFFFFF"/>
                <w:sz w:val="16"/>
                <w:szCs w:val="16"/>
              </w:rPr>
            </w:pPr>
            <w:r w:rsidRPr="003A4C20">
              <w:rPr>
                <w:rFonts w:ascii="Aptos Narrow" w:eastAsia="Times New Roman" w:hAnsi="Aptos Narrow" w:cs="Times New Roman"/>
                <w:b/>
                <w:bCs/>
                <w:i/>
                <w:iCs/>
                <w:color w:val="FFFFFF"/>
                <w:sz w:val="16"/>
                <w:szCs w:val="16"/>
              </w:rPr>
              <w:t>Total Component 3</w:t>
            </w:r>
          </w:p>
        </w:tc>
        <w:tc>
          <w:tcPr>
            <w:tcW w:w="990" w:type="dxa"/>
            <w:tcBorders>
              <w:top w:val="single" w:sz="4" w:space="0" w:color="auto"/>
              <w:left w:val="nil"/>
              <w:bottom w:val="single" w:sz="8" w:space="0" w:color="auto"/>
              <w:right w:val="single" w:sz="8" w:space="0" w:color="auto"/>
            </w:tcBorders>
            <w:shd w:val="clear" w:color="000000" w:fill="808080"/>
            <w:noWrap/>
            <w:vAlign w:val="bottom"/>
            <w:hideMark/>
          </w:tcPr>
          <w:p w14:paraId="5D8B43FE" w14:textId="77777777" w:rsidR="003A4C20" w:rsidRPr="003A4C20" w:rsidRDefault="003A4C20" w:rsidP="003A4C20">
            <w:pPr>
              <w:spacing w:after="0" w:line="240" w:lineRule="auto"/>
              <w:jc w:val="right"/>
              <w:rPr>
                <w:rFonts w:ascii="Aptos Narrow" w:eastAsia="Times New Roman" w:hAnsi="Aptos Narrow" w:cs="Times New Roman"/>
                <w:b/>
                <w:bCs/>
                <w:color w:val="FFFFFF"/>
                <w:sz w:val="16"/>
                <w:szCs w:val="16"/>
              </w:rPr>
            </w:pPr>
            <w:r w:rsidRPr="003A4C20">
              <w:rPr>
                <w:rFonts w:ascii="Aptos Narrow" w:eastAsia="Times New Roman" w:hAnsi="Aptos Narrow" w:cs="Times New Roman"/>
                <w:b/>
                <w:bCs/>
                <w:color w:val="FFFFFF"/>
                <w:sz w:val="16"/>
                <w:szCs w:val="16"/>
              </w:rPr>
              <w:t>195,252</w:t>
            </w:r>
          </w:p>
        </w:tc>
        <w:tc>
          <w:tcPr>
            <w:tcW w:w="990" w:type="dxa"/>
            <w:tcBorders>
              <w:top w:val="single" w:sz="4" w:space="0" w:color="auto"/>
              <w:left w:val="nil"/>
              <w:bottom w:val="single" w:sz="8" w:space="0" w:color="auto"/>
              <w:right w:val="single" w:sz="8" w:space="0" w:color="auto"/>
            </w:tcBorders>
            <w:shd w:val="clear" w:color="000000" w:fill="808080"/>
            <w:noWrap/>
            <w:vAlign w:val="bottom"/>
            <w:hideMark/>
          </w:tcPr>
          <w:p w14:paraId="42BC5B43" w14:textId="77777777" w:rsidR="003A4C20" w:rsidRPr="003A4C20" w:rsidRDefault="003A4C20" w:rsidP="003A4C20">
            <w:pPr>
              <w:spacing w:after="0" w:line="240" w:lineRule="auto"/>
              <w:jc w:val="right"/>
              <w:rPr>
                <w:rFonts w:ascii="Aptos Narrow" w:eastAsia="Times New Roman" w:hAnsi="Aptos Narrow" w:cs="Times New Roman"/>
                <w:b/>
                <w:bCs/>
                <w:color w:val="FFFFFF"/>
                <w:sz w:val="16"/>
                <w:szCs w:val="16"/>
              </w:rPr>
            </w:pPr>
            <w:r w:rsidRPr="003A4C20">
              <w:rPr>
                <w:rFonts w:ascii="Aptos Narrow" w:eastAsia="Times New Roman" w:hAnsi="Aptos Narrow" w:cs="Times New Roman"/>
                <w:b/>
                <w:bCs/>
                <w:color w:val="FFFFFF"/>
                <w:sz w:val="16"/>
                <w:szCs w:val="16"/>
              </w:rPr>
              <w:t>150,172</w:t>
            </w:r>
          </w:p>
        </w:tc>
        <w:tc>
          <w:tcPr>
            <w:tcW w:w="900" w:type="dxa"/>
            <w:tcBorders>
              <w:top w:val="single" w:sz="4" w:space="0" w:color="auto"/>
              <w:left w:val="nil"/>
              <w:bottom w:val="single" w:sz="8" w:space="0" w:color="auto"/>
              <w:right w:val="single" w:sz="8" w:space="0" w:color="auto"/>
            </w:tcBorders>
            <w:shd w:val="clear" w:color="000000" w:fill="808080"/>
            <w:noWrap/>
            <w:vAlign w:val="bottom"/>
            <w:hideMark/>
          </w:tcPr>
          <w:p w14:paraId="4F05FA12" w14:textId="77777777" w:rsidR="003A4C20" w:rsidRPr="003A4C20" w:rsidRDefault="003A4C20" w:rsidP="003A4C20">
            <w:pPr>
              <w:spacing w:after="0" w:line="240" w:lineRule="auto"/>
              <w:jc w:val="right"/>
              <w:rPr>
                <w:rFonts w:ascii="Aptos Narrow" w:eastAsia="Times New Roman" w:hAnsi="Aptos Narrow" w:cs="Times New Roman"/>
                <w:b/>
                <w:bCs/>
                <w:color w:val="FFFFFF"/>
                <w:sz w:val="16"/>
                <w:szCs w:val="16"/>
              </w:rPr>
            </w:pPr>
            <w:r w:rsidRPr="003A4C20">
              <w:rPr>
                <w:rFonts w:ascii="Aptos Narrow" w:eastAsia="Times New Roman" w:hAnsi="Aptos Narrow" w:cs="Times New Roman"/>
                <w:b/>
                <w:bCs/>
                <w:color w:val="FFFFFF"/>
                <w:sz w:val="16"/>
                <w:szCs w:val="16"/>
              </w:rPr>
              <w:t>131,011</w:t>
            </w:r>
          </w:p>
        </w:tc>
        <w:tc>
          <w:tcPr>
            <w:tcW w:w="900" w:type="dxa"/>
            <w:tcBorders>
              <w:top w:val="single" w:sz="4" w:space="0" w:color="auto"/>
              <w:left w:val="nil"/>
              <w:bottom w:val="single" w:sz="8" w:space="0" w:color="auto"/>
              <w:right w:val="single" w:sz="8" w:space="0" w:color="auto"/>
            </w:tcBorders>
            <w:shd w:val="clear" w:color="000000" w:fill="808080"/>
            <w:noWrap/>
            <w:vAlign w:val="bottom"/>
            <w:hideMark/>
          </w:tcPr>
          <w:p w14:paraId="3357717C" w14:textId="77777777" w:rsidR="003A4C20" w:rsidRPr="003A4C20" w:rsidRDefault="003A4C20" w:rsidP="003A4C20">
            <w:pPr>
              <w:spacing w:after="0" w:line="240" w:lineRule="auto"/>
              <w:jc w:val="right"/>
              <w:rPr>
                <w:rFonts w:ascii="Aptos Narrow" w:eastAsia="Times New Roman" w:hAnsi="Aptos Narrow" w:cs="Times New Roman"/>
                <w:b/>
                <w:bCs/>
                <w:color w:val="FFFFFF"/>
                <w:sz w:val="16"/>
                <w:szCs w:val="16"/>
              </w:rPr>
            </w:pPr>
            <w:r w:rsidRPr="003A4C20">
              <w:rPr>
                <w:rFonts w:ascii="Aptos Narrow" w:eastAsia="Times New Roman" w:hAnsi="Aptos Narrow" w:cs="Times New Roman"/>
                <w:b/>
                <w:bCs/>
                <w:color w:val="FFFFFF"/>
                <w:sz w:val="16"/>
                <w:szCs w:val="16"/>
              </w:rPr>
              <w:t>161,811</w:t>
            </w:r>
          </w:p>
        </w:tc>
        <w:tc>
          <w:tcPr>
            <w:tcW w:w="990" w:type="dxa"/>
            <w:tcBorders>
              <w:top w:val="nil"/>
              <w:left w:val="nil"/>
              <w:bottom w:val="single" w:sz="8" w:space="0" w:color="auto"/>
              <w:right w:val="single" w:sz="8" w:space="0" w:color="auto"/>
            </w:tcBorders>
            <w:shd w:val="clear" w:color="000000" w:fill="808080"/>
            <w:noWrap/>
            <w:vAlign w:val="bottom"/>
            <w:hideMark/>
          </w:tcPr>
          <w:p w14:paraId="3CA97FEF" w14:textId="77777777" w:rsidR="003A4C20" w:rsidRPr="003A4C20" w:rsidRDefault="003A4C20" w:rsidP="003A4C20">
            <w:pPr>
              <w:spacing w:after="0" w:line="240" w:lineRule="auto"/>
              <w:jc w:val="right"/>
              <w:rPr>
                <w:rFonts w:ascii="Aptos Narrow" w:eastAsia="Times New Roman" w:hAnsi="Aptos Narrow" w:cs="Times New Roman"/>
                <w:b/>
                <w:bCs/>
                <w:color w:val="FFFFFF"/>
                <w:sz w:val="16"/>
                <w:szCs w:val="16"/>
              </w:rPr>
            </w:pPr>
            <w:r w:rsidRPr="003A4C20">
              <w:rPr>
                <w:rFonts w:ascii="Aptos Narrow" w:eastAsia="Times New Roman" w:hAnsi="Aptos Narrow" w:cs="Times New Roman"/>
                <w:b/>
                <w:bCs/>
                <w:color w:val="FFFFFF"/>
                <w:sz w:val="16"/>
                <w:szCs w:val="16"/>
              </w:rPr>
              <w:t>638,246</w:t>
            </w:r>
          </w:p>
        </w:tc>
        <w:tc>
          <w:tcPr>
            <w:tcW w:w="720" w:type="dxa"/>
            <w:tcBorders>
              <w:top w:val="single" w:sz="4" w:space="0" w:color="auto"/>
              <w:left w:val="nil"/>
              <w:bottom w:val="single" w:sz="8" w:space="0" w:color="auto"/>
              <w:right w:val="single" w:sz="8" w:space="0" w:color="auto"/>
            </w:tcBorders>
            <w:shd w:val="clear" w:color="000000" w:fill="808080"/>
            <w:noWrap/>
            <w:vAlign w:val="center"/>
            <w:hideMark/>
          </w:tcPr>
          <w:p w14:paraId="4D9DBE27" w14:textId="77777777" w:rsidR="003A4C20" w:rsidRPr="003A4C20" w:rsidRDefault="003A4C20" w:rsidP="003A4C20">
            <w:pPr>
              <w:spacing w:after="0" w:line="240" w:lineRule="auto"/>
              <w:jc w:val="center"/>
              <w:rPr>
                <w:rFonts w:ascii="Aptos Narrow" w:eastAsia="Times New Roman" w:hAnsi="Aptos Narrow" w:cs="Times New Roman"/>
                <w:color w:val="FFFFFF"/>
                <w:sz w:val="16"/>
                <w:szCs w:val="16"/>
              </w:rPr>
            </w:pPr>
            <w:r w:rsidRPr="003A4C20">
              <w:rPr>
                <w:rFonts w:ascii="Aptos Narrow" w:eastAsia="Times New Roman" w:hAnsi="Aptos Narrow" w:cs="Times New Roman"/>
                <w:color w:val="FFFFFF"/>
                <w:sz w:val="16"/>
                <w:szCs w:val="16"/>
              </w:rPr>
              <w:t> </w:t>
            </w:r>
          </w:p>
        </w:tc>
      </w:tr>
      <w:tr w:rsidR="00773071" w:rsidRPr="003A4C20" w14:paraId="27061B86" w14:textId="77777777" w:rsidTr="00773071">
        <w:trPr>
          <w:trHeight w:val="300"/>
        </w:trPr>
        <w:tc>
          <w:tcPr>
            <w:tcW w:w="1250" w:type="dxa"/>
            <w:vMerge w:val="restart"/>
            <w:tcBorders>
              <w:top w:val="nil"/>
              <w:left w:val="single" w:sz="8" w:space="0" w:color="auto"/>
              <w:bottom w:val="single" w:sz="4" w:space="0" w:color="auto"/>
              <w:right w:val="single" w:sz="4" w:space="0" w:color="auto"/>
            </w:tcBorders>
            <w:vAlign w:val="center"/>
            <w:hideMark/>
          </w:tcPr>
          <w:p w14:paraId="6077E9FB" w14:textId="77777777" w:rsidR="003A4C20" w:rsidRPr="003A4C20" w:rsidRDefault="003A4C20" w:rsidP="003A4C20">
            <w:pPr>
              <w:spacing w:after="0" w:line="240" w:lineRule="auto"/>
              <w:jc w:val="center"/>
              <w:rPr>
                <w:rFonts w:ascii="Aptos Narrow" w:eastAsia="Times New Roman" w:hAnsi="Aptos Narrow" w:cs="Times New Roman"/>
                <w:b/>
                <w:bCs/>
                <w:i/>
                <w:iCs/>
                <w:color w:val="auto"/>
                <w:sz w:val="16"/>
                <w:szCs w:val="16"/>
              </w:rPr>
            </w:pPr>
            <w:r w:rsidRPr="003A4C20">
              <w:rPr>
                <w:rFonts w:ascii="Aptos Narrow" w:eastAsia="Times New Roman" w:hAnsi="Aptos Narrow" w:cs="Times New Roman"/>
                <w:b/>
                <w:bCs/>
                <w:i/>
                <w:iCs/>
                <w:color w:val="auto"/>
                <w:sz w:val="16"/>
                <w:szCs w:val="16"/>
              </w:rPr>
              <w:t>Project Execution Costs</w:t>
            </w:r>
          </w:p>
        </w:tc>
        <w:tc>
          <w:tcPr>
            <w:tcW w:w="1460" w:type="dxa"/>
            <w:vMerge w:val="restart"/>
            <w:tcBorders>
              <w:top w:val="nil"/>
              <w:left w:val="single" w:sz="4" w:space="0" w:color="auto"/>
              <w:bottom w:val="single" w:sz="4" w:space="0" w:color="auto"/>
              <w:right w:val="single" w:sz="4" w:space="0" w:color="auto"/>
            </w:tcBorders>
            <w:vAlign w:val="center"/>
            <w:hideMark/>
          </w:tcPr>
          <w:p w14:paraId="735835F2" w14:textId="77777777" w:rsidR="003A4C20" w:rsidRPr="003A4C20" w:rsidRDefault="003A4C20" w:rsidP="003A4C20">
            <w:pPr>
              <w:spacing w:after="0" w:line="240" w:lineRule="auto"/>
              <w:jc w:val="center"/>
              <w:rPr>
                <w:rFonts w:ascii="Aptos Narrow" w:eastAsia="Times New Roman" w:hAnsi="Aptos Narrow" w:cs="Times New Roman"/>
                <w:i/>
                <w:iCs/>
                <w:color w:val="auto"/>
                <w:sz w:val="16"/>
                <w:szCs w:val="16"/>
              </w:rPr>
            </w:pPr>
            <w:r w:rsidRPr="003A4C20">
              <w:rPr>
                <w:rFonts w:ascii="Aptos Narrow" w:eastAsia="Times New Roman" w:hAnsi="Aptos Narrow" w:cs="Times New Roman"/>
                <w:i/>
                <w:iCs/>
                <w:color w:val="auto"/>
                <w:sz w:val="16"/>
                <w:szCs w:val="16"/>
              </w:rPr>
              <w:t>Project Management Cost (PMC)</w:t>
            </w:r>
          </w:p>
        </w:tc>
        <w:tc>
          <w:tcPr>
            <w:tcW w:w="1036" w:type="dxa"/>
            <w:vMerge w:val="restart"/>
            <w:tcBorders>
              <w:top w:val="nil"/>
              <w:left w:val="single" w:sz="4" w:space="0" w:color="auto"/>
              <w:bottom w:val="nil"/>
              <w:right w:val="single" w:sz="4" w:space="0" w:color="auto"/>
            </w:tcBorders>
            <w:vAlign w:val="center"/>
            <w:hideMark/>
          </w:tcPr>
          <w:p w14:paraId="1A1A771B" w14:textId="77777777" w:rsidR="003A4C20" w:rsidRPr="003A4C20" w:rsidRDefault="003A4C20" w:rsidP="003A4C20">
            <w:pPr>
              <w:spacing w:after="0" w:line="240" w:lineRule="auto"/>
              <w:jc w:val="center"/>
              <w:rPr>
                <w:rFonts w:ascii="Aptos Narrow" w:eastAsia="Times New Roman" w:hAnsi="Aptos Narrow" w:cs="Times New Roman"/>
                <w:i/>
                <w:iCs/>
                <w:color w:val="auto"/>
                <w:sz w:val="16"/>
                <w:szCs w:val="16"/>
              </w:rPr>
            </w:pPr>
            <w:r w:rsidRPr="003A4C20">
              <w:rPr>
                <w:rFonts w:ascii="Aptos Narrow" w:eastAsia="Times New Roman" w:hAnsi="Aptos Narrow" w:cs="Times New Roman"/>
                <w:i/>
                <w:iCs/>
                <w:color w:val="auto"/>
                <w:sz w:val="16"/>
                <w:szCs w:val="16"/>
              </w:rPr>
              <w:t>UNDP</w:t>
            </w:r>
          </w:p>
        </w:tc>
        <w:tc>
          <w:tcPr>
            <w:tcW w:w="834" w:type="dxa"/>
            <w:vMerge w:val="restart"/>
            <w:tcBorders>
              <w:top w:val="nil"/>
              <w:left w:val="single" w:sz="4" w:space="0" w:color="auto"/>
              <w:bottom w:val="nil"/>
              <w:right w:val="single" w:sz="4" w:space="0" w:color="auto"/>
            </w:tcBorders>
            <w:noWrap/>
            <w:vAlign w:val="center"/>
            <w:hideMark/>
          </w:tcPr>
          <w:p w14:paraId="045819C2" w14:textId="77777777" w:rsidR="003A4C20" w:rsidRPr="003A4C20" w:rsidRDefault="003A4C20" w:rsidP="003A4C20">
            <w:pPr>
              <w:spacing w:after="0" w:line="240" w:lineRule="auto"/>
              <w:jc w:val="center"/>
              <w:rPr>
                <w:rFonts w:ascii="Aptos Narrow" w:eastAsia="Times New Roman" w:hAnsi="Aptos Narrow" w:cs="Times New Roman"/>
                <w:i/>
                <w:iCs/>
                <w:color w:val="auto"/>
                <w:sz w:val="16"/>
                <w:szCs w:val="16"/>
              </w:rPr>
            </w:pPr>
            <w:r w:rsidRPr="003A4C20">
              <w:rPr>
                <w:rFonts w:ascii="Aptos Narrow" w:eastAsia="Times New Roman" w:hAnsi="Aptos Narrow" w:cs="Times New Roman"/>
                <w:i/>
                <w:iCs/>
                <w:color w:val="auto"/>
                <w:sz w:val="16"/>
                <w:szCs w:val="16"/>
              </w:rPr>
              <w:t>62000</w:t>
            </w:r>
          </w:p>
        </w:tc>
        <w:tc>
          <w:tcPr>
            <w:tcW w:w="834" w:type="dxa"/>
            <w:vMerge w:val="restart"/>
            <w:tcBorders>
              <w:top w:val="nil"/>
              <w:left w:val="single" w:sz="4" w:space="0" w:color="auto"/>
              <w:bottom w:val="nil"/>
              <w:right w:val="nil"/>
            </w:tcBorders>
            <w:vAlign w:val="center"/>
            <w:hideMark/>
          </w:tcPr>
          <w:p w14:paraId="42E0DDE0" w14:textId="77777777" w:rsidR="003A4C20" w:rsidRPr="003A4C20" w:rsidRDefault="003A4C20" w:rsidP="003A4C20">
            <w:pPr>
              <w:spacing w:after="0" w:line="240" w:lineRule="auto"/>
              <w:jc w:val="center"/>
              <w:rPr>
                <w:rFonts w:ascii="Aptos Narrow" w:eastAsia="Times New Roman" w:hAnsi="Aptos Narrow" w:cs="Times New Roman"/>
                <w:i/>
                <w:iCs/>
                <w:color w:val="auto"/>
                <w:sz w:val="16"/>
                <w:szCs w:val="16"/>
              </w:rPr>
            </w:pPr>
            <w:r w:rsidRPr="003A4C20">
              <w:rPr>
                <w:rFonts w:ascii="Aptos Narrow" w:eastAsia="Times New Roman" w:hAnsi="Aptos Narrow" w:cs="Times New Roman"/>
                <w:i/>
                <w:iCs/>
                <w:color w:val="auto"/>
                <w:sz w:val="16"/>
                <w:szCs w:val="16"/>
              </w:rPr>
              <w:t>011602</w:t>
            </w:r>
          </w:p>
        </w:tc>
        <w:tc>
          <w:tcPr>
            <w:tcW w:w="966" w:type="dxa"/>
            <w:vMerge w:val="restart"/>
            <w:tcBorders>
              <w:top w:val="nil"/>
              <w:left w:val="single" w:sz="8" w:space="0" w:color="auto"/>
              <w:bottom w:val="nil"/>
              <w:right w:val="single" w:sz="8" w:space="0" w:color="auto"/>
            </w:tcBorders>
            <w:shd w:val="clear" w:color="000000" w:fill="DAE9F8"/>
            <w:vAlign w:val="center"/>
            <w:hideMark/>
          </w:tcPr>
          <w:p w14:paraId="47ACAF45" w14:textId="77777777" w:rsidR="003A4C20" w:rsidRPr="003A4C20" w:rsidRDefault="003A4C20" w:rsidP="003A4C20">
            <w:pPr>
              <w:spacing w:after="0" w:line="240" w:lineRule="auto"/>
              <w:jc w:val="center"/>
              <w:rPr>
                <w:rFonts w:ascii="Aptos Narrow" w:eastAsia="Times New Roman" w:hAnsi="Aptos Narrow" w:cs="Times New Roman"/>
                <w:i/>
                <w:iCs/>
                <w:color w:val="auto"/>
                <w:sz w:val="16"/>
                <w:szCs w:val="16"/>
              </w:rPr>
            </w:pPr>
            <w:r w:rsidRPr="003A4C20">
              <w:rPr>
                <w:rFonts w:ascii="Aptos Narrow" w:eastAsia="Times New Roman" w:hAnsi="Aptos Narrow" w:cs="Times New Roman"/>
                <w:i/>
                <w:iCs/>
                <w:color w:val="auto"/>
                <w:sz w:val="16"/>
                <w:szCs w:val="16"/>
              </w:rPr>
              <w:t>Activity PMC</w:t>
            </w:r>
          </w:p>
        </w:tc>
        <w:tc>
          <w:tcPr>
            <w:tcW w:w="990" w:type="dxa"/>
            <w:tcBorders>
              <w:top w:val="single" w:sz="4" w:space="0" w:color="auto"/>
              <w:left w:val="single" w:sz="8" w:space="0" w:color="auto"/>
              <w:bottom w:val="nil"/>
              <w:right w:val="single" w:sz="4" w:space="0" w:color="auto"/>
            </w:tcBorders>
            <w:shd w:val="clear" w:color="000000" w:fill="DAE9F8"/>
            <w:noWrap/>
            <w:vAlign w:val="center"/>
            <w:hideMark/>
          </w:tcPr>
          <w:p w14:paraId="46CCBC30" w14:textId="77777777" w:rsidR="003A4C20" w:rsidRPr="003A4C20" w:rsidRDefault="003A4C20" w:rsidP="003A4C20">
            <w:pPr>
              <w:spacing w:after="0" w:line="240" w:lineRule="auto"/>
              <w:jc w:val="center"/>
              <w:rPr>
                <w:rFonts w:ascii="Aptos Narrow" w:eastAsia="Times New Roman" w:hAnsi="Aptos Narrow" w:cs="Times New Roman"/>
                <w:i/>
                <w:iCs/>
                <w:color w:val="auto"/>
                <w:sz w:val="16"/>
                <w:szCs w:val="16"/>
              </w:rPr>
            </w:pPr>
            <w:r w:rsidRPr="003A4C20">
              <w:rPr>
                <w:rFonts w:ascii="Aptos Narrow" w:eastAsia="Times New Roman" w:hAnsi="Aptos Narrow" w:cs="Times New Roman"/>
                <w:i/>
                <w:iCs/>
                <w:color w:val="auto"/>
                <w:sz w:val="16"/>
                <w:szCs w:val="16"/>
              </w:rPr>
              <w:t>74100</w:t>
            </w:r>
          </w:p>
        </w:tc>
        <w:tc>
          <w:tcPr>
            <w:tcW w:w="1620" w:type="dxa"/>
            <w:tcBorders>
              <w:top w:val="single" w:sz="4" w:space="0" w:color="auto"/>
              <w:left w:val="nil"/>
              <w:bottom w:val="nil"/>
              <w:right w:val="single" w:sz="8" w:space="0" w:color="auto"/>
            </w:tcBorders>
            <w:shd w:val="clear" w:color="000000" w:fill="DAE9F8"/>
            <w:noWrap/>
            <w:vAlign w:val="center"/>
            <w:hideMark/>
          </w:tcPr>
          <w:p w14:paraId="375C5A46"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r w:rsidRPr="003A4C20">
              <w:rPr>
                <w:rFonts w:ascii="Aptos Narrow" w:eastAsia="Times New Roman" w:hAnsi="Aptos Narrow" w:cs="Times New Roman"/>
                <w:i/>
                <w:iCs/>
                <w:color w:val="auto"/>
                <w:sz w:val="16"/>
                <w:szCs w:val="16"/>
              </w:rPr>
              <w:t>Professional Services</w:t>
            </w:r>
          </w:p>
        </w:tc>
        <w:tc>
          <w:tcPr>
            <w:tcW w:w="990" w:type="dxa"/>
            <w:tcBorders>
              <w:top w:val="nil"/>
              <w:left w:val="nil"/>
              <w:bottom w:val="single" w:sz="4" w:space="0" w:color="auto"/>
              <w:right w:val="single" w:sz="8" w:space="0" w:color="auto"/>
            </w:tcBorders>
            <w:shd w:val="clear" w:color="000000" w:fill="DAE9F8"/>
            <w:noWrap/>
            <w:vAlign w:val="bottom"/>
            <w:hideMark/>
          </w:tcPr>
          <w:p w14:paraId="6D000B4A"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0</w:t>
            </w:r>
          </w:p>
        </w:tc>
        <w:tc>
          <w:tcPr>
            <w:tcW w:w="990" w:type="dxa"/>
            <w:tcBorders>
              <w:top w:val="nil"/>
              <w:left w:val="nil"/>
              <w:bottom w:val="single" w:sz="4" w:space="0" w:color="auto"/>
              <w:right w:val="single" w:sz="8" w:space="0" w:color="auto"/>
            </w:tcBorders>
            <w:shd w:val="clear" w:color="000000" w:fill="DAE9F8"/>
            <w:noWrap/>
            <w:vAlign w:val="bottom"/>
            <w:hideMark/>
          </w:tcPr>
          <w:p w14:paraId="35BE0A3F"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0</w:t>
            </w:r>
          </w:p>
        </w:tc>
        <w:tc>
          <w:tcPr>
            <w:tcW w:w="900" w:type="dxa"/>
            <w:tcBorders>
              <w:top w:val="nil"/>
              <w:left w:val="nil"/>
              <w:bottom w:val="single" w:sz="4" w:space="0" w:color="auto"/>
              <w:right w:val="single" w:sz="8" w:space="0" w:color="auto"/>
            </w:tcBorders>
            <w:shd w:val="clear" w:color="000000" w:fill="DAE9F8"/>
            <w:noWrap/>
            <w:vAlign w:val="bottom"/>
            <w:hideMark/>
          </w:tcPr>
          <w:p w14:paraId="569BF02C"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0</w:t>
            </w:r>
          </w:p>
        </w:tc>
        <w:tc>
          <w:tcPr>
            <w:tcW w:w="900" w:type="dxa"/>
            <w:tcBorders>
              <w:top w:val="nil"/>
              <w:left w:val="nil"/>
              <w:bottom w:val="single" w:sz="4" w:space="0" w:color="auto"/>
              <w:right w:val="single" w:sz="8" w:space="0" w:color="auto"/>
            </w:tcBorders>
            <w:shd w:val="clear" w:color="000000" w:fill="DAE9F8"/>
            <w:noWrap/>
            <w:vAlign w:val="bottom"/>
            <w:hideMark/>
          </w:tcPr>
          <w:p w14:paraId="3759A74B"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20,120</w:t>
            </w:r>
          </w:p>
        </w:tc>
        <w:tc>
          <w:tcPr>
            <w:tcW w:w="990" w:type="dxa"/>
            <w:tcBorders>
              <w:top w:val="nil"/>
              <w:left w:val="nil"/>
              <w:bottom w:val="single" w:sz="4" w:space="0" w:color="auto"/>
              <w:right w:val="single" w:sz="8" w:space="0" w:color="auto"/>
            </w:tcBorders>
            <w:shd w:val="clear" w:color="000000" w:fill="DAE9F8"/>
            <w:noWrap/>
            <w:vAlign w:val="bottom"/>
            <w:hideMark/>
          </w:tcPr>
          <w:p w14:paraId="0573C3E3"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20,120</w:t>
            </w:r>
          </w:p>
        </w:tc>
        <w:tc>
          <w:tcPr>
            <w:tcW w:w="720" w:type="dxa"/>
            <w:tcBorders>
              <w:top w:val="nil"/>
              <w:left w:val="nil"/>
              <w:bottom w:val="single" w:sz="4" w:space="0" w:color="auto"/>
              <w:right w:val="single" w:sz="8" w:space="0" w:color="auto"/>
            </w:tcBorders>
            <w:shd w:val="clear" w:color="000000" w:fill="DAE9F8"/>
            <w:noWrap/>
            <w:vAlign w:val="center"/>
            <w:hideMark/>
          </w:tcPr>
          <w:p w14:paraId="452E948F" w14:textId="77777777" w:rsidR="003A4C20" w:rsidRPr="003A4C20" w:rsidRDefault="003A4C20" w:rsidP="003A4C20">
            <w:pPr>
              <w:spacing w:after="0" w:line="240" w:lineRule="auto"/>
              <w:jc w:val="center"/>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20</w:t>
            </w:r>
          </w:p>
        </w:tc>
      </w:tr>
      <w:tr w:rsidR="00773071" w:rsidRPr="003A4C20" w14:paraId="68AD4D36" w14:textId="77777777" w:rsidTr="00773071">
        <w:trPr>
          <w:trHeight w:val="430"/>
        </w:trPr>
        <w:tc>
          <w:tcPr>
            <w:tcW w:w="1250" w:type="dxa"/>
            <w:vMerge/>
            <w:tcBorders>
              <w:top w:val="nil"/>
              <w:left w:val="single" w:sz="8" w:space="0" w:color="auto"/>
              <w:bottom w:val="single" w:sz="4" w:space="0" w:color="auto"/>
              <w:right w:val="single" w:sz="4" w:space="0" w:color="auto"/>
            </w:tcBorders>
            <w:vAlign w:val="center"/>
            <w:hideMark/>
          </w:tcPr>
          <w:p w14:paraId="305ABAE6" w14:textId="77777777" w:rsidR="003A4C20" w:rsidRPr="003A4C20" w:rsidRDefault="003A4C20" w:rsidP="003A4C20">
            <w:pPr>
              <w:spacing w:after="0" w:line="240" w:lineRule="auto"/>
              <w:rPr>
                <w:rFonts w:ascii="Aptos Narrow" w:eastAsia="Times New Roman" w:hAnsi="Aptos Narrow" w:cs="Times New Roman"/>
                <w:b/>
                <w:bCs/>
                <w:i/>
                <w:iCs/>
                <w:color w:val="auto"/>
                <w:sz w:val="16"/>
                <w:szCs w:val="16"/>
              </w:rPr>
            </w:pPr>
          </w:p>
        </w:tc>
        <w:tc>
          <w:tcPr>
            <w:tcW w:w="1460" w:type="dxa"/>
            <w:vMerge/>
            <w:tcBorders>
              <w:top w:val="nil"/>
              <w:left w:val="single" w:sz="4" w:space="0" w:color="auto"/>
              <w:bottom w:val="single" w:sz="4" w:space="0" w:color="auto"/>
              <w:right w:val="single" w:sz="4" w:space="0" w:color="auto"/>
            </w:tcBorders>
            <w:vAlign w:val="center"/>
            <w:hideMark/>
          </w:tcPr>
          <w:p w14:paraId="23C0CD84"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1036" w:type="dxa"/>
            <w:vMerge/>
            <w:tcBorders>
              <w:top w:val="nil"/>
              <w:left w:val="single" w:sz="4" w:space="0" w:color="auto"/>
              <w:bottom w:val="nil"/>
              <w:right w:val="single" w:sz="4" w:space="0" w:color="auto"/>
            </w:tcBorders>
            <w:vAlign w:val="center"/>
            <w:hideMark/>
          </w:tcPr>
          <w:p w14:paraId="36991121"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834" w:type="dxa"/>
            <w:vMerge/>
            <w:tcBorders>
              <w:top w:val="nil"/>
              <w:left w:val="single" w:sz="4" w:space="0" w:color="auto"/>
              <w:bottom w:val="nil"/>
              <w:right w:val="single" w:sz="4" w:space="0" w:color="auto"/>
            </w:tcBorders>
            <w:vAlign w:val="center"/>
            <w:hideMark/>
          </w:tcPr>
          <w:p w14:paraId="2932E01A"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834" w:type="dxa"/>
            <w:vMerge/>
            <w:tcBorders>
              <w:top w:val="nil"/>
              <w:left w:val="single" w:sz="4" w:space="0" w:color="auto"/>
              <w:bottom w:val="nil"/>
              <w:right w:val="nil"/>
            </w:tcBorders>
            <w:vAlign w:val="center"/>
            <w:hideMark/>
          </w:tcPr>
          <w:p w14:paraId="1FCC195E"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966" w:type="dxa"/>
            <w:vMerge/>
            <w:tcBorders>
              <w:top w:val="nil"/>
              <w:left w:val="single" w:sz="8" w:space="0" w:color="auto"/>
              <w:bottom w:val="nil"/>
              <w:right w:val="single" w:sz="8" w:space="0" w:color="auto"/>
            </w:tcBorders>
            <w:vAlign w:val="center"/>
            <w:hideMark/>
          </w:tcPr>
          <w:p w14:paraId="73F5EF68"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990" w:type="dxa"/>
            <w:tcBorders>
              <w:top w:val="single" w:sz="8" w:space="0" w:color="auto"/>
              <w:left w:val="single" w:sz="8" w:space="0" w:color="auto"/>
              <w:bottom w:val="single" w:sz="4" w:space="0" w:color="auto"/>
              <w:right w:val="single" w:sz="4" w:space="0" w:color="auto"/>
            </w:tcBorders>
            <w:shd w:val="clear" w:color="000000" w:fill="DAE9F8"/>
            <w:noWrap/>
            <w:vAlign w:val="center"/>
            <w:hideMark/>
          </w:tcPr>
          <w:p w14:paraId="3CEE54D4" w14:textId="77777777" w:rsidR="003A4C20" w:rsidRPr="003A4C20" w:rsidRDefault="003A4C20" w:rsidP="003A4C20">
            <w:pPr>
              <w:spacing w:after="0" w:line="240" w:lineRule="auto"/>
              <w:jc w:val="center"/>
              <w:rPr>
                <w:rFonts w:ascii="Aptos Narrow" w:eastAsia="Times New Roman" w:hAnsi="Aptos Narrow" w:cs="Times New Roman"/>
                <w:i/>
                <w:iCs/>
                <w:color w:val="auto"/>
                <w:sz w:val="16"/>
                <w:szCs w:val="16"/>
              </w:rPr>
            </w:pPr>
            <w:r w:rsidRPr="003A4C20">
              <w:rPr>
                <w:rFonts w:ascii="Aptos Narrow" w:eastAsia="Times New Roman" w:hAnsi="Aptos Narrow" w:cs="Times New Roman"/>
                <w:i/>
                <w:iCs/>
                <w:color w:val="auto"/>
                <w:sz w:val="16"/>
                <w:szCs w:val="16"/>
              </w:rPr>
              <w:t>71400</w:t>
            </w:r>
          </w:p>
        </w:tc>
        <w:tc>
          <w:tcPr>
            <w:tcW w:w="1620" w:type="dxa"/>
            <w:tcBorders>
              <w:top w:val="single" w:sz="8" w:space="0" w:color="auto"/>
              <w:left w:val="nil"/>
              <w:bottom w:val="single" w:sz="4" w:space="0" w:color="auto"/>
              <w:right w:val="nil"/>
            </w:tcBorders>
            <w:shd w:val="clear" w:color="000000" w:fill="DAE9F8"/>
            <w:vAlign w:val="center"/>
            <w:hideMark/>
          </w:tcPr>
          <w:p w14:paraId="1E392029"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r w:rsidRPr="003A4C20">
              <w:rPr>
                <w:rFonts w:ascii="Aptos Narrow" w:eastAsia="Times New Roman" w:hAnsi="Aptos Narrow" w:cs="Times New Roman"/>
                <w:i/>
                <w:iCs/>
                <w:color w:val="auto"/>
                <w:sz w:val="16"/>
                <w:szCs w:val="16"/>
              </w:rPr>
              <w:t>Contractual Services-Individuals</w:t>
            </w:r>
          </w:p>
        </w:tc>
        <w:tc>
          <w:tcPr>
            <w:tcW w:w="990" w:type="dxa"/>
            <w:tcBorders>
              <w:top w:val="nil"/>
              <w:left w:val="single" w:sz="8" w:space="0" w:color="auto"/>
              <w:bottom w:val="single" w:sz="4" w:space="0" w:color="auto"/>
              <w:right w:val="single" w:sz="8" w:space="0" w:color="auto"/>
            </w:tcBorders>
            <w:shd w:val="clear" w:color="000000" w:fill="DAE9F8"/>
            <w:noWrap/>
            <w:vAlign w:val="bottom"/>
            <w:hideMark/>
          </w:tcPr>
          <w:p w14:paraId="109381E4"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7,910</w:t>
            </w:r>
          </w:p>
        </w:tc>
        <w:tc>
          <w:tcPr>
            <w:tcW w:w="990" w:type="dxa"/>
            <w:tcBorders>
              <w:top w:val="nil"/>
              <w:left w:val="nil"/>
              <w:bottom w:val="single" w:sz="4" w:space="0" w:color="auto"/>
              <w:right w:val="single" w:sz="8" w:space="0" w:color="auto"/>
            </w:tcBorders>
            <w:shd w:val="clear" w:color="000000" w:fill="DAE9F8"/>
            <w:noWrap/>
            <w:vAlign w:val="bottom"/>
            <w:hideMark/>
          </w:tcPr>
          <w:p w14:paraId="05EAB5C3"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7,910</w:t>
            </w:r>
          </w:p>
        </w:tc>
        <w:tc>
          <w:tcPr>
            <w:tcW w:w="900" w:type="dxa"/>
            <w:tcBorders>
              <w:top w:val="nil"/>
              <w:left w:val="nil"/>
              <w:bottom w:val="single" w:sz="4" w:space="0" w:color="auto"/>
              <w:right w:val="single" w:sz="8" w:space="0" w:color="auto"/>
            </w:tcBorders>
            <w:shd w:val="clear" w:color="000000" w:fill="DAE9F8"/>
            <w:noWrap/>
            <w:vAlign w:val="bottom"/>
            <w:hideMark/>
          </w:tcPr>
          <w:p w14:paraId="184BBA95"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7,910</w:t>
            </w:r>
          </w:p>
        </w:tc>
        <w:tc>
          <w:tcPr>
            <w:tcW w:w="900" w:type="dxa"/>
            <w:tcBorders>
              <w:top w:val="nil"/>
              <w:left w:val="nil"/>
              <w:bottom w:val="single" w:sz="4" w:space="0" w:color="auto"/>
              <w:right w:val="single" w:sz="8" w:space="0" w:color="auto"/>
            </w:tcBorders>
            <w:shd w:val="clear" w:color="000000" w:fill="DAE9F8"/>
            <w:noWrap/>
            <w:vAlign w:val="bottom"/>
            <w:hideMark/>
          </w:tcPr>
          <w:p w14:paraId="2C419735"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7,910</w:t>
            </w:r>
          </w:p>
        </w:tc>
        <w:tc>
          <w:tcPr>
            <w:tcW w:w="990" w:type="dxa"/>
            <w:tcBorders>
              <w:top w:val="nil"/>
              <w:left w:val="nil"/>
              <w:bottom w:val="single" w:sz="4" w:space="0" w:color="auto"/>
              <w:right w:val="single" w:sz="8" w:space="0" w:color="auto"/>
            </w:tcBorders>
            <w:shd w:val="clear" w:color="000000" w:fill="DAE9F8"/>
            <w:noWrap/>
            <w:vAlign w:val="bottom"/>
            <w:hideMark/>
          </w:tcPr>
          <w:p w14:paraId="6B52A51E"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31,640</w:t>
            </w:r>
          </w:p>
        </w:tc>
        <w:tc>
          <w:tcPr>
            <w:tcW w:w="720" w:type="dxa"/>
            <w:tcBorders>
              <w:top w:val="single" w:sz="8" w:space="0" w:color="auto"/>
              <w:left w:val="nil"/>
              <w:bottom w:val="single" w:sz="4" w:space="0" w:color="auto"/>
              <w:right w:val="single" w:sz="8" w:space="0" w:color="auto"/>
            </w:tcBorders>
            <w:shd w:val="clear" w:color="000000" w:fill="DAE9F8"/>
            <w:noWrap/>
            <w:vAlign w:val="center"/>
            <w:hideMark/>
          </w:tcPr>
          <w:p w14:paraId="5C955A12" w14:textId="77777777" w:rsidR="003A4C20" w:rsidRPr="003A4C20" w:rsidRDefault="003A4C20" w:rsidP="003A4C20">
            <w:pPr>
              <w:spacing w:after="0" w:line="240" w:lineRule="auto"/>
              <w:jc w:val="center"/>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21</w:t>
            </w:r>
          </w:p>
        </w:tc>
      </w:tr>
      <w:tr w:rsidR="00773071" w:rsidRPr="003A4C20" w14:paraId="24481FB7" w14:textId="77777777" w:rsidTr="00773071">
        <w:trPr>
          <w:trHeight w:val="300"/>
        </w:trPr>
        <w:tc>
          <w:tcPr>
            <w:tcW w:w="1250" w:type="dxa"/>
            <w:vMerge/>
            <w:tcBorders>
              <w:top w:val="nil"/>
              <w:left w:val="single" w:sz="8" w:space="0" w:color="auto"/>
              <w:bottom w:val="single" w:sz="4" w:space="0" w:color="auto"/>
              <w:right w:val="single" w:sz="4" w:space="0" w:color="auto"/>
            </w:tcBorders>
            <w:vAlign w:val="center"/>
            <w:hideMark/>
          </w:tcPr>
          <w:p w14:paraId="5B78074D" w14:textId="77777777" w:rsidR="003A4C20" w:rsidRPr="003A4C20" w:rsidRDefault="003A4C20" w:rsidP="003A4C20">
            <w:pPr>
              <w:spacing w:after="0" w:line="240" w:lineRule="auto"/>
              <w:rPr>
                <w:rFonts w:ascii="Aptos Narrow" w:eastAsia="Times New Roman" w:hAnsi="Aptos Narrow" w:cs="Times New Roman"/>
                <w:b/>
                <w:bCs/>
                <w:i/>
                <w:iCs/>
                <w:color w:val="auto"/>
                <w:sz w:val="16"/>
                <w:szCs w:val="16"/>
              </w:rPr>
            </w:pPr>
          </w:p>
        </w:tc>
        <w:tc>
          <w:tcPr>
            <w:tcW w:w="1460" w:type="dxa"/>
            <w:vMerge/>
            <w:tcBorders>
              <w:top w:val="nil"/>
              <w:left w:val="single" w:sz="4" w:space="0" w:color="auto"/>
              <w:bottom w:val="single" w:sz="4" w:space="0" w:color="auto"/>
              <w:right w:val="single" w:sz="4" w:space="0" w:color="auto"/>
            </w:tcBorders>
            <w:vAlign w:val="center"/>
            <w:hideMark/>
          </w:tcPr>
          <w:p w14:paraId="26BD0A63"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1036" w:type="dxa"/>
            <w:vMerge/>
            <w:tcBorders>
              <w:top w:val="nil"/>
              <w:left w:val="single" w:sz="4" w:space="0" w:color="auto"/>
              <w:bottom w:val="nil"/>
              <w:right w:val="single" w:sz="4" w:space="0" w:color="auto"/>
            </w:tcBorders>
            <w:vAlign w:val="center"/>
            <w:hideMark/>
          </w:tcPr>
          <w:p w14:paraId="3D4443A5"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834" w:type="dxa"/>
            <w:vMerge/>
            <w:tcBorders>
              <w:top w:val="nil"/>
              <w:left w:val="single" w:sz="4" w:space="0" w:color="auto"/>
              <w:bottom w:val="nil"/>
              <w:right w:val="single" w:sz="4" w:space="0" w:color="auto"/>
            </w:tcBorders>
            <w:vAlign w:val="center"/>
            <w:hideMark/>
          </w:tcPr>
          <w:p w14:paraId="7EE3D5F2"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834" w:type="dxa"/>
            <w:vMerge/>
            <w:tcBorders>
              <w:top w:val="nil"/>
              <w:left w:val="single" w:sz="4" w:space="0" w:color="auto"/>
              <w:bottom w:val="nil"/>
              <w:right w:val="nil"/>
            </w:tcBorders>
            <w:vAlign w:val="center"/>
            <w:hideMark/>
          </w:tcPr>
          <w:p w14:paraId="0593B049"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966" w:type="dxa"/>
            <w:vMerge/>
            <w:tcBorders>
              <w:top w:val="nil"/>
              <w:left w:val="single" w:sz="8" w:space="0" w:color="auto"/>
              <w:bottom w:val="nil"/>
              <w:right w:val="single" w:sz="8" w:space="0" w:color="auto"/>
            </w:tcBorders>
            <w:vAlign w:val="center"/>
            <w:hideMark/>
          </w:tcPr>
          <w:p w14:paraId="0DDE8E4E"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p>
        </w:tc>
        <w:tc>
          <w:tcPr>
            <w:tcW w:w="990" w:type="dxa"/>
            <w:tcBorders>
              <w:top w:val="nil"/>
              <w:left w:val="single" w:sz="8" w:space="0" w:color="auto"/>
              <w:bottom w:val="single" w:sz="4" w:space="0" w:color="auto"/>
              <w:right w:val="single" w:sz="4" w:space="0" w:color="auto"/>
            </w:tcBorders>
            <w:shd w:val="clear" w:color="000000" w:fill="DAE9F8"/>
            <w:noWrap/>
            <w:vAlign w:val="center"/>
            <w:hideMark/>
          </w:tcPr>
          <w:p w14:paraId="2E05F924" w14:textId="77777777" w:rsidR="003A4C20" w:rsidRPr="003A4C20" w:rsidRDefault="003A4C20" w:rsidP="003A4C20">
            <w:pPr>
              <w:spacing w:after="0" w:line="240" w:lineRule="auto"/>
              <w:jc w:val="center"/>
              <w:rPr>
                <w:rFonts w:ascii="Aptos Narrow" w:eastAsia="Times New Roman" w:hAnsi="Aptos Narrow" w:cs="Times New Roman"/>
                <w:i/>
                <w:iCs/>
                <w:color w:val="auto"/>
                <w:sz w:val="16"/>
                <w:szCs w:val="16"/>
              </w:rPr>
            </w:pPr>
            <w:r w:rsidRPr="003A4C20">
              <w:rPr>
                <w:rFonts w:ascii="Aptos Narrow" w:eastAsia="Times New Roman" w:hAnsi="Aptos Narrow" w:cs="Times New Roman"/>
                <w:i/>
                <w:iCs/>
                <w:color w:val="auto"/>
                <w:sz w:val="16"/>
                <w:szCs w:val="16"/>
              </w:rPr>
              <w:t>64397</w:t>
            </w:r>
          </w:p>
        </w:tc>
        <w:tc>
          <w:tcPr>
            <w:tcW w:w="1620" w:type="dxa"/>
            <w:tcBorders>
              <w:top w:val="nil"/>
              <w:left w:val="nil"/>
              <w:bottom w:val="single" w:sz="4" w:space="0" w:color="auto"/>
              <w:right w:val="nil"/>
            </w:tcBorders>
            <w:shd w:val="clear" w:color="000000" w:fill="DAE9F8"/>
            <w:vAlign w:val="center"/>
            <w:hideMark/>
          </w:tcPr>
          <w:p w14:paraId="36339366" w14:textId="77777777" w:rsidR="003A4C20" w:rsidRPr="003A4C20" w:rsidRDefault="003A4C20" w:rsidP="003A4C20">
            <w:pPr>
              <w:spacing w:after="0" w:line="240" w:lineRule="auto"/>
              <w:rPr>
                <w:rFonts w:ascii="Aptos Narrow" w:eastAsia="Times New Roman" w:hAnsi="Aptos Narrow" w:cs="Times New Roman"/>
                <w:i/>
                <w:iCs/>
                <w:color w:val="auto"/>
                <w:sz w:val="16"/>
                <w:szCs w:val="16"/>
              </w:rPr>
            </w:pPr>
            <w:r w:rsidRPr="003A4C20">
              <w:rPr>
                <w:rFonts w:ascii="Aptos Narrow" w:eastAsia="Times New Roman" w:hAnsi="Aptos Narrow" w:cs="Times New Roman"/>
                <w:i/>
                <w:iCs/>
                <w:color w:val="auto"/>
                <w:sz w:val="16"/>
                <w:szCs w:val="16"/>
              </w:rPr>
              <w:t>Direct Project Cost-Staff</w:t>
            </w:r>
          </w:p>
        </w:tc>
        <w:tc>
          <w:tcPr>
            <w:tcW w:w="990" w:type="dxa"/>
            <w:tcBorders>
              <w:top w:val="nil"/>
              <w:left w:val="single" w:sz="8" w:space="0" w:color="auto"/>
              <w:bottom w:val="single" w:sz="8" w:space="0" w:color="auto"/>
              <w:right w:val="single" w:sz="8" w:space="0" w:color="auto"/>
            </w:tcBorders>
            <w:shd w:val="clear" w:color="000000" w:fill="DAE9F8"/>
            <w:noWrap/>
            <w:vAlign w:val="bottom"/>
            <w:hideMark/>
          </w:tcPr>
          <w:p w14:paraId="73AA882B"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25,000</w:t>
            </w:r>
          </w:p>
        </w:tc>
        <w:tc>
          <w:tcPr>
            <w:tcW w:w="990" w:type="dxa"/>
            <w:tcBorders>
              <w:top w:val="nil"/>
              <w:left w:val="nil"/>
              <w:bottom w:val="single" w:sz="8" w:space="0" w:color="auto"/>
              <w:right w:val="single" w:sz="8" w:space="0" w:color="auto"/>
            </w:tcBorders>
            <w:shd w:val="clear" w:color="000000" w:fill="DAE9F8"/>
            <w:noWrap/>
            <w:vAlign w:val="bottom"/>
            <w:hideMark/>
          </w:tcPr>
          <w:p w14:paraId="7036CAD6"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35,000</w:t>
            </w:r>
          </w:p>
        </w:tc>
        <w:tc>
          <w:tcPr>
            <w:tcW w:w="900" w:type="dxa"/>
            <w:tcBorders>
              <w:top w:val="nil"/>
              <w:left w:val="nil"/>
              <w:bottom w:val="single" w:sz="8" w:space="0" w:color="auto"/>
              <w:right w:val="single" w:sz="8" w:space="0" w:color="auto"/>
            </w:tcBorders>
            <w:shd w:val="clear" w:color="000000" w:fill="DAE9F8"/>
            <w:noWrap/>
            <w:vAlign w:val="bottom"/>
            <w:hideMark/>
          </w:tcPr>
          <w:p w14:paraId="01105F45"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23,000</w:t>
            </w:r>
          </w:p>
        </w:tc>
        <w:tc>
          <w:tcPr>
            <w:tcW w:w="900" w:type="dxa"/>
            <w:tcBorders>
              <w:top w:val="nil"/>
              <w:left w:val="nil"/>
              <w:bottom w:val="single" w:sz="8" w:space="0" w:color="auto"/>
              <w:right w:val="single" w:sz="8" w:space="0" w:color="auto"/>
            </w:tcBorders>
            <w:shd w:val="clear" w:color="000000" w:fill="DAE9F8"/>
            <w:noWrap/>
            <w:vAlign w:val="bottom"/>
            <w:hideMark/>
          </w:tcPr>
          <w:p w14:paraId="6C23805A"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23,000</w:t>
            </w:r>
          </w:p>
        </w:tc>
        <w:tc>
          <w:tcPr>
            <w:tcW w:w="990" w:type="dxa"/>
            <w:tcBorders>
              <w:top w:val="nil"/>
              <w:left w:val="nil"/>
              <w:bottom w:val="single" w:sz="8" w:space="0" w:color="auto"/>
              <w:right w:val="single" w:sz="8" w:space="0" w:color="auto"/>
            </w:tcBorders>
            <w:shd w:val="clear" w:color="000000" w:fill="DAE9F8"/>
            <w:noWrap/>
            <w:vAlign w:val="bottom"/>
            <w:hideMark/>
          </w:tcPr>
          <w:p w14:paraId="28FFF5EF" w14:textId="77777777" w:rsidR="003A4C20" w:rsidRPr="003A4C20" w:rsidRDefault="003A4C20" w:rsidP="003A4C20">
            <w:pPr>
              <w:spacing w:after="0" w:line="240" w:lineRule="auto"/>
              <w:jc w:val="right"/>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106,000</w:t>
            </w:r>
          </w:p>
        </w:tc>
        <w:tc>
          <w:tcPr>
            <w:tcW w:w="720" w:type="dxa"/>
            <w:tcBorders>
              <w:top w:val="single" w:sz="8" w:space="0" w:color="auto"/>
              <w:left w:val="nil"/>
              <w:bottom w:val="single" w:sz="4" w:space="0" w:color="auto"/>
              <w:right w:val="single" w:sz="8" w:space="0" w:color="auto"/>
            </w:tcBorders>
            <w:shd w:val="clear" w:color="000000" w:fill="DAE9F8"/>
            <w:noWrap/>
            <w:vAlign w:val="center"/>
            <w:hideMark/>
          </w:tcPr>
          <w:p w14:paraId="7E8A8CCA" w14:textId="77777777" w:rsidR="003A4C20" w:rsidRPr="003A4C20" w:rsidRDefault="003A4C20" w:rsidP="003A4C20">
            <w:pPr>
              <w:spacing w:after="0" w:line="240" w:lineRule="auto"/>
              <w:jc w:val="center"/>
              <w:rPr>
                <w:rFonts w:ascii="Aptos Narrow" w:eastAsia="Times New Roman" w:hAnsi="Aptos Narrow" w:cs="Times New Roman"/>
                <w:color w:val="auto"/>
                <w:sz w:val="16"/>
                <w:szCs w:val="16"/>
              </w:rPr>
            </w:pPr>
            <w:r w:rsidRPr="003A4C20">
              <w:rPr>
                <w:rFonts w:ascii="Aptos Narrow" w:eastAsia="Times New Roman" w:hAnsi="Aptos Narrow" w:cs="Times New Roman"/>
                <w:color w:val="auto"/>
                <w:sz w:val="16"/>
                <w:szCs w:val="16"/>
              </w:rPr>
              <w:t>22</w:t>
            </w:r>
          </w:p>
        </w:tc>
      </w:tr>
      <w:tr w:rsidR="006E140E" w:rsidRPr="003A4C20" w14:paraId="38BDE279" w14:textId="77777777" w:rsidTr="00773071">
        <w:trPr>
          <w:trHeight w:val="300"/>
        </w:trPr>
        <w:tc>
          <w:tcPr>
            <w:tcW w:w="8990" w:type="dxa"/>
            <w:gridSpan w:val="8"/>
            <w:tcBorders>
              <w:top w:val="single" w:sz="4" w:space="0" w:color="auto"/>
              <w:left w:val="single" w:sz="8" w:space="0" w:color="auto"/>
              <w:bottom w:val="nil"/>
              <w:right w:val="single" w:sz="4" w:space="0" w:color="auto"/>
            </w:tcBorders>
            <w:shd w:val="clear" w:color="000000" w:fill="808080"/>
            <w:vAlign w:val="center"/>
            <w:hideMark/>
          </w:tcPr>
          <w:p w14:paraId="7DF56C8B" w14:textId="77777777" w:rsidR="003A4C20" w:rsidRPr="003A4C20" w:rsidRDefault="003A4C20" w:rsidP="003A4C20">
            <w:pPr>
              <w:spacing w:after="0" w:line="240" w:lineRule="auto"/>
              <w:rPr>
                <w:rFonts w:ascii="Aptos Narrow" w:eastAsia="Times New Roman" w:hAnsi="Aptos Narrow" w:cs="Times New Roman"/>
                <w:b/>
                <w:bCs/>
                <w:i/>
                <w:iCs/>
                <w:color w:val="FFFFFF"/>
                <w:sz w:val="16"/>
                <w:szCs w:val="16"/>
              </w:rPr>
            </w:pPr>
            <w:r w:rsidRPr="003A4C20">
              <w:rPr>
                <w:rFonts w:ascii="Aptos Narrow" w:eastAsia="Times New Roman" w:hAnsi="Aptos Narrow" w:cs="Times New Roman"/>
                <w:b/>
                <w:bCs/>
                <w:i/>
                <w:iCs/>
                <w:color w:val="FFFFFF"/>
                <w:sz w:val="16"/>
                <w:szCs w:val="16"/>
              </w:rPr>
              <w:t>Total Project Management Cost</w:t>
            </w:r>
          </w:p>
        </w:tc>
        <w:tc>
          <w:tcPr>
            <w:tcW w:w="990" w:type="dxa"/>
            <w:tcBorders>
              <w:top w:val="single" w:sz="4" w:space="0" w:color="auto"/>
              <w:left w:val="single" w:sz="8" w:space="0" w:color="auto"/>
              <w:bottom w:val="single" w:sz="8" w:space="0" w:color="auto"/>
              <w:right w:val="single" w:sz="8" w:space="0" w:color="auto"/>
            </w:tcBorders>
            <w:shd w:val="clear" w:color="000000" w:fill="808080"/>
            <w:noWrap/>
            <w:vAlign w:val="bottom"/>
            <w:hideMark/>
          </w:tcPr>
          <w:p w14:paraId="4B52121F" w14:textId="77777777" w:rsidR="003A4C20" w:rsidRPr="003A4C20" w:rsidRDefault="003A4C20" w:rsidP="003A4C20">
            <w:pPr>
              <w:spacing w:after="0" w:line="240" w:lineRule="auto"/>
              <w:jc w:val="right"/>
              <w:rPr>
                <w:rFonts w:ascii="Aptos Narrow" w:eastAsia="Times New Roman" w:hAnsi="Aptos Narrow" w:cs="Times New Roman"/>
                <w:b/>
                <w:bCs/>
                <w:color w:val="FFFFFF"/>
                <w:sz w:val="16"/>
                <w:szCs w:val="16"/>
              </w:rPr>
            </w:pPr>
            <w:r w:rsidRPr="003A4C20">
              <w:rPr>
                <w:rFonts w:ascii="Aptos Narrow" w:eastAsia="Times New Roman" w:hAnsi="Aptos Narrow" w:cs="Times New Roman"/>
                <w:b/>
                <w:bCs/>
                <w:color w:val="FFFFFF"/>
                <w:sz w:val="16"/>
                <w:szCs w:val="16"/>
              </w:rPr>
              <w:t>32,910</w:t>
            </w:r>
          </w:p>
        </w:tc>
        <w:tc>
          <w:tcPr>
            <w:tcW w:w="990" w:type="dxa"/>
            <w:tcBorders>
              <w:top w:val="single" w:sz="4" w:space="0" w:color="auto"/>
              <w:left w:val="nil"/>
              <w:bottom w:val="single" w:sz="8" w:space="0" w:color="auto"/>
              <w:right w:val="single" w:sz="8" w:space="0" w:color="auto"/>
            </w:tcBorders>
            <w:shd w:val="clear" w:color="000000" w:fill="808080"/>
            <w:noWrap/>
            <w:vAlign w:val="bottom"/>
            <w:hideMark/>
          </w:tcPr>
          <w:p w14:paraId="268E1265" w14:textId="77777777" w:rsidR="003A4C20" w:rsidRPr="003A4C20" w:rsidRDefault="003A4C20" w:rsidP="003A4C20">
            <w:pPr>
              <w:spacing w:after="0" w:line="240" w:lineRule="auto"/>
              <w:jc w:val="right"/>
              <w:rPr>
                <w:rFonts w:ascii="Aptos Narrow" w:eastAsia="Times New Roman" w:hAnsi="Aptos Narrow" w:cs="Times New Roman"/>
                <w:b/>
                <w:bCs/>
                <w:color w:val="FFFFFF"/>
                <w:sz w:val="16"/>
                <w:szCs w:val="16"/>
              </w:rPr>
            </w:pPr>
            <w:r w:rsidRPr="003A4C20">
              <w:rPr>
                <w:rFonts w:ascii="Aptos Narrow" w:eastAsia="Times New Roman" w:hAnsi="Aptos Narrow" w:cs="Times New Roman"/>
                <w:b/>
                <w:bCs/>
                <w:color w:val="FFFFFF"/>
                <w:sz w:val="16"/>
                <w:szCs w:val="16"/>
              </w:rPr>
              <w:t>42,910</w:t>
            </w:r>
          </w:p>
        </w:tc>
        <w:tc>
          <w:tcPr>
            <w:tcW w:w="900" w:type="dxa"/>
            <w:tcBorders>
              <w:top w:val="single" w:sz="4" w:space="0" w:color="auto"/>
              <w:left w:val="nil"/>
              <w:bottom w:val="single" w:sz="8" w:space="0" w:color="auto"/>
              <w:right w:val="single" w:sz="8" w:space="0" w:color="auto"/>
            </w:tcBorders>
            <w:shd w:val="clear" w:color="000000" w:fill="808080"/>
            <w:noWrap/>
            <w:vAlign w:val="bottom"/>
            <w:hideMark/>
          </w:tcPr>
          <w:p w14:paraId="33646C15" w14:textId="77777777" w:rsidR="003A4C20" w:rsidRPr="003A4C20" w:rsidRDefault="003A4C20" w:rsidP="003A4C20">
            <w:pPr>
              <w:spacing w:after="0" w:line="240" w:lineRule="auto"/>
              <w:jc w:val="right"/>
              <w:rPr>
                <w:rFonts w:ascii="Aptos Narrow" w:eastAsia="Times New Roman" w:hAnsi="Aptos Narrow" w:cs="Times New Roman"/>
                <w:b/>
                <w:bCs/>
                <w:color w:val="FFFFFF"/>
                <w:sz w:val="16"/>
                <w:szCs w:val="16"/>
              </w:rPr>
            </w:pPr>
            <w:r w:rsidRPr="003A4C20">
              <w:rPr>
                <w:rFonts w:ascii="Aptos Narrow" w:eastAsia="Times New Roman" w:hAnsi="Aptos Narrow" w:cs="Times New Roman"/>
                <w:b/>
                <w:bCs/>
                <w:color w:val="FFFFFF"/>
                <w:sz w:val="16"/>
                <w:szCs w:val="16"/>
              </w:rPr>
              <w:t>30,910</w:t>
            </w:r>
          </w:p>
        </w:tc>
        <w:tc>
          <w:tcPr>
            <w:tcW w:w="900" w:type="dxa"/>
            <w:tcBorders>
              <w:top w:val="single" w:sz="4" w:space="0" w:color="auto"/>
              <w:left w:val="nil"/>
              <w:bottom w:val="single" w:sz="8" w:space="0" w:color="auto"/>
              <w:right w:val="single" w:sz="8" w:space="0" w:color="auto"/>
            </w:tcBorders>
            <w:shd w:val="clear" w:color="000000" w:fill="808080"/>
            <w:noWrap/>
            <w:vAlign w:val="bottom"/>
            <w:hideMark/>
          </w:tcPr>
          <w:p w14:paraId="2E932EBB" w14:textId="77777777" w:rsidR="003A4C20" w:rsidRPr="003A4C20" w:rsidRDefault="003A4C20" w:rsidP="003A4C20">
            <w:pPr>
              <w:spacing w:after="0" w:line="240" w:lineRule="auto"/>
              <w:jc w:val="right"/>
              <w:rPr>
                <w:rFonts w:ascii="Aptos Narrow" w:eastAsia="Times New Roman" w:hAnsi="Aptos Narrow" w:cs="Times New Roman"/>
                <w:b/>
                <w:bCs/>
                <w:color w:val="FFFFFF"/>
                <w:sz w:val="16"/>
                <w:szCs w:val="16"/>
              </w:rPr>
            </w:pPr>
            <w:r w:rsidRPr="003A4C20">
              <w:rPr>
                <w:rFonts w:ascii="Aptos Narrow" w:eastAsia="Times New Roman" w:hAnsi="Aptos Narrow" w:cs="Times New Roman"/>
                <w:b/>
                <w:bCs/>
                <w:color w:val="FFFFFF"/>
                <w:sz w:val="16"/>
                <w:szCs w:val="16"/>
              </w:rPr>
              <w:t>51,030</w:t>
            </w:r>
          </w:p>
        </w:tc>
        <w:tc>
          <w:tcPr>
            <w:tcW w:w="990" w:type="dxa"/>
            <w:tcBorders>
              <w:top w:val="single" w:sz="4" w:space="0" w:color="auto"/>
              <w:left w:val="nil"/>
              <w:bottom w:val="single" w:sz="8" w:space="0" w:color="auto"/>
              <w:right w:val="single" w:sz="8" w:space="0" w:color="auto"/>
            </w:tcBorders>
            <w:shd w:val="clear" w:color="000000" w:fill="808080"/>
            <w:noWrap/>
            <w:vAlign w:val="bottom"/>
            <w:hideMark/>
          </w:tcPr>
          <w:p w14:paraId="5F749240" w14:textId="77777777" w:rsidR="003A4C20" w:rsidRPr="003A4C20" w:rsidRDefault="003A4C20" w:rsidP="003A4C20">
            <w:pPr>
              <w:spacing w:after="0" w:line="240" w:lineRule="auto"/>
              <w:jc w:val="right"/>
              <w:rPr>
                <w:rFonts w:ascii="Aptos Narrow" w:eastAsia="Times New Roman" w:hAnsi="Aptos Narrow" w:cs="Times New Roman"/>
                <w:b/>
                <w:bCs/>
                <w:color w:val="FFFFFF"/>
                <w:sz w:val="16"/>
                <w:szCs w:val="16"/>
              </w:rPr>
            </w:pPr>
            <w:r w:rsidRPr="003A4C20">
              <w:rPr>
                <w:rFonts w:ascii="Aptos Narrow" w:eastAsia="Times New Roman" w:hAnsi="Aptos Narrow" w:cs="Times New Roman"/>
                <w:b/>
                <w:bCs/>
                <w:color w:val="FFFFFF"/>
                <w:sz w:val="16"/>
                <w:szCs w:val="16"/>
              </w:rPr>
              <w:t>157,760</w:t>
            </w:r>
          </w:p>
        </w:tc>
        <w:tc>
          <w:tcPr>
            <w:tcW w:w="720" w:type="dxa"/>
            <w:tcBorders>
              <w:top w:val="nil"/>
              <w:left w:val="nil"/>
              <w:bottom w:val="nil"/>
              <w:right w:val="single" w:sz="8" w:space="0" w:color="auto"/>
            </w:tcBorders>
            <w:shd w:val="clear" w:color="000000" w:fill="808080"/>
            <w:noWrap/>
            <w:vAlign w:val="center"/>
            <w:hideMark/>
          </w:tcPr>
          <w:p w14:paraId="161B84AF" w14:textId="77777777" w:rsidR="003A4C20" w:rsidRPr="003A4C20" w:rsidRDefault="003A4C20" w:rsidP="003A4C20">
            <w:pPr>
              <w:spacing w:after="0" w:line="240" w:lineRule="auto"/>
              <w:jc w:val="center"/>
              <w:rPr>
                <w:rFonts w:ascii="Aptos Narrow" w:eastAsia="Times New Roman" w:hAnsi="Aptos Narrow" w:cs="Times New Roman"/>
                <w:color w:val="FFFFFF"/>
                <w:sz w:val="16"/>
                <w:szCs w:val="16"/>
              </w:rPr>
            </w:pPr>
            <w:r w:rsidRPr="003A4C20">
              <w:rPr>
                <w:rFonts w:ascii="Aptos Narrow" w:eastAsia="Times New Roman" w:hAnsi="Aptos Narrow" w:cs="Times New Roman"/>
                <w:color w:val="FFFFFF"/>
                <w:sz w:val="16"/>
                <w:szCs w:val="16"/>
              </w:rPr>
              <w:t> </w:t>
            </w:r>
          </w:p>
        </w:tc>
      </w:tr>
      <w:tr w:rsidR="006E140E" w:rsidRPr="003A4C20" w14:paraId="79660AFF" w14:textId="77777777" w:rsidTr="00773071">
        <w:trPr>
          <w:trHeight w:val="290"/>
        </w:trPr>
        <w:tc>
          <w:tcPr>
            <w:tcW w:w="8990" w:type="dxa"/>
            <w:gridSpan w:val="8"/>
            <w:tcBorders>
              <w:top w:val="single" w:sz="8" w:space="0" w:color="auto"/>
              <w:left w:val="single" w:sz="8" w:space="0" w:color="auto"/>
              <w:bottom w:val="single" w:sz="4" w:space="0" w:color="auto"/>
              <w:right w:val="single" w:sz="4" w:space="0" w:color="auto"/>
            </w:tcBorders>
            <w:shd w:val="clear" w:color="000000" w:fill="215C98"/>
            <w:vAlign w:val="center"/>
            <w:hideMark/>
          </w:tcPr>
          <w:p w14:paraId="67A61EEF" w14:textId="77777777" w:rsidR="003A4C20" w:rsidRPr="003A4C20" w:rsidRDefault="003A4C20" w:rsidP="003A4C20">
            <w:pPr>
              <w:spacing w:after="0" w:line="240" w:lineRule="auto"/>
              <w:rPr>
                <w:rFonts w:ascii="Aptos Narrow" w:eastAsia="Times New Roman" w:hAnsi="Aptos Narrow" w:cs="Times New Roman"/>
                <w:b/>
                <w:bCs/>
                <w:i/>
                <w:iCs/>
                <w:color w:val="FFFFFF"/>
                <w:sz w:val="16"/>
                <w:szCs w:val="16"/>
              </w:rPr>
            </w:pPr>
            <w:r w:rsidRPr="003A4C20">
              <w:rPr>
                <w:rFonts w:ascii="Aptos Narrow" w:eastAsia="Times New Roman" w:hAnsi="Aptos Narrow" w:cs="Times New Roman"/>
                <w:b/>
                <w:bCs/>
                <w:i/>
                <w:iCs/>
                <w:color w:val="FFFFFF"/>
                <w:sz w:val="16"/>
                <w:szCs w:val="16"/>
              </w:rPr>
              <w:t>Total Direct cost of the action</w:t>
            </w:r>
          </w:p>
        </w:tc>
        <w:tc>
          <w:tcPr>
            <w:tcW w:w="990" w:type="dxa"/>
            <w:tcBorders>
              <w:top w:val="nil"/>
              <w:left w:val="single" w:sz="8" w:space="0" w:color="auto"/>
              <w:bottom w:val="single" w:sz="4" w:space="0" w:color="auto"/>
              <w:right w:val="single" w:sz="8" w:space="0" w:color="auto"/>
            </w:tcBorders>
            <w:shd w:val="clear" w:color="000000" w:fill="215C98"/>
            <w:noWrap/>
            <w:vAlign w:val="bottom"/>
            <w:hideMark/>
          </w:tcPr>
          <w:p w14:paraId="6AFDB500" w14:textId="77777777" w:rsidR="003A4C20" w:rsidRPr="003A4C20" w:rsidRDefault="003A4C20" w:rsidP="003A4C20">
            <w:pPr>
              <w:spacing w:after="0" w:line="240" w:lineRule="auto"/>
              <w:jc w:val="right"/>
              <w:rPr>
                <w:rFonts w:ascii="Aptos Narrow" w:eastAsia="Times New Roman" w:hAnsi="Aptos Narrow" w:cs="Times New Roman"/>
                <w:b/>
                <w:bCs/>
                <w:color w:val="FFFFFF"/>
                <w:sz w:val="16"/>
                <w:szCs w:val="16"/>
              </w:rPr>
            </w:pPr>
            <w:r w:rsidRPr="003A4C20">
              <w:rPr>
                <w:rFonts w:ascii="Aptos Narrow" w:eastAsia="Times New Roman" w:hAnsi="Aptos Narrow" w:cs="Times New Roman"/>
                <w:b/>
                <w:bCs/>
                <w:color w:val="FFFFFF"/>
                <w:sz w:val="16"/>
                <w:szCs w:val="16"/>
              </w:rPr>
              <w:t>642,089</w:t>
            </w:r>
          </w:p>
        </w:tc>
        <w:tc>
          <w:tcPr>
            <w:tcW w:w="990" w:type="dxa"/>
            <w:tcBorders>
              <w:top w:val="nil"/>
              <w:left w:val="nil"/>
              <w:bottom w:val="single" w:sz="4" w:space="0" w:color="auto"/>
              <w:right w:val="single" w:sz="8" w:space="0" w:color="auto"/>
            </w:tcBorders>
            <w:shd w:val="clear" w:color="000000" w:fill="215C98"/>
            <w:noWrap/>
            <w:vAlign w:val="bottom"/>
            <w:hideMark/>
          </w:tcPr>
          <w:p w14:paraId="2215BCB5" w14:textId="77777777" w:rsidR="003A4C20" w:rsidRPr="003A4C20" w:rsidRDefault="003A4C20" w:rsidP="003A4C20">
            <w:pPr>
              <w:spacing w:after="0" w:line="240" w:lineRule="auto"/>
              <w:jc w:val="right"/>
              <w:rPr>
                <w:rFonts w:ascii="Aptos Narrow" w:eastAsia="Times New Roman" w:hAnsi="Aptos Narrow" w:cs="Times New Roman"/>
                <w:b/>
                <w:bCs/>
                <w:color w:val="FFFFFF"/>
                <w:sz w:val="16"/>
                <w:szCs w:val="16"/>
              </w:rPr>
            </w:pPr>
            <w:r w:rsidRPr="003A4C20">
              <w:rPr>
                <w:rFonts w:ascii="Aptos Narrow" w:eastAsia="Times New Roman" w:hAnsi="Aptos Narrow" w:cs="Times New Roman"/>
                <w:b/>
                <w:bCs/>
                <w:color w:val="FFFFFF"/>
                <w:sz w:val="16"/>
                <w:szCs w:val="16"/>
              </w:rPr>
              <w:t>2,256,544</w:t>
            </w:r>
          </w:p>
        </w:tc>
        <w:tc>
          <w:tcPr>
            <w:tcW w:w="900" w:type="dxa"/>
            <w:tcBorders>
              <w:top w:val="nil"/>
              <w:left w:val="nil"/>
              <w:bottom w:val="single" w:sz="4" w:space="0" w:color="auto"/>
              <w:right w:val="single" w:sz="8" w:space="0" w:color="auto"/>
            </w:tcBorders>
            <w:shd w:val="clear" w:color="000000" w:fill="215C98"/>
            <w:noWrap/>
            <w:vAlign w:val="bottom"/>
            <w:hideMark/>
          </w:tcPr>
          <w:p w14:paraId="36F54166" w14:textId="77777777" w:rsidR="003A4C20" w:rsidRPr="003A4C20" w:rsidRDefault="003A4C20" w:rsidP="003A4C20">
            <w:pPr>
              <w:spacing w:after="0" w:line="240" w:lineRule="auto"/>
              <w:jc w:val="right"/>
              <w:rPr>
                <w:rFonts w:ascii="Aptos Narrow" w:eastAsia="Times New Roman" w:hAnsi="Aptos Narrow" w:cs="Times New Roman"/>
                <w:b/>
                <w:bCs/>
                <w:color w:val="FFFFFF"/>
                <w:sz w:val="16"/>
                <w:szCs w:val="16"/>
              </w:rPr>
            </w:pPr>
            <w:r w:rsidRPr="003A4C20">
              <w:rPr>
                <w:rFonts w:ascii="Aptos Narrow" w:eastAsia="Times New Roman" w:hAnsi="Aptos Narrow" w:cs="Times New Roman"/>
                <w:b/>
                <w:bCs/>
                <w:color w:val="FFFFFF"/>
                <w:sz w:val="16"/>
                <w:szCs w:val="16"/>
              </w:rPr>
              <w:t>1,211,951</w:t>
            </w:r>
          </w:p>
        </w:tc>
        <w:tc>
          <w:tcPr>
            <w:tcW w:w="900" w:type="dxa"/>
            <w:tcBorders>
              <w:top w:val="nil"/>
              <w:left w:val="nil"/>
              <w:bottom w:val="single" w:sz="4" w:space="0" w:color="auto"/>
              <w:right w:val="single" w:sz="8" w:space="0" w:color="auto"/>
            </w:tcBorders>
            <w:shd w:val="clear" w:color="000000" w:fill="215C98"/>
            <w:noWrap/>
            <w:vAlign w:val="bottom"/>
            <w:hideMark/>
          </w:tcPr>
          <w:p w14:paraId="79DAB121" w14:textId="77777777" w:rsidR="003A4C20" w:rsidRPr="003A4C20" w:rsidRDefault="003A4C20" w:rsidP="003A4C20">
            <w:pPr>
              <w:spacing w:after="0" w:line="240" w:lineRule="auto"/>
              <w:jc w:val="right"/>
              <w:rPr>
                <w:rFonts w:ascii="Aptos Narrow" w:eastAsia="Times New Roman" w:hAnsi="Aptos Narrow" w:cs="Times New Roman"/>
                <w:b/>
                <w:bCs/>
                <w:color w:val="FFFFFF"/>
                <w:sz w:val="16"/>
                <w:szCs w:val="16"/>
              </w:rPr>
            </w:pPr>
            <w:r w:rsidRPr="003A4C20">
              <w:rPr>
                <w:rFonts w:ascii="Aptos Narrow" w:eastAsia="Times New Roman" w:hAnsi="Aptos Narrow" w:cs="Times New Roman"/>
                <w:b/>
                <w:bCs/>
                <w:color w:val="FFFFFF"/>
                <w:sz w:val="16"/>
                <w:szCs w:val="16"/>
              </w:rPr>
              <w:t>434,871</w:t>
            </w:r>
          </w:p>
        </w:tc>
        <w:tc>
          <w:tcPr>
            <w:tcW w:w="990" w:type="dxa"/>
            <w:tcBorders>
              <w:top w:val="nil"/>
              <w:left w:val="nil"/>
              <w:bottom w:val="single" w:sz="4" w:space="0" w:color="auto"/>
              <w:right w:val="single" w:sz="8" w:space="0" w:color="auto"/>
            </w:tcBorders>
            <w:shd w:val="clear" w:color="000000" w:fill="215C98"/>
            <w:noWrap/>
            <w:vAlign w:val="bottom"/>
            <w:hideMark/>
          </w:tcPr>
          <w:p w14:paraId="55CA3F57" w14:textId="77777777" w:rsidR="003A4C20" w:rsidRPr="003A4C20" w:rsidRDefault="003A4C20" w:rsidP="003A4C20">
            <w:pPr>
              <w:spacing w:after="0" w:line="240" w:lineRule="auto"/>
              <w:jc w:val="right"/>
              <w:rPr>
                <w:rFonts w:ascii="Aptos Narrow" w:eastAsia="Times New Roman" w:hAnsi="Aptos Narrow" w:cs="Times New Roman"/>
                <w:b/>
                <w:bCs/>
                <w:color w:val="FFFFFF"/>
                <w:sz w:val="16"/>
                <w:szCs w:val="16"/>
              </w:rPr>
            </w:pPr>
            <w:r w:rsidRPr="003A4C20">
              <w:rPr>
                <w:rFonts w:ascii="Aptos Narrow" w:eastAsia="Times New Roman" w:hAnsi="Aptos Narrow" w:cs="Times New Roman"/>
                <w:b/>
                <w:bCs/>
                <w:color w:val="FFFFFF"/>
                <w:sz w:val="16"/>
                <w:szCs w:val="16"/>
              </w:rPr>
              <w:t>4,545,455</w:t>
            </w:r>
          </w:p>
        </w:tc>
        <w:tc>
          <w:tcPr>
            <w:tcW w:w="720" w:type="dxa"/>
            <w:tcBorders>
              <w:top w:val="single" w:sz="8" w:space="0" w:color="auto"/>
              <w:left w:val="nil"/>
              <w:bottom w:val="single" w:sz="4" w:space="0" w:color="auto"/>
              <w:right w:val="single" w:sz="8" w:space="0" w:color="auto"/>
            </w:tcBorders>
            <w:shd w:val="clear" w:color="000000" w:fill="215C98"/>
            <w:noWrap/>
            <w:vAlign w:val="center"/>
            <w:hideMark/>
          </w:tcPr>
          <w:p w14:paraId="4AECCC4A" w14:textId="77777777" w:rsidR="003A4C20" w:rsidRPr="003A4C20" w:rsidRDefault="003A4C20" w:rsidP="003A4C20">
            <w:pPr>
              <w:spacing w:after="0" w:line="240" w:lineRule="auto"/>
              <w:jc w:val="center"/>
              <w:rPr>
                <w:rFonts w:ascii="Aptos Narrow" w:eastAsia="Times New Roman" w:hAnsi="Aptos Narrow" w:cs="Times New Roman"/>
                <w:b/>
                <w:bCs/>
                <w:color w:val="FFFFFF"/>
                <w:sz w:val="16"/>
                <w:szCs w:val="16"/>
              </w:rPr>
            </w:pPr>
            <w:r w:rsidRPr="003A4C20">
              <w:rPr>
                <w:rFonts w:ascii="Aptos Narrow" w:eastAsia="Times New Roman" w:hAnsi="Aptos Narrow" w:cs="Times New Roman"/>
                <w:b/>
                <w:bCs/>
                <w:color w:val="FFFFFF"/>
                <w:sz w:val="16"/>
                <w:szCs w:val="16"/>
              </w:rPr>
              <w:t> </w:t>
            </w:r>
          </w:p>
        </w:tc>
      </w:tr>
      <w:tr w:rsidR="006B32BD" w:rsidRPr="003A4C20" w14:paraId="0001F7BB" w14:textId="77777777" w:rsidTr="00773071">
        <w:trPr>
          <w:trHeight w:val="300"/>
        </w:trPr>
        <w:tc>
          <w:tcPr>
            <w:tcW w:w="8990" w:type="dxa"/>
            <w:gridSpan w:val="8"/>
            <w:tcBorders>
              <w:top w:val="single" w:sz="4" w:space="0" w:color="auto"/>
              <w:left w:val="single" w:sz="8" w:space="0" w:color="auto"/>
              <w:bottom w:val="single" w:sz="4" w:space="0" w:color="auto"/>
              <w:right w:val="single" w:sz="4" w:space="0" w:color="auto"/>
            </w:tcBorders>
            <w:shd w:val="clear" w:color="000000" w:fill="215C98"/>
            <w:noWrap/>
            <w:vAlign w:val="bottom"/>
            <w:hideMark/>
          </w:tcPr>
          <w:p w14:paraId="5AC0C9DA" w14:textId="77777777" w:rsidR="006B32BD" w:rsidRPr="003A4C20" w:rsidRDefault="006B32BD" w:rsidP="006B32BD">
            <w:pPr>
              <w:spacing w:after="0" w:line="240" w:lineRule="auto"/>
              <w:rPr>
                <w:rFonts w:ascii="Aptos Narrow" w:eastAsia="Times New Roman" w:hAnsi="Aptos Narrow" w:cs="Times New Roman"/>
                <w:b/>
                <w:bCs/>
                <w:color w:val="FFFFFF"/>
                <w:sz w:val="16"/>
                <w:szCs w:val="16"/>
              </w:rPr>
            </w:pPr>
            <w:r w:rsidRPr="003A4C20">
              <w:rPr>
                <w:rFonts w:ascii="Aptos Narrow" w:eastAsia="Times New Roman" w:hAnsi="Aptos Narrow" w:cs="Times New Roman"/>
                <w:b/>
                <w:bCs/>
                <w:color w:val="FFFFFF"/>
                <w:sz w:val="16"/>
                <w:szCs w:val="16"/>
              </w:rPr>
              <w:t xml:space="preserve"> Indirect Costs - GMS (10%) </w:t>
            </w:r>
          </w:p>
        </w:tc>
        <w:tc>
          <w:tcPr>
            <w:tcW w:w="990" w:type="dxa"/>
            <w:tcBorders>
              <w:top w:val="nil"/>
              <w:left w:val="single" w:sz="8" w:space="0" w:color="auto"/>
              <w:bottom w:val="single" w:sz="4" w:space="0" w:color="auto"/>
              <w:right w:val="single" w:sz="8" w:space="0" w:color="auto"/>
            </w:tcBorders>
            <w:shd w:val="clear" w:color="000000" w:fill="215C98"/>
            <w:noWrap/>
            <w:vAlign w:val="bottom"/>
            <w:hideMark/>
          </w:tcPr>
          <w:p w14:paraId="310C9BB8" w14:textId="0802DCF8" w:rsidR="006B32BD" w:rsidRPr="003A4C20" w:rsidRDefault="006B32BD" w:rsidP="006B32BD">
            <w:pPr>
              <w:spacing w:after="0" w:line="240" w:lineRule="auto"/>
              <w:jc w:val="right"/>
              <w:rPr>
                <w:rFonts w:ascii="Aptos Narrow" w:eastAsia="Times New Roman" w:hAnsi="Aptos Narrow" w:cs="Times New Roman"/>
                <w:b/>
                <w:bCs/>
                <w:color w:val="FFFFFF"/>
                <w:sz w:val="16"/>
                <w:szCs w:val="16"/>
              </w:rPr>
            </w:pPr>
            <w:r>
              <w:rPr>
                <w:rFonts w:ascii="Aptos Narrow" w:hAnsi="Aptos Narrow"/>
                <w:b/>
                <w:bCs/>
                <w:color w:val="FFFFFF"/>
                <w:sz w:val="16"/>
                <w:szCs w:val="16"/>
              </w:rPr>
              <w:t>64,209</w:t>
            </w:r>
          </w:p>
        </w:tc>
        <w:tc>
          <w:tcPr>
            <w:tcW w:w="990" w:type="dxa"/>
            <w:tcBorders>
              <w:top w:val="nil"/>
              <w:left w:val="nil"/>
              <w:bottom w:val="single" w:sz="4" w:space="0" w:color="auto"/>
              <w:right w:val="single" w:sz="8" w:space="0" w:color="auto"/>
            </w:tcBorders>
            <w:shd w:val="clear" w:color="000000" w:fill="215C98"/>
            <w:noWrap/>
            <w:vAlign w:val="bottom"/>
            <w:hideMark/>
          </w:tcPr>
          <w:p w14:paraId="4BBEAE6C" w14:textId="6B4BD3A5" w:rsidR="006B32BD" w:rsidRPr="003A4C20" w:rsidRDefault="006B32BD" w:rsidP="006B32BD">
            <w:pPr>
              <w:spacing w:after="0" w:line="240" w:lineRule="auto"/>
              <w:jc w:val="right"/>
              <w:rPr>
                <w:rFonts w:ascii="Aptos Narrow" w:eastAsia="Times New Roman" w:hAnsi="Aptos Narrow" w:cs="Times New Roman"/>
                <w:b/>
                <w:bCs/>
                <w:color w:val="FFFFFF"/>
                <w:sz w:val="16"/>
                <w:szCs w:val="16"/>
              </w:rPr>
            </w:pPr>
            <w:r>
              <w:rPr>
                <w:rFonts w:ascii="Aptos Narrow" w:hAnsi="Aptos Narrow"/>
                <w:b/>
                <w:bCs/>
                <w:color w:val="FFFFFF"/>
                <w:sz w:val="16"/>
                <w:szCs w:val="16"/>
              </w:rPr>
              <w:t>225,654</w:t>
            </w:r>
          </w:p>
        </w:tc>
        <w:tc>
          <w:tcPr>
            <w:tcW w:w="900" w:type="dxa"/>
            <w:tcBorders>
              <w:top w:val="nil"/>
              <w:left w:val="nil"/>
              <w:bottom w:val="single" w:sz="4" w:space="0" w:color="auto"/>
              <w:right w:val="single" w:sz="8" w:space="0" w:color="auto"/>
            </w:tcBorders>
            <w:shd w:val="clear" w:color="000000" w:fill="215C98"/>
            <w:noWrap/>
            <w:vAlign w:val="bottom"/>
            <w:hideMark/>
          </w:tcPr>
          <w:p w14:paraId="6D363122" w14:textId="33124F79" w:rsidR="006B32BD" w:rsidRPr="003A4C20" w:rsidRDefault="006B32BD" w:rsidP="006B32BD">
            <w:pPr>
              <w:spacing w:after="0" w:line="240" w:lineRule="auto"/>
              <w:jc w:val="right"/>
              <w:rPr>
                <w:rFonts w:ascii="Aptos Narrow" w:eastAsia="Times New Roman" w:hAnsi="Aptos Narrow" w:cs="Times New Roman"/>
                <w:b/>
                <w:bCs/>
                <w:color w:val="FFFFFF"/>
                <w:sz w:val="16"/>
                <w:szCs w:val="16"/>
              </w:rPr>
            </w:pPr>
            <w:r>
              <w:rPr>
                <w:rFonts w:ascii="Aptos Narrow" w:hAnsi="Aptos Narrow"/>
                <w:b/>
                <w:bCs/>
                <w:color w:val="FFFFFF"/>
                <w:sz w:val="16"/>
                <w:szCs w:val="16"/>
              </w:rPr>
              <w:t>121,195</w:t>
            </w:r>
          </w:p>
        </w:tc>
        <w:tc>
          <w:tcPr>
            <w:tcW w:w="900" w:type="dxa"/>
            <w:tcBorders>
              <w:top w:val="nil"/>
              <w:left w:val="nil"/>
              <w:bottom w:val="single" w:sz="4" w:space="0" w:color="auto"/>
              <w:right w:val="single" w:sz="8" w:space="0" w:color="auto"/>
            </w:tcBorders>
            <w:shd w:val="clear" w:color="000000" w:fill="215C98"/>
            <w:noWrap/>
            <w:vAlign w:val="bottom"/>
            <w:hideMark/>
          </w:tcPr>
          <w:p w14:paraId="5307E5A1" w14:textId="1A175FAD" w:rsidR="006B32BD" w:rsidRPr="003A4C20" w:rsidRDefault="006B32BD" w:rsidP="006B32BD">
            <w:pPr>
              <w:spacing w:after="0" w:line="240" w:lineRule="auto"/>
              <w:jc w:val="right"/>
              <w:rPr>
                <w:rFonts w:ascii="Aptos Narrow" w:eastAsia="Times New Roman" w:hAnsi="Aptos Narrow" w:cs="Times New Roman"/>
                <w:b/>
                <w:bCs/>
                <w:color w:val="FFFFFF"/>
                <w:sz w:val="16"/>
                <w:szCs w:val="16"/>
              </w:rPr>
            </w:pPr>
            <w:r>
              <w:rPr>
                <w:rFonts w:ascii="Aptos Narrow" w:hAnsi="Aptos Narrow"/>
                <w:b/>
                <w:bCs/>
                <w:color w:val="FFFFFF"/>
                <w:sz w:val="16"/>
                <w:szCs w:val="16"/>
              </w:rPr>
              <w:t>43,487</w:t>
            </w:r>
          </w:p>
        </w:tc>
        <w:tc>
          <w:tcPr>
            <w:tcW w:w="990" w:type="dxa"/>
            <w:tcBorders>
              <w:top w:val="nil"/>
              <w:left w:val="nil"/>
              <w:bottom w:val="single" w:sz="4" w:space="0" w:color="auto"/>
              <w:right w:val="single" w:sz="8" w:space="0" w:color="auto"/>
            </w:tcBorders>
            <w:shd w:val="clear" w:color="000000" w:fill="215C98"/>
            <w:noWrap/>
            <w:vAlign w:val="bottom"/>
            <w:hideMark/>
          </w:tcPr>
          <w:p w14:paraId="71012A20" w14:textId="77777777" w:rsidR="006B32BD" w:rsidRPr="003A4C20" w:rsidRDefault="006B32BD" w:rsidP="006B32BD">
            <w:pPr>
              <w:spacing w:after="0" w:line="240" w:lineRule="auto"/>
              <w:jc w:val="right"/>
              <w:rPr>
                <w:rFonts w:ascii="Aptos Narrow" w:eastAsia="Times New Roman" w:hAnsi="Aptos Narrow" w:cs="Times New Roman"/>
                <w:b/>
                <w:bCs/>
                <w:color w:val="FFFFFF"/>
                <w:sz w:val="16"/>
                <w:szCs w:val="16"/>
              </w:rPr>
            </w:pPr>
            <w:r w:rsidRPr="003A4C20">
              <w:rPr>
                <w:rFonts w:ascii="Aptos Narrow" w:eastAsia="Times New Roman" w:hAnsi="Aptos Narrow" w:cs="Times New Roman"/>
                <w:b/>
                <w:bCs/>
                <w:color w:val="FFFFFF"/>
                <w:sz w:val="16"/>
                <w:szCs w:val="16"/>
              </w:rPr>
              <w:t>454,545</w:t>
            </w:r>
          </w:p>
        </w:tc>
        <w:tc>
          <w:tcPr>
            <w:tcW w:w="720" w:type="dxa"/>
            <w:tcBorders>
              <w:top w:val="nil"/>
              <w:left w:val="nil"/>
              <w:bottom w:val="single" w:sz="4" w:space="0" w:color="auto"/>
              <w:right w:val="single" w:sz="8" w:space="0" w:color="auto"/>
            </w:tcBorders>
            <w:shd w:val="clear" w:color="000000" w:fill="215C98"/>
            <w:noWrap/>
            <w:vAlign w:val="center"/>
            <w:hideMark/>
          </w:tcPr>
          <w:p w14:paraId="54BA0941" w14:textId="77777777" w:rsidR="006B32BD" w:rsidRPr="003A4C20" w:rsidRDefault="006B32BD" w:rsidP="006B32BD">
            <w:pPr>
              <w:spacing w:after="0" w:line="240" w:lineRule="auto"/>
              <w:jc w:val="center"/>
              <w:rPr>
                <w:rFonts w:ascii="Aptos Narrow" w:eastAsia="Times New Roman" w:hAnsi="Aptos Narrow" w:cs="Times New Roman"/>
                <w:color w:val="FFFFFF"/>
                <w:sz w:val="16"/>
                <w:szCs w:val="16"/>
              </w:rPr>
            </w:pPr>
            <w:r w:rsidRPr="003A4C20">
              <w:rPr>
                <w:rFonts w:ascii="Aptos Narrow" w:eastAsia="Times New Roman" w:hAnsi="Aptos Narrow" w:cs="Times New Roman"/>
                <w:color w:val="FFFFFF"/>
                <w:sz w:val="16"/>
                <w:szCs w:val="16"/>
              </w:rPr>
              <w:t> </w:t>
            </w:r>
          </w:p>
        </w:tc>
      </w:tr>
      <w:tr w:rsidR="00B14773" w:rsidRPr="003A4C20" w14:paraId="15CFCB5F" w14:textId="77777777" w:rsidTr="00773071">
        <w:trPr>
          <w:trHeight w:val="300"/>
        </w:trPr>
        <w:tc>
          <w:tcPr>
            <w:tcW w:w="8990" w:type="dxa"/>
            <w:gridSpan w:val="8"/>
            <w:tcBorders>
              <w:top w:val="single" w:sz="4" w:space="0" w:color="auto"/>
              <w:left w:val="single" w:sz="8" w:space="0" w:color="auto"/>
              <w:bottom w:val="single" w:sz="8" w:space="0" w:color="auto"/>
              <w:right w:val="single" w:sz="4" w:space="0" w:color="auto"/>
            </w:tcBorders>
            <w:shd w:val="clear" w:color="000000" w:fill="215C98"/>
            <w:noWrap/>
            <w:vAlign w:val="bottom"/>
            <w:hideMark/>
          </w:tcPr>
          <w:p w14:paraId="668970BC" w14:textId="77777777" w:rsidR="00B14773" w:rsidRPr="003A4C20" w:rsidRDefault="00B14773" w:rsidP="00B14773">
            <w:pPr>
              <w:spacing w:after="0" w:line="240" w:lineRule="auto"/>
              <w:rPr>
                <w:rFonts w:ascii="Aptos Narrow" w:eastAsia="Times New Roman" w:hAnsi="Aptos Narrow" w:cs="Times New Roman"/>
                <w:b/>
                <w:bCs/>
                <w:color w:val="FFFFFF"/>
                <w:sz w:val="16"/>
                <w:szCs w:val="16"/>
              </w:rPr>
            </w:pPr>
            <w:r w:rsidRPr="003A4C20">
              <w:rPr>
                <w:rFonts w:ascii="Aptos Narrow" w:eastAsia="Times New Roman" w:hAnsi="Aptos Narrow" w:cs="Times New Roman"/>
                <w:b/>
                <w:bCs/>
                <w:color w:val="FFFFFF"/>
                <w:sz w:val="16"/>
                <w:szCs w:val="16"/>
              </w:rPr>
              <w:t>Grand total (Direct cost and GMS)</w:t>
            </w:r>
          </w:p>
        </w:tc>
        <w:tc>
          <w:tcPr>
            <w:tcW w:w="990" w:type="dxa"/>
            <w:tcBorders>
              <w:top w:val="single" w:sz="8" w:space="0" w:color="auto"/>
              <w:left w:val="single" w:sz="8" w:space="0" w:color="auto"/>
              <w:bottom w:val="single" w:sz="4" w:space="0" w:color="auto"/>
              <w:right w:val="single" w:sz="8" w:space="0" w:color="auto"/>
            </w:tcBorders>
            <w:shd w:val="clear" w:color="000000" w:fill="215C98"/>
            <w:noWrap/>
            <w:vAlign w:val="bottom"/>
            <w:hideMark/>
          </w:tcPr>
          <w:p w14:paraId="41B6D828" w14:textId="0E186186" w:rsidR="00B14773" w:rsidRPr="003A4C20" w:rsidRDefault="00B14773" w:rsidP="00B14773">
            <w:pPr>
              <w:spacing w:after="0" w:line="240" w:lineRule="auto"/>
              <w:jc w:val="right"/>
              <w:rPr>
                <w:rFonts w:ascii="Aptos Narrow" w:eastAsia="Times New Roman" w:hAnsi="Aptos Narrow" w:cs="Times New Roman"/>
                <w:b/>
                <w:bCs/>
                <w:color w:val="FFFFFF"/>
                <w:sz w:val="16"/>
                <w:szCs w:val="16"/>
              </w:rPr>
            </w:pPr>
            <w:r>
              <w:rPr>
                <w:rFonts w:ascii="Aptos Narrow" w:hAnsi="Aptos Narrow"/>
                <w:b/>
                <w:bCs/>
                <w:color w:val="FFFFFF"/>
                <w:sz w:val="16"/>
                <w:szCs w:val="16"/>
              </w:rPr>
              <w:t>706,298</w:t>
            </w:r>
          </w:p>
        </w:tc>
        <w:tc>
          <w:tcPr>
            <w:tcW w:w="990" w:type="dxa"/>
            <w:tcBorders>
              <w:top w:val="single" w:sz="8" w:space="0" w:color="auto"/>
              <w:left w:val="nil"/>
              <w:bottom w:val="single" w:sz="4" w:space="0" w:color="auto"/>
              <w:right w:val="single" w:sz="8" w:space="0" w:color="auto"/>
            </w:tcBorders>
            <w:shd w:val="clear" w:color="000000" w:fill="215C98"/>
            <w:noWrap/>
            <w:vAlign w:val="bottom"/>
            <w:hideMark/>
          </w:tcPr>
          <w:p w14:paraId="1E8F4189" w14:textId="4507AEB6" w:rsidR="00B14773" w:rsidRPr="003A4C20" w:rsidRDefault="00B14773" w:rsidP="00B14773">
            <w:pPr>
              <w:spacing w:after="0" w:line="240" w:lineRule="auto"/>
              <w:jc w:val="right"/>
              <w:rPr>
                <w:rFonts w:ascii="Aptos Narrow" w:eastAsia="Times New Roman" w:hAnsi="Aptos Narrow" w:cs="Times New Roman"/>
                <w:b/>
                <w:bCs/>
                <w:color w:val="FFFFFF"/>
                <w:sz w:val="16"/>
                <w:szCs w:val="16"/>
              </w:rPr>
            </w:pPr>
            <w:r>
              <w:rPr>
                <w:rFonts w:ascii="Aptos Narrow" w:hAnsi="Aptos Narrow"/>
                <w:b/>
                <w:bCs/>
                <w:color w:val="FFFFFF"/>
                <w:sz w:val="16"/>
                <w:szCs w:val="16"/>
              </w:rPr>
              <w:t>2,482,198</w:t>
            </w:r>
          </w:p>
        </w:tc>
        <w:tc>
          <w:tcPr>
            <w:tcW w:w="900" w:type="dxa"/>
            <w:tcBorders>
              <w:top w:val="single" w:sz="8" w:space="0" w:color="auto"/>
              <w:left w:val="nil"/>
              <w:bottom w:val="single" w:sz="4" w:space="0" w:color="auto"/>
              <w:right w:val="single" w:sz="8" w:space="0" w:color="auto"/>
            </w:tcBorders>
            <w:shd w:val="clear" w:color="000000" w:fill="215C98"/>
            <w:noWrap/>
            <w:vAlign w:val="bottom"/>
            <w:hideMark/>
          </w:tcPr>
          <w:p w14:paraId="78D1F7C9" w14:textId="1BB76261" w:rsidR="00B14773" w:rsidRPr="003A4C20" w:rsidRDefault="00B14773" w:rsidP="00B14773">
            <w:pPr>
              <w:spacing w:after="0" w:line="240" w:lineRule="auto"/>
              <w:jc w:val="right"/>
              <w:rPr>
                <w:rFonts w:ascii="Aptos Narrow" w:eastAsia="Times New Roman" w:hAnsi="Aptos Narrow" w:cs="Times New Roman"/>
                <w:b/>
                <w:bCs/>
                <w:color w:val="FFFFFF"/>
                <w:sz w:val="16"/>
                <w:szCs w:val="16"/>
              </w:rPr>
            </w:pPr>
            <w:r>
              <w:rPr>
                <w:rFonts w:ascii="Aptos Narrow" w:hAnsi="Aptos Narrow"/>
                <w:b/>
                <w:bCs/>
                <w:color w:val="FFFFFF"/>
                <w:sz w:val="16"/>
                <w:szCs w:val="16"/>
              </w:rPr>
              <w:t>1,333,146</w:t>
            </w:r>
          </w:p>
        </w:tc>
        <w:tc>
          <w:tcPr>
            <w:tcW w:w="900" w:type="dxa"/>
            <w:tcBorders>
              <w:top w:val="single" w:sz="8" w:space="0" w:color="auto"/>
              <w:left w:val="nil"/>
              <w:bottom w:val="single" w:sz="4" w:space="0" w:color="auto"/>
              <w:right w:val="single" w:sz="8" w:space="0" w:color="auto"/>
            </w:tcBorders>
            <w:shd w:val="clear" w:color="000000" w:fill="215C98"/>
            <w:noWrap/>
            <w:vAlign w:val="bottom"/>
            <w:hideMark/>
          </w:tcPr>
          <w:p w14:paraId="2A1BE41D" w14:textId="46337AA8" w:rsidR="00B14773" w:rsidRPr="003A4C20" w:rsidRDefault="00B14773" w:rsidP="00B14773">
            <w:pPr>
              <w:spacing w:after="0" w:line="240" w:lineRule="auto"/>
              <w:jc w:val="right"/>
              <w:rPr>
                <w:rFonts w:ascii="Aptos Narrow" w:eastAsia="Times New Roman" w:hAnsi="Aptos Narrow" w:cs="Times New Roman"/>
                <w:b/>
                <w:bCs/>
                <w:color w:val="FFFFFF"/>
                <w:sz w:val="16"/>
                <w:szCs w:val="16"/>
              </w:rPr>
            </w:pPr>
            <w:r>
              <w:rPr>
                <w:rFonts w:ascii="Aptos Narrow" w:hAnsi="Aptos Narrow"/>
                <w:b/>
                <w:bCs/>
                <w:color w:val="FFFFFF"/>
                <w:sz w:val="16"/>
                <w:szCs w:val="16"/>
              </w:rPr>
              <w:t>478,358</w:t>
            </w:r>
          </w:p>
        </w:tc>
        <w:tc>
          <w:tcPr>
            <w:tcW w:w="990" w:type="dxa"/>
            <w:tcBorders>
              <w:top w:val="nil"/>
              <w:left w:val="nil"/>
              <w:bottom w:val="single" w:sz="8" w:space="0" w:color="auto"/>
              <w:right w:val="single" w:sz="8" w:space="0" w:color="auto"/>
            </w:tcBorders>
            <w:shd w:val="clear" w:color="000000" w:fill="215C98"/>
            <w:noWrap/>
            <w:vAlign w:val="bottom"/>
            <w:hideMark/>
          </w:tcPr>
          <w:p w14:paraId="0B0AFD63" w14:textId="77777777" w:rsidR="00B14773" w:rsidRPr="003A4C20" w:rsidRDefault="00B14773" w:rsidP="00B14773">
            <w:pPr>
              <w:spacing w:after="0" w:line="240" w:lineRule="auto"/>
              <w:jc w:val="right"/>
              <w:rPr>
                <w:rFonts w:ascii="Aptos Narrow" w:eastAsia="Times New Roman" w:hAnsi="Aptos Narrow" w:cs="Times New Roman"/>
                <w:b/>
                <w:bCs/>
                <w:color w:val="FFFFFF"/>
                <w:sz w:val="16"/>
                <w:szCs w:val="16"/>
              </w:rPr>
            </w:pPr>
            <w:r w:rsidRPr="003A4C20">
              <w:rPr>
                <w:rFonts w:ascii="Aptos Narrow" w:eastAsia="Times New Roman" w:hAnsi="Aptos Narrow" w:cs="Times New Roman"/>
                <w:b/>
                <w:bCs/>
                <w:color w:val="FFFFFF"/>
                <w:sz w:val="16"/>
                <w:szCs w:val="16"/>
              </w:rPr>
              <w:t>5,000,000</w:t>
            </w:r>
          </w:p>
        </w:tc>
        <w:tc>
          <w:tcPr>
            <w:tcW w:w="720" w:type="dxa"/>
            <w:tcBorders>
              <w:top w:val="nil"/>
              <w:left w:val="nil"/>
              <w:bottom w:val="single" w:sz="8" w:space="0" w:color="auto"/>
              <w:right w:val="single" w:sz="8" w:space="0" w:color="auto"/>
            </w:tcBorders>
            <w:shd w:val="clear" w:color="000000" w:fill="215C98"/>
            <w:noWrap/>
            <w:vAlign w:val="center"/>
            <w:hideMark/>
          </w:tcPr>
          <w:p w14:paraId="3FA77211" w14:textId="77777777" w:rsidR="00B14773" w:rsidRPr="003A4C20" w:rsidRDefault="00B14773" w:rsidP="00B14773">
            <w:pPr>
              <w:spacing w:after="0" w:line="240" w:lineRule="auto"/>
              <w:jc w:val="right"/>
              <w:rPr>
                <w:rFonts w:ascii="Aptos Narrow" w:eastAsia="Times New Roman" w:hAnsi="Aptos Narrow" w:cs="Times New Roman"/>
                <w:color w:val="FFFFFF"/>
                <w:sz w:val="16"/>
                <w:szCs w:val="16"/>
              </w:rPr>
            </w:pPr>
            <w:r w:rsidRPr="003A4C20">
              <w:rPr>
                <w:rFonts w:ascii="Aptos Narrow" w:eastAsia="Times New Roman" w:hAnsi="Aptos Narrow" w:cs="Times New Roman"/>
                <w:color w:val="FFFFFF"/>
                <w:sz w:val="16"/>
                <w:szCs w:val="16"/>
              </w:rPr>
              <w:t> </w:t>
            </w:r>
          </w:p>
        </w:tc>
      </w:tr>
    </w:tbl>
    <w:p w14:paraId="6C4EB319" w14:textId="77777777" w:rsidR="002D21DC" w:rsidRPr="00306F4D" w:rsidRDefault="002D21DC" w:rsidP="00C72C62"/>
    <w:bookmarkEnd w:id="209"/>
    <w:bookmarkEnd w:id="210"/>
    <w:bookmarkEnd w:id="211"/>
    <w:bookmarkEnd w:id="212"/>
    <w:p w14:paraId="1DC30005" w14:textId="77777777" w:rsidR="00703634" w:rsidRPr="00306F4D" w:rsidRDefault="00703634" w:rsidP="004E2500">
      <w:pPr>
        <w:pStyle w:val="Footer"/>
        <w:rPr>
          <w:rFonts w:ascii="Arial" w:hAnsi="Arial" w:cs="Arial"/>
          <w:b/>
          <w:bCs/>
          <w:sz w:val="20"/>
          <w:szCs w:val="20"/>
          <w:lang w:val="en-GB"/>
        </w:rPr>
      </w:pPr>
    </w:p>
    <w:p w14:paraId="7AA5489E" w14:textId="719C8C65" w:rsidR="007020E9" w:rsidRPr="00306F4D" w:rsidRDefault="01A8B861" w:rsidP="004E2500">
      <w:pPr>
        <w:pStyle w:val="Footer"/>
        <w:rPr>
          <w:rFonts w:ascii="Arial" w:hAnsi="Arial" w:cs="Arial"/>
          <w:b/>
          <w:sz w:val="20"/>
          <w:szCs w:val="20"/>
          <w:lang w:val="en-GB"/>
        </w:rPr>
      </w:pPr>
      <w:r w:rsidRPr="00306F4D">
        <w:rPr>
          <w:rFonts w:ascii="Arial" w:hAnsi="Arial" w:cs="Arial"/>
          <w:b/>
          <w:sz w:val="20"/>
          <w:szCs w:val="20"/>
          <w:lang w:val="en-GB"/>
        </w:rPr>
        <w:t>Budget Notes:</w:t>
      </w:r>
    </w:p>
    <w:p w14:paraId="04CF060C" w14:textId="77777777" w:rsidR="002D21DC" w:rsidRPr="00306F4D" w:rsidRDefault="002D21DC" w:rsidP="004E2500">
      <w:pPr>
        <w:pStyle w:val="Footer"/>
        <w:rPr>
          <w:rFonts w:ascii="Arial" w:hAnsi="Arial" w:cs="Arial"/>
          <w:sz w:val="20"/>
          <w:szCs w:val="20"/>
          <w:lang w:val="en-GB"/>
        </w:rPr>
      </w:pPr>
    </w:p>
    <w:tbl>
      <w:tblPr>
        <w:tblStyle w:val="GridTable4-Accent5"/>
        <w:tblW w:w="0" w:type="auto"/>
        <w:tblLayout w:type="fixed"/>
        <w:tblLook w:val="04A0" w:firstRow="1" w:lastRow="0" w:firstColumn="1" w:lastColumn="0" w:noHBand="0" w:noVBand="1"/>
      </w:tblPr>
      <w:tblGrid>
        <w:gridCol w:w="1465"/>
        <w:gridCol w:w="12210"/>
      </w:tblGrid>
      <w:tr w:rsidR="008A593A" w:rsidRPr="00306F4D" w14:paraId="06DF1AA7" w14:textId="77777777" w:rsidTr="008A59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5" w:type="dxa"/>
            <w:hideMark/>
          </w:tcPr>
          <w:p w14:paraId="13E8397B" w14:textId="77777777" w:rsidR="008A593A" w:rsidRPr="00306F4D" w:rsidRDefault="008A593A" w:rsidP="00890A72">
            <w:pPr>
              <w:pStyle w:val="Footer"/>
              <w:jc w:val="center"/>
              <w:rPr>
                <w:rFonts w:ascii="Arial" w:hAnsi="Arial" w:cs="Arial"/>
                <w:sz w:val="20"/>
                <w:szCs w:val="20"/>
              </w:rPr>
            </w:pPr>
            <w:r w:rsidRPr="00306F4D">
              <w:rPr>
                <w:rFonts w:ascii="Arial" w:hAnsi="Arial" w:cs="Arial"/>
                <w:sz w:val="20"/>
                <w:szCs w:val="20"/>
              </w:rPr>
              <w:t>Budget Note No.</w:t>
            </w:r>
          </w:p>
        </w:tc>
        <w:tc>
          <w:tcPr>
            <w:tcW w:w="12210" w:type="dxa"/>
            <w:hideMark/>
          </w:tcPr>
          <w:p w14:paraId="4EF1E638" w14:textId="77777777" w:rsidR="008A593A" w:rsidRPr="00306F4D" w:rsidRDefault="008A593A" w:rsidP="00BA0352">
            <w:pPr>
              <w:pStyle w:val="Foo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306F4D">
              <w:rPr>
                <w:rFonts w:ascii="Arial" w:hAnsi="Arial" w:cs="Arial"/>
                <w:sz w:val="20"/>
                <w:szCs w:val="20"/>
              </w:rPr>
              <w:t>Project Output (Description)</w:t>
            </w:r>
          </w:p>
        </w:tc>
      </w:tr>
      <w:tr w:rsidR="008A593A" w:rsidRPr="00306F4D" w14:paraId="531056E4" w14:textId="77777777" w:rsidTr="008A59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5" w:type="dxa"/>
            <w:hideMark/>
          </w:tcPr>
          <w:p w14:paraId="380E2720" w14:textId="77777777" w:rsidR="008A593A" w:rsidRPr="00306F4D" w:rsidRDefault="008A593A" w:rsidP="00BA0352">
            <w:pPr>
              <w:pStyle w:val="Footer"/>
              <w:rPr>
                <w:rFonts w:ascii="Arial" w:hAnsi="Arial" w:cs="Arial"/>
                <w:sz w:val="20"/>
                <w:szCs w:val="20"/>
              </w:rPr>
            </w:pPr>
          </w:p>
        </w:tc>
        <w:tc>
          <w:tcPr>
            <w:tcW w:w="12210" w:type="dxa"/>
            <w:hideMark/>
          </w:tcPr>
          <w:p w14:paraId="11FFC1C8" w14:textId="77777777" w:rsidR="008A593A" w:rsidRPr="00306F4D" w:rsidRDefault="008A593A" w:rsidP="00BA0352">
            <w:pPr>
              <w:pStyle w:val="Foo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8A593A" w:rsidRPr="00306F4D" w14:paraId="55E3C4A5" w14:textId="77777777" w:rsidTr="008A593A">
        <w:tc>
          <w:tcPr>
            <w:cnfStyle w:val="001000000000" w:firstRow="0" w:lastRow="0" w:firstColumn="1" w:lastColumn="0" w:oddVBand="0" w:evenVBand="0" w:oddHBand="0" w:evenHBand="0" w:firstRowFirstColumn="0" w:firstRowLastColumn="0" w:lastRowFirstColumn="0" w:lastRowLastColumn="0"/>
            <w:tcW w:w="1465" w:type="dxa"/>
            <w:vMerge w:val="restart"/>
            <w:hideMark/>
          </w:tcPr>
          <w:p w14:paraId="34E2399A" w14:textId="77777777" w:rsidR="008A593A" w:rsidRPr="00306F4D" w:rsidRDefault="008A593A" w:rsidP="00BA0352">
            <w:pPr>
              <w:pStyle w:val="Footer"/>
              <w:rPr>
                <w:rFonts w:ascii="Arial" w:hAnsi="Arial" w:cs="Arial"/>
                <w:sz w:val="20"/>
                <w:szCs w:val="20"/>
              </w:rPr>
            </w:pPr>
            <w:r w:rsidRPr="00306F4D">
              <w:rPr>
                <w:rFonts w:ascii="Arial" w:hAnsi="Arial" w:cs="Arial"/>
                <w:sz w:val="20"/>
                <w:szCs w:val="20"/>
              </w:rPr>
              <w:t>1</w:t>
            </w:r>
          </w:p>
        </w:tc>
        <w:tc>
          <w:tcPr>
            <w:tcW w:w="12210" w:type="dxa"/>
            <w:hideMark/>
          </w:tcPr>
          <w:p w14:paraId="65C89B70" w14:textId="348E7C43" w:rsidR="008A593A" w:rsidRPr="00306F4D" w:rsidRDefault="008A593A" w:rsidP="008A593A">
            <w:pPr>
              <w:pStyle w:val="Footer"/>
              <w:tabs>
                <w:tab w:val="clear" w:pos="936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06F4D">
              <w:rPr>
                <w:rFonts w:ascii="Arial" w:hAnsi="Arial" w:cs="Arial"/>
                <w:sz w:val="20"/>
                <w:szCs w:val="20"/>
              </w:rPr>
              <w:t>Innovation for Adaptation - Global Technical Specialist: Overall coordination of the global team and T</w:t>
            </w:r>
            <w:r w:rsidR="00C05AD7" w:rsidRPr="00306F4D">
              <w:rPr>
                <w:rFonts w:ascii="Arial" w:hAnsi="Arial" w:cs="Arial"/>
                <w:sz w:val="20"/>
                <w:szCs w:val="20"/>
              </w:rPr>
              <w:t>echnical Assistance</w:t>
            </w:r>
            <w:r w:rsidR="008E7566" w:rsidRPr="00306F4D">
              <w:rPr>
                <w:rFonts w:ascii="Arial" w:hAnsi="Arial" w:cs="Arial"/>
                <w:sz w:val="20"/>
                <w:szCs w:val="20"/>
              </w:rPr>
              <w:t xml:space="preserve"> (TA)</w:t>
            </w:r>
            <w:r w:rsidRPr="00306F4D">
              <w:rPr>
                <w:rFonts w:ascii="Arial" w:hAnsi="Arial" w:cs="Arial"/>
                <w:sz w:val="20"/>
                <w:szCs w:val="20"/>
              </w:rPr>
              <w:t xml:space="preserve"> to support the WB grantees (and guidance to the PMU/COs while delivering the project). Brings all the lessons learnt, partnership platform, and </w:t>
            </w:r>
            <w:proofErr w:type="spellStart"/>
            <w:r w:rsidRPr="00306F4D">
              <w:rPr>
                <w:rFonts w:ascii="Arial" w:hAnsi="Arial" w:cs="Arial"/>
                <w:sz w:val="20"/>
                <w:szCs w:val="20"/>
              </w:rPr>
              <w:t>know how</w:t>
            </w:r>
            <w:proofErr w:type="spellEnd"/>
            <w:r w:rsidRPr="00306F4D">
              <w:rPr>
                <w:rFonts w:ascii="Arial" w:hAnsi="Arial" w:cs="Arial"/>
                <w:sz w:val="20"/>
                <w:szCs w:val="20"/>
              </w:rPr>
              <w:t xml:space="preserve"> from the global project UNDP-AFCIA. Maintaining the </w:t>
            </w:r>
            <w:proofErr w:type="spellStart"/>
            <w:proofErr w:type="gramStart"/>
            <w:r w:rsidRPr="00306F4D">
              <w:rPr>
                <w:rFonts w:ascii="Arial" w:hAnsi="Arial" w:cs="Arial"/>
                <w:sz w:val="20"/>
                <w:szCs w:val="20"/>
              </w:rPr>
              <w:t>well established</w:t>
            </w:r>
            <w:proofErr w:type="spellEnd"/>
            <w:proofErr w:type="gramEnd"/>
            <w:r w:rsidRPr="00306F4D">
              <w:rPr>
                <w:rFonts w:ascii="Arial" w:hAnsi="Arial" w:cs="Arial"/>
                <w:sz w:val="20"/>
                <w:szCs w:val="20"/>
              </w:rPr>
              <w:t xml:space="preserve"> relationship with Adaptation Fund counterparts and other partners. </w:t>
            </w:r>
          </w:p>
        </w:tc>
      </w:tr>
      <w:tr w:rsidR="008A593A" w:rsidRPr="00306F4D" w14:paraId="5A3661A0" w14:textId="77777777" w:rsidTr="008A59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5" w:type="dxa"/>
            <w:vMerge/>
            <w:hideMark/>
          </w:tcPr>
          <w:p w14:paraId="1DFBE24F" w14:textId="77777777" w:rsidR="008A593A" w:rsidRPr="00306F4D" w:rsidRDefault="008A593A" w:rsidP="00BA0352">
            <w:pPr>
              <w:pStyle w:val="Footer"/>
              <w:rPr>
                <w:rFonts w:ascii="Arial" w:hAnsi="Arial" w:cs="Arial"/>
                <w:sz w:val="20"/>
                <w:szCs w:val="20"/>
              </w:rPr>
            </w:pPr>
          </w:p>
        </w:tc>
        <w:tc>
          <w:tcPr>
            <w:tcW w:w="12210" w:type="dxa"/>
            <w:hideMark/>
          </w:tcPr>
          <w:p w14:paraId="6325A78B" w14:textId="77777777" w:rsidR="008A593A" w:rsidRPr="00306F4D" w:rsidRDefault="008A593A" w:rsidP="00BA0352">
            <w:pPr>
              <w:pStyle w:val="Foo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06F4D">
              <w:rPr>
                <w:rFonts w:ascii="Arial" w:hAnsi="Arial" w:cs="Arial"/>
                <w:sz w:val="20"/>
                <w:szCs w:val="20"/>
              </w:rPr>
              <w:t xml:space="preserve">Performance and Data analyst: Responsible to streamline the data collection process from all the grantees. Support with the design of impact indicators (to be included in LVGAs). Including track results progress in line with the Results Framework. Includes the capturing of lessons learned and the development of Learning Briefs, as per MEL budgeted plan) </w:t>
            </w:r>
          </w:p>
        </w:tc>
      </w:tr>
      <w:tr w:rsidR="008A593A" w:rsidRPr="00306F4D" w14:paraId="3BA447B5" w14:textId="77777777" w:rsidTr="008A593A">
        <w:tc>
          <w:tcPr>
            <w:cnfStyle w:val="001000000000" w:firstRow="0" w:lastRow="0" w:firstColumn="1" w:lastColumn="0" w:oddVBand="0" w:evenVBand="0" w:oddHBand="0" w:evenHBand="0" w:firstRowFirstColumn="0" w:firstRowLastColumn="0" w:lastRowFirstColumn="0" w:lastRowLastColumn="0"/>
            <w:tcW w:w="1465" w:type="dxa"/>
            <w:vMerge/>
            <w:hideMark/>
          </w:tcPr>
          <w:p w14:paraId="734C280A" w14:textId="77777777" w:rsidR="008A593A" w:rsidRPr="00306F4D" w:rsidRDefault="008A593A" w:rsidP="00BA0352">
            <w:pPr>
              <w:pStyle w:val="Footer"/>
              <w:rPr>
                <w:rFonts w:ascii="Arial" w:hAnsi="Arial" w:cs="Arial"/>
                <w:sz w:val="20"/>
                <w:szCs w:val="20"/>
              </w:rPr>
            </w:pPr>
          </w:p>
        </w:tc>
        <w:tc>
          <w:tcPr>
            <w:tcW w:w="12210" w:type="dxa"/>
            <w:hideMark/>
          </w:tcPr>
          <w:p w14:paraId="4BA8FD92" w14:textId="77777777" w:rsidR="008A593A" w:rsidRPr="00306F4D" w:rsidRDefault="008A593A" w:rsidP="00BA0352">
            <w:pPr>
              <w:pStyle w:val="Foo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06F4D">
              <w:rPr>
                <w:rFonts w:ascii="Arial" w:hAnsi="Arial" w:cs="Arial"/>
                <w:sz w:val="20"/>
                <w:szCs w:val="20"/>
              </w:rPr>
              <w:t xml:space="preserve">Regional Project Manager: Leads the implementation of Component 1 – Innovation Facility for Climate Adaptation across the four Western Balkans countries. Oversees the identification and selection of </w:t>
            </w:r>
            <w:proofErr w:type="gramStart"/>
            <w:r w:rsidRPr="00306F4D">
              <w:rPr>
                <w:rFonts w:ascii="Arial" w:hAnsi="Arial" w:cs="Arial"/>
                <w:sz w:val="20"/>
                <w:szCs w:val="20"/>
              </w:rPr>
              <w:t>locally-led</w:t>
            </w:r>
            <w:proofErr w:type="gramEnd"/>
            <w:r w:rsidRPr="00306F4D">
              <w:rPr>
                <w:rFonts w:ascii="Arial" w:hAnsi="Arial" w:cs="Arial"/>
                <w:sz w:val="20"/>
                <w:szCs w:val="20"/>
              </w:rPr>
              <w:t xml:space="preserve"> innovative climate adaptation solutions, with a focus on approaches advancing gender equality and women’s empowerment and addressing priority climate risks. Coordinates the design and delivery of the regional learning </w:t>
            </w:r>
            <w:proofErr w:type="spellStart"/>
            <w:r w:rsidRPr="00306F4D">
              <w:rPr>
                <w:rFonts w:ascii="Arial" w:hAnsi="Arial" w:cs="Arial"/>
                <w:sz w:val="20"/>
                <w:szCs w:val="20"/>
              </w:rPr>
              <w:t>programme</w:t>
            </w:r>
            <w:proofErr w:type="spellEnd"/>
            <w:r w:rsidRPr="00306F4D">
              <w:rPr>
                <w:rFonts w:ascii="Arial" w:hAnsi="Arial" w:cs="Arial"/>
                <w:sz w:val="20"/>
                <w:szCs w:val="20"/>
              </w:rPr>
              <w:t>, including design sprints, and manages the disbursement of grants. Ensures coherence across country-level activities, facilitates cross-country collaboration, and maintains strategic engagement with regional and national stakeholders to achieve project objectives.</w:t>
            </w:r>
          </w:p>
        </w:tc>
      </w:tr>
      <w:tr w:rsidR="008A593A" w:rsidRPr="00306F4D" w14:paraId="4D7546D7" w14:textId="77777777" w:rsidTr="008A59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5" w:type="dxa"/>
            <w:vMerge/>
            <w:hideMark/>
          </w:tcPr>
          <w:p w14:paraId="285FCB0A" w14:textId="77777777" w:rsidR="008A593A" w:rsidRPr="00306F4D" w:rsidRDefault="008A593A" w:rsidP="00BA0352">
            <w:pPr>
              <w:pStyle w:val="Footer"/>
              <w:rPr>
                <w:rFonts w:ascii="Arial" w:hAnsi="Arial" w:cs="Arial"/>
                <w:sz w:val="20"/>
                <w:szCs w:val="20"/>
              </w:rPr>
            </w:pPr>
          </w:p>
        </w:tc>
        <w:tc>
          <w:tcPr>
            <w:tcW w:w="12210" w:type="dxa"/>
            <w:hideMark/>
          </w:tcPr>
          <w:p w14:paraId="7DFD01C4" w14:textId="77777777" w:rsidR="008A593A" w:rsidRPr="00306F4D" w:rsidRDefault="008A593A" w:rsidP="00BA0352">
            <w:pPr>
              <w:pStyle w:val="Foo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06F4D">
              <w:rPr>
                <w:rFonts w:ascii="Arial" w:hAnsi="Arial" w:cs="Arial"/>
                <w:sz w:val="20"/>
                <w:szCs w:val="20"/>
              </w:rPr>
              <w:t xml:space="preserve">Project Coordinator BIH: Manages the day-to-day implementation of Component 1 – Innovation Facility for Climate Adaptation at the country level. Coordinates with local partners and stakeholders to identify, promote, and support innovative climate adaptation solutions, ensuring integration of gender equality and women’s empowerment and addressing priority climate risks. Oversees in-country delivery of activities, monitors </w:t>
            </w:r>
            <w:proofErr w:type="gramStart"/>
            <w:r w:rsidRPr="00306F4D">
              <w:rPr>
                <w:rFonts w:ascii="Arial" w:hAnsi="Arial" w:cs="Arial"/>
                <w:sz w:val="20"/>
                <w:szCs w:val="20"/>
              </w:rPr>
              <w:t>progress, and</w:t>
            </w:r>
            <w:proofErr w:type="gramEnd"/>
            <w:r w:rsidRPr="00306F4D">
              <w:rPr>
                <w:rFonts w:ascii="Arial" w:hAnsi="Arial" w:cs="Arial"/>
                <w:sz w:val="20"/>
                <w:szCs w:val="20"/>
              </w:rPr>
              <w:t xml:space="preserve"> ensures timely reporting to the Regional Project Manager. Contributes to the regional learning </w:t>
            </w:r>
            <w:proofErr w:type="spellStart"/>
            <w:r w:rsidRPr="00306F4D">
              <w:rPr>
                <w:rFonts w:ascii="Arial" w:hAnsi="Arial" w:cs="Arial"/>
                <w:sz w:val="20"/>
                <w:szCs w:val="20"/>
              </w:rPr>
              <w:t>programme</w:t>
            </w:r>
            <w:proofErr w:type="spellEnd"/>
            <w:r w:rsidRPr="00306F4D">
              <w:rPr>
                <w:rFonts w:ascii="Arial" w:hAnsi="Arial" w:cs="Arial"/>
                <w:sz w:val="20"/>
                <w:szCs w:val="20"/>
              </w:rPr>
              <w:t xml:space="preserve"> and design sprint </w:t>
            </w:r>
            <w:proofErr w:type="gramStart"/>
            <w:r w:rsidRPr="00306F4D">
              <w:rPr>
                <w:rFonts w:ascii="Arial" w:hAnsi="Arial" w:cs="Arial"/>
                <w:sz w:val="20"/>
                <w:szCs w:val="20"/>
              </w:rPr>
              <w:t>activities, and</w:t>
            </w:r>
            <w:proofErr w:type="gramEnd"/>
            <w:r w:rsidRPr="00306F4D">
              <w:rPr>
                <w:rFonts w:ascii="Arial" w:hAnsi="Arial" w:cs="Arial"/>
                <w:sz w:val="20"/>
                <w:szCs w:val="20"/>
              </w:rPr>
              <w:t xml:space="preserve"> supports grant recipients in meeting project goals and compliance requirements.</w:t>
            </w:r>
          </w:p>
        </w:tc>
      </w:tr>
      <w:tr w:rsidR="008A593A" w:rsidRPr="00306F4D" w14:paraId="0089BDF1" w14:textId="77777777" w:rsidTr="008A593A">
        <w:tc>
          <w:tcPr>
            <w:cnfStyle w:val="001000000000" w:firstRow="0" w:lastRow="0" w:firstColumn="1" w:lastColumn="0" w:oddVBand="0" w:evenVBand="0" w:oddHBand="0" w:evenHBand="0" w:firstRowFirstColumn="0" w:firstRowLastColumn="0" w:lastRowFirstColumn="0" w:lastRowLastColumn="0"/>
            <w:tcW w:w="1465" w:type="dxa"/>
            <w:vMerge/>
            <w:hideMark/>
          </w:tcPr>
          <w:p w14:paraId="272B88CA" w14:textId="77777777" w:rsidR="008A593A" w:rsidRPr="00306F4D" w:rsidRDefault="008A593A" w:rsidP="00BA0352">
            <w:pPr>
              <w:pStyle w:val="Footer"/>
              <w:rPr>
                <w:rFonts w:ascii="Arial" w:hAnsi="Arial" w:cs="Arial"/>
                <w:sz w:val="20"/>
                <w:szCs w:val="20"/>
              </w:rPr>
            </w:pPr>
          </w:p>
        </w:tc>
        <w:tc>
          <w:tcPr>
            <w:tcW w:w="12210" w:type="dxa"/>
            <w:hideMark/>
          </w:tcPr>
          <w:p w14:paraId="4C2B6953" w14:textId="77777777" w:rsidR="008A593A" w:rsidRPr="00306F4D" w:rsidRDefault="008A593A" w:rsidP="00BA0352">
            <w:pPr>
              <w:pStyle w:val="Foo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06F4D">
              <w:rPr>
                <w:rFonts w:ascii="Arial" w:hAnsi="Arial" w:cs="Arial"/>
                <w:sz w:val="20"/>
                <w:szCs w:val="20"/>
              </w:rPr>
              <w:t xml:space="preserve">Project Coordinator MNE: Manages the day-to-day implementation of Component 1 – Innovation Facility for Climate Adaptation at the country level. Coordinates with local partners and stakeholders to identify, promote, and support innovative climate adaptation solutions, ensuring integration of gender equality and women’s empowerment and addressing priority climate risks. Oversees in-country delivery of activities, monitors </w:t>
            </w:r>
            <w:proofErr w:type="gramStart"/>
            <w:r w:rsidRPr="00306F4D">
              <w:rPr>
                <w:rFonts w:ascii="Arial" w:hAnsi="Arial" w:cs="Arial"/>
                <w:sz w:val="20"/>
                <w:szCs w:val="20"/>
              </w:rPr>
              <w:t>progress, and</w:t>
            </w:r>
            <w:proofErr w:type="gramEnd"/>
            <w:r w:rsidRPr="00306F4D">
              <w:rPr>
                <w:rFonts w:ascii="Arial" w:hAnsi="Arial" w:cs="Arial"/>
                <w:sz w:val="20"/>
                <w:szCs w:val="20"/>
              </w:rPr>
              <w:t xml:space="preserve"> ensures timely reporting to the Regional Project Manager. Contributes to the regional learning </w:t>
            </w:r>
            <w:proofErr w:type="spellStart"/>
            <w:r w:rsidRPr="00306F4D">
              <w:rPr>
                <w:rFonts w:ascii="Arial" w:hAnsi="Arial" w:cs="Arial"/>
                <w:sz w:val="20"/>
                <w:szCs w:val="20"/>
              </w:rPr>
              <w:t>programme</w:t>
            </w:r>
            <w:proofErr w:type="spellEnd"/>
            <w:r w:rsidRPr="00306F4D">
              <w:rPr>
                <w:rFonts w:ascii="Arial" w:hAnsi="Arial" w:cs="Arial"/>
                <w:sz w:val="20"/>
                <w:szCs w:val="20"/>
              </w:rPr>
              <w:t xml:space="preserve"> and design sprint </w:t>
            </w:r>
            <w:proofErr w:type="gramStart"/>
            <w:r w:rsidRPr="00306F4D">
              <w:rPr>
                <w:rFonts w:ascii="Arial" w:hAnsi="Arial" w:cs="Arial"/>
                <w:sz w:val="20"/>
                <w:szCs w:val="20"/>
              </w:rPr>
              <w:t>activities, and</w:t>
            </w:r>
            <w:proofErr w:type="gramEnd"/>
            <w:r w:rsidRPr="00306F4D">
              <w:rPr>
                <w:rFonts w:ascii="Arial" w:hAnsi="Arial" w:cs="Arial"/>
                <w:sz w:val="20"/>
                <w:szCs w:val="20"/>
              </w:rPr>
              <w:t xml:space="preserve"> supports grant recipients in meeting project goals and compliance requirements.</w:t>
            </w:r>
          </w:p>
        </w:tc>
      </w:tr>
      <w:tr w:rsidR="008A593A" w:rsidRPr="00306F4D" w14:paraId="4CBA3BE3" w14:textId="77777777" w:rsidTr="008A59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5" w:type="dxa"/>
            <w:vMerge/>
            <w:hideMark/>
          </w:tcPr>
          <w:p w14:paraId="3F4881D2" w14:textId="77777777" w:rsidR="008A593A" w:rsidRPr="00306F4D" w:rsidRDefault="008A593A" w:rsidP="00BA0352">
            <w:pPr>
              <w:pStyle w:val="Footer"/>
              <w:rPr>
                <w:rFonts w:ascii="Arial" w:hAnsi="Arial" w:cs="Arial"/>
                <w:sz w:val="20"/>
                <w:szCs w:val="20"/>
              </w:rPr>
            </w:pPr>
          </w:p>
        </w:tc>
        <w:tc>
          <w:tcPr>
            <w:tcW w:w="12210" w:type="dxa"/>
            <w:hideMark/>
          </w:tcPr>
          <w:p w14:paraId="5BA922C4" w14:textId="77777777" w:rsidR="008A593A" w:rsidRPr="00306F4D" w:rsidRDefault="008A593A" w:rsidP="00BA0352">
            <w:pPr>
              <w:pStyle w:val="Foo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06F4D">
              <w:rPr>
                <w:rFonts w:ascii="Arial" w:hAnsi="Arial" w:cs="Arial"/>
                <w:sz w:val="20"/>
                <w:szCs w:val="20"/>
              </w:rPr>
              <w:t xml:space="preserve">Project Coordinator SRB: Manages the day-to-day implementation of Component 1 – Innovation Facility for Climate Adaptation at the country level. Coordinates with local partners and stakeholders to identify, promote, and support innovative climate adaptation solutions, ensuring integration of gender equality and women’s empowerment and addressing priority climate risks. Oversees in-country delivery of activities, monitors </w:t>
            </w:r>
            <w:proofErr w:type="gramStart"/>
            <w:r w:rsidRPr="00306F4D">
              <w:rPr>
                <w:rFonts w:ascii="Arial" w:hAnsi="Arial" w:cs="Arial"/>
                <w:sz w:val="20"/>
                <w:szCs w:val="20"/>
              </w:rPr>
              <w:t>progress, and</w:t>
            </w:r>
            <w:proofErr w:type="gramEnd"/>
            <w:r w:rsidRPr="00306F4D">
              <w:rPr>
                <w:rFonts w:ascii="Arial" w:hAnsi="Arial" w:cs="Arial"/>
                <w:sz w:val="20"/>
                <w:szCs w:val="20"/>
              </w:rPr>
              <w:t xml:space="preserve"> ensures timely reporting to the Regional Project Manager. Contributes to the regional learning </w:t>
            </w:r>
            <w:proofErr w:type="spellStart"/>
            <w:r w:rsidRPr="00306F4D">
              <w:rPr>
                <w:rFonts w:ascii="Arial" w:hAnsi="Arial" w:cs="Arial"/>
                <w:sz w:val="20"/>
                <w:szCs w:val="20"/>
              </w:rPr>
              <w:t>programme</w:t>
            </w:r>
            <w:proofErr w:type="spellEnd"/>
            <w:r w:rsidRPr="00306F4D">
              <w:rPr>
                <w:rFonts w:ascii="Arial" w:hAnsi="Arial" w:cs="Arial"/>
                <w:sz w:val="20"/>
                <w:szCs w:val="20"/>
              </w:rPr>
              <w:t xml:space="preserve"> and design sprint </w:t>
            </w:r>
            <w:proofErr w:type="gramStart"/>
            <w:r w:rsidRPr="00306F4D">
              <w:rPr>
                <w:rFonts w:ascii="Arial" w:hAnsi="Arial" w:cs="Arial"/>
                <w:sz w:val="20"/>
                <w:szCs w:val="20"/>
              </w:rPr>
              <w:t>activities, and</w:t>
            </w:r>
            <w:proofErr w:type="gramEnd"/>
            <w:r w:rsidRPr="00306F4D">
              <w:rPr>
                <w:rFonts w:ascii="Arial" w:hAnsi="Arial" w:cs="Arial"/>
                <w:sz w:val="20"/>
                <w:szCs w:val="20"/>
              </w:rPr>
              <w:t xml:space="preserve"> supports grant recipients in meeting project goals and compliance requirements.</w:t>
            </w:r>
          </w:p>
        </w:tc>
      </w:tr>
      <w:tr w:rsidR="008A593A" w:rsidRPr="00306F4D" w14:paraId="6C84CACF" w14:textId="77777777" w:rsidTr="008A593A">
        <w:tc>
          <w:tcPr>
            <w:cnfStyle w:val="001000000000" w:firstRow="0" w:lastRow="0" w:firstColumn="1" w:lastColumn="0" w:oddVBand="0" w:evenVBand="0" w:oddHBand="0" w:evenHBand="0" w:firstRowFirstColumn="0" w:firstRowLastColumn="0" w:lastRowFirstColumn="0" w:lastRowLastColumn="0"/>
            <w:tcW w:w="1465" w:type="dxa"/>
            <w:hideMark/>
          </w:tcPr>
          <w:p w14:paraId="1F984D28" w14:textId="77777777" w:rsidR="008A593A" w:rsidRPr="00306F4D" w:rsidRDefault="008A593A" w:rsidP="00BA0352">
            <w:pPr>
              <w:pStyle w:val="Footer"/>
              <w:rPr>
                <w:rFonts w:ascii="Arial" w:hAnsi="Arial" w:cs="Arial"/>
                <w:sz w:val="20"/>
                <w:szCs w:val="20"/>
              </w:rPr>
            </w:pPr>
            <w:r w:rsidRPr="00306F4D">
              <w:rPr>
                <w:rFonts w:ascii="Arial" w:hAnsi="Arial" w:cs="Arial"/>
                <w:sz w:val="20"/>
                <w:szCs w:val="20"/>
              </w:rPr>
              <w:t>2</w:t>
            </w:r>
          </w:p>
        </w:tc>
        <w:tc>
          <w:tcPr>
            <w:tcW w:w="12210" w:type="dxa"/>
            <w:hideMark/>
          </w:tcPr>
          <w:p w14:paraId="30D4BB45" w14:textId="77777777" w:rsidR="008A593A" w:rsidRPr="00306F4D" w:rsidRDefault="008A593A" w:rsidP="00BA0352">
            <w:pPr>
              <w:pStyle w:val="Foo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06F4D">
              <w:rPr>
                <w:rFonts w:ascii="Arial" w:hAnsi="Arial" w:cs="Arial"/>
                <w:sz w:val="20"/>
                <w:szCs w:val="20"/>
              </w:rPr>
              <w:t>Project office supplies</w:t>
            </w:r>
          </w:p>
        </w:tc>
      </w:tr>
      <w:tr w:rsidR="008A593A" w:rsidRPr="00306F4D" w14:paraId="29A0685D" w14:textId="77777777" w:rsidTr="008A59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5" w:type="dxa"/>
            <w:hideMark/>
          </w:tcPr>
          <w:p w14:paraId="3D656634" w14:textId="77777777" w:rsidR="008A593A" w:rsidRPr="00306F4D" w:rsidRDefault="008A593A" w:rsidP="00BA0352">
            <w:pPr>
              <w:pStyle w:val="Footer"/>
              <w:rPr>
                <w:rFonts w:ascii="Arial" w:hAnsi="Arial" w:cs="Arial"/>
                <w:sz w:val="20"/>
                <w:szCs w:val="20"/>
              </w:rPr>
            </w:pPr>
            <w:r w:rsidRPr="00306F4D">
              <w:rPr>
                <w:rFonts w:ascii="Arial" w:hAnsi="Arial" w:cs="Arial"/>
                <w:sz w:val="20"/>
                <w:szCs w:val="20"/>
              </w:rPr>
              <w:t>3</w:t>
            </w:r>
          </w:p>
        </w:tc>
        <w:tc>
          <w:tcPr>
            <w:tcW w:w="12210" w:type="dxa"/>
            <w:hideMark/>
          </w:tcPr>
          <w:p w14:paraId="760EAE3B" w14:textId="77777777" w:rsidR="008A593A" w:rsidRPr="00306F4D" w:rsidRDefault="008A593A" w:rsidP="00BA0352">
            <w:pPr>
              <w:pStyle w:val="Foo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06F4D">
              <w:rPr>
                <w:rFonts w:ascii="Arial" w:hAnsi="Arial" w:cs="Arial"/>
                <w:sz w:val="20"/>
                <w:szCs w:val="20"/>
              </w:rPr>
              <w:t>Rental and maintenance costs of project office premises</w:t>
            </w:r>
          </w:p>
        </w:tc>
      </w:tr>
      <w:tr w:rsidR="008A593A" w:rsidRPr="00306F4D" w14:paraId="7259515F" w14:textId="77777777" w:rsidTr="008A593A">
        <w:tc>
          <w:tcPr>
            <w:cnfStyle w:val="001000000000" w:firstRow="0" w:lastRow="0" w:firstColumn="1" w:lastColumn="0" w:oddVBand="0" w:evenVBand="0" w:oddHBand="0" w:evenHBand="0" w:firstRowFirstColumn="0" w:firstRowLastColumn="0" w:lastRowFirstColumn="0" w:lastRowLastColumn="0"/>
            <w:tcW w:w="1465" w:type="dxa"/>
            <w:hideMark/>
          </w:tcPr>
          <w:p w14:paraId="09D08CD5" w14:textId="77777777" w:rsidR="008A593A" w:rsidRPr="00306F4D" w:rsidRDefault="008A593A" w:rsidP="00BA0352">
            <w:pPr>
              <w:pStyle w:val="Footer"/>
              <w:rPr>
                <w:rFonts w:ascii="Arial" w:hAnsi="Arial" w:cs="Arial"/>
                <w:sz w:val="20"/>
                <w:szCs w:val="20"/>
              </w:rPr>
            </w:pPr>
            <w:r w:rsidRPr="00306F4D">
              <w:rPr>
                <w:rFonts w:ascii="Arial" w:hAnsi="Arial" w:cs="Arial"/>
                <w:sz w:val="20"/>
                <w:szCs w:val="20"/>
              </w:rPr>
              <w:t>4</w:t>
            </w:r>
          </w:p>
        </w:tc>
        <w:tc>
          <w:tcPr>
            <w:tcW w:w="12210" w:type="dxa"/>
            <w:hideMark/>
          </w:tcPr>
          <w:p w14:paraId="20B78113" w14:textId="77777777" w:rsidR="008A593A" w:rsidRPr="00306F4D" w:rsidRDefault="008A593A" w:rsidP="00BA0352">
            <w:pPr>
              <w:pStyle w:val="Foo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06F4D">
              <w:rPr>
                <w:rFonts w:ascii="Arial" w:hAnsi="Arial" w:cs="Arial"/>
                <w:sz w:val="20"/>
                <w:szCs w:val="20"/>
              </w:rPr>
              <w:t xml:space="preserve">Training and workshops for grantees: Includes Learning and Design for Innovation Sprint </w:t>
            </w:r>
            <w:proofErr w:type="gramStart"/>
            <w:r w:rsidRPr="00306F4D">
              <w:rPr>
                <w:rFonts w:ascii="Arial" w:hAnsi="Arial" w:cs="Arial"/>
                <w:sz w:val="20"/>
                <w:szCs w:val="20"/>
              </w:rPr>
              <w:t>including:</w:t>
            </w:r>
            <w:proofErr w:type="gramEnd"/>
            <w:r w:rsidRPr="00306F4D">
              <w:rPr>
                <w:rFonts w:ascii="Arial" w:hAnsi="Arial" w:cs="Arial"/>
                <w:sz w:val="20"/>
                <w:szCs w:val="20"/>
              </w:rPr>
              <w:t xml:space="preserve"> virtual regional workshops, "test &amp; refine homework", peer-to-peer learning exchanges, rapid individual mentorship. Including inception workshop as per M&amp;E Budget</w:t>
            </w:r>
          </w:p>
        </w:tc>
      </w:tr>
      <w:tr w:rsidR="008A593A" w:rsidRPr="00306F4D" w14:paraId="2BF30791" w14:textId="77777777" w:rsidTr="008A59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5" w:type="dxa"/>
            <w:hideMark/>
          </w:tcPr>
          <w:p w14:paraId="6793A511" w14:textId="77777777" w:rsidR="008A593A" w:rsidRPr="00306F4D" w:rsidRDefault="008A593A" w:rsidP="00BA0352">
            <w:pPr>
              <w:pStyle w:val="Footer"/>
              <w:rPr>
                <w:rFonts w:ascii="Arial" w:hAnsi="Arial" w:cs="Arial"/>
                <w:sz w:val="20"/>
                <w:szCs w:val="20"/>
              </w:rPr>
            </w:pPr>
            <w:r w:rsidRPr="00306F4D">
              <w:rPr>
                <w:rFonts w:ascii="Arial" w:hAnsi="Arial" w:cs="Arial"/>
                <w:sz w:val="20"/>
                <w:szCs w:val="20"/>
              </w:rPr>
              <w:t>5</w:t>
            </w:r>
          </w:p>
        </w:tc>
        <w:tc>
          <w:tcPr>
            <w:tcW w:w="12210" w:type="dxa"/>
            <w:hideMark/>
          </w:tcPr>
          <w:p w14:paraId="26306B3F" w14:textId="67A3517B" w:rsidR="008A593A" w:rsidRPr="00306F4D" w:rsidRDefault="008A593A" w:rsidP="00BA0352">
            <w:pPr>
              <w:pStyle w:val="Foo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06F4D">
              <w:rPr>
                <w:rFonts w:ascii="Arial" w:hAnsi="Arial" w:cs="Arial"/>
                <w:sz w:val="20"/>
                <w:szCs w:val="20"/>
              </w:rPr>
              <w:t xml:space="preserve">Safeguard specialist </w:t>
            </w:r>
            <w:r w:rsidR="008C257B" w:rsidRPr="00306F4D">
              <w:rPr>
                <w:rFonts w:ascii="Arial" w:hAnsi="Arial" w:cs="Arial"/>
                <w:sz w:val="20"/>
                <w:szCs w:val="20"/>
              </w:rPr>
              <w:t>–</w:t>
            </w:r>
            <w:r w:rsidRPr="00306F4D">
              <w:rPr>
                <w:rFonts w:ascii="Arial" w:hAnsi="Arial" w:cs="Arial"/>
                <w:sz w:val="20"/>
                <w:szCs w:val="20"/>
              </w:rPr>
              <w:t xml:space="preserve"> </w:t>
            </w:r>
            <w:r w:rsidR="008C257B" w:rsidRPr="00306F4D">
              <w:rPr>
                <w:rFonts w:ascii="Arial" w:hAnsi="Arial" w:cs="Arial"/>
                <w:sz w:val="20"/>
                <w:szCs w:val="20"/>
              </w:rPr>
              <w:t>International Consultant (IC)</w:t>
            </w:r>
            <w:r w:rsidRPr="00306F4D">
              <w:rPr>
                <w:rFonts w:ascii="Arial" w:hAnsi="Arial" w:cs="Arial"/>
                <w:sz w:val="20"/>
                <w:szCs w:val="20"/>
              </w:rPr>
              <w:t>: in coordination with the Performance and data analyst, provides technical support and quality assurance throughout the project lifecycle. Including Monitoring of the ESMF ($8,000 as per budgeted MEL plan)</w:t>
            </w:r>
          </w:p>
        </w:tc>
      </w:tr>
      <w:tr w:rsidR="008A593A" w:rsidRPr="00306F4D" w14:paraId="7E1C07F9" w14:textId="77777777" w:rsidTr="008A593A">
        <w:tc>
          <w:tcPr>
            <w:cnfStyle w:val="001000000000" w:firstRow="0" w:lastRow="0" w:firstColumn="1" w:lastColumn="0" w:oddVBand="0" w:evenVBand="0" w:oddHBand="0" w:evenHBand="0" w:firstRowFirstColumn="0" w:firstRowLastColumn="0" w:lastRowFirstColumn="0" w:lastRowLastColumn="0"/>
            <w:tcW w:w="1465" w:type="dxa"/>
            <w:hideMark/>
          </w:tcPr>
          <w:p w14:paraId="25762343" w14:textId="77777777" w:rsidR="008A593A" w:rsidRPr="00306F4D" w:rsidRDefault="008A593A" w:rsidP="00BA0352">
            <w:pPr>
              <w:pStyle w:val="Footer"/>
              <w:rPr>
                <w:rFonts w:ascii="Arial" w:hAnsi="Arial" w:cs="Arial"/>
                <w:sz w:val="20"/>
                <w:szCs w:val="20"/>
              </w:rPr>
            </w:pPr>
            <w:r w:rsidRPr="00306F4D">
              <w:rPr>
                <w:rFonts w:ascii="Arial" w:hAnsi="Arial" w:cs="Arial"/>
                <w:sz w:val="20"/>
                <w:szCs w:val="20"/>
              </w:rPr>
              <w:t>6</w:t>
            </w:r>
          </w:p>
        </w:tc>
        <w:tc>
          <w:tcPr>
            <w:tcW w:w="12210" w:type="dxa"/>
            <w:hideMark/>
          </w:tcPr>
          <w:p w14:paraId="40339629" w14:textId="77777777" w:rsidR="008A593A" w:rsidRPr="00306F4D" w:rsidRDefault="008A593A" w:rsidP="00BA0352">
            <w:pPr>
              <w:pStyle w:val="Foo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06F4D">
              <w:rPr>
                <w:rFonts w:ascii="Arial" w:hAnsi="Arial" w:cs="Arial"/>
                <w:sz w:val="20"/>
                <w:szCs w:val="20"/>
              </w:rPr>
              <w:t>Grants Associate: Supports the administration and management of grants, ensuring compliance with procedures, assisting in the selection and monitoring of grantees, and maintaining accurate financial and narrative reporting.</w:t>
            </w:r>
          </w:p>
        </w:tc>
      </w:tr>
      <w:tr w:rsidR="008A593A" w:rsidRPr="00306F4D" w14:paraId="389D01F5" w14:textId="77777777" w:rsidTr="008A59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5" w:type="dxa"/>
            <w:hideMark/>
          </w:tcPr>
          <w:p w14:paraId="146AC628" w14:textId="77777777" w:rsidR="008A593A" w:rsidRPr="00306F4D" w:rsidRDefault="008A593A" w:rsidP="00BA0352">
            <w:pPr>
              <w:pStyle w:val="Footer"/>
              <w:rPr>
                <w:rFonts w:ascii="Arial" w:hAnsi="Arial" w:cs="Arial"/>
                <w:sz w:val="20"/>
                <w:szCs w:val="20"/>
              </w:rPr>
            </w:pPr>
            <w:r w:rsidRPr="00306F4D">
              <w:rPr>
                <w:rFonts w:ascii="Arial" w:hAnsi="Arial" w:cs="Arial"/>
                <w:sz w:val="20"/>
                <w:szCs w:val="20"/>
              </w:rPr>
              <w:t>7</w:t>
            </w:r>
          </w:p>
        </w:tc>
        <w:tc>
          <w:tcPr>
            <w:tcW w:w="12210" w:type="dxa"/>
            <w:hideMark/>
          </w:tcPr>
          <w:p w14:paraId="5F40B92E" w14:textId="77777777" w:rsidR="008A593A" w:rsidRPr="00306F4D" w:rsidRDefault="008A593A" w:rsidP="00BA0352">
            <w:pPr>
              <w:pStyle w:val="Foo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06F4D">
              <w:rPr>
                <w:rFonts w:ascii="Arial" w:hAnsi="Arial" w:cs="Arial"/>
                <w:sz w:val="20"/>
                <w:szCs w:val="20"/>
              </w:rPr>
              <w:t>Travel for local and international consultants to attend workshops and trainings with grantees</w:t>
            </w:r>
          </w:p>
        </w:tc>
      </w:tr>
      <w:tr w:rsidR="008A593A" w:rsidRPr="00306F4D" w14:paraId="02AB9DD1" w14:textId="77777777" w:rsidTr="008A593A">
        <w:tc>
          <w:tcPr>
            <w:cnfStyle w:val="001000000000" w:firstRow="0" w:lastRow="0" w:firstColumn="1" w:lastColumn="0" w:oddVBand="0" w:evenVBand="0" w:oddHBand="0" w:evenHBand="0" w:firstRowFirstColumn="0" w:firstRowLastColumn="0" w:lastRowFirstColumn="0" w:lastRowLastColumn="0"/>
            <w:tcW w:w="1465" w:type="dxa"/>
            <w:hideMark/>
          </w:tcPr>
          <w:p w14:paraId="7A60DCC2" w14:textId="6943C047" w:rsidR="008A593A" w:rsidRPr="00306F4D" w:rsidRDefault="008A593A" w:rsidP="00BA0352">
            <w:pPr>
              <w:pStyle w:val="Footer"/>
              <w:rPr>
                <w:rFonts w:ascii="Arial" w:hAnsi="Arial" w:cs="Arial"/>
                <w:sz w:val="20"/>
                <w:szCs w:val="20"/>
              </w:rPr>
            </w:pPr>
            <w:r w:rsidRPr="00306F4D">
              <w:rPr>
                <w:rFonts w:ascii="Arial" w:hAnsi="Arial" w:cs="Arial"/>
                <w:sz w:val="20"/>
                <w:szCs w:val="20"/>
              </w:rPr>
              <w:t>8</w:t>
            </w:r>
            <w:r w:rsidR="002D06BB" w:rsidRPr="00306F4D">
              <w:rPr>
                <w:rFonts w:ascii="Arial" w:hAnsi="Arial" w:cs="Arial"/>
                <w:sz w:val="20"/>
                <w:szCs w:val="20"/>
              </w:rPr>
              <w:t>a</w:t>
            </w:r>
          </w:p>
        </w:tc>
        <w:tc>
          <w:tcPr>
            <w:tcW w:w="12210" w:type="dxa"/>
            <w:hideMark/>
          </w:tcPr>
          <w:p w14:paraId="7101E6A0" w14:textId="016EEB04" w:rsidR="008A593A" w:rsidRPr="00306F4D" w:rsidRDefault="002D06BB" w:rsidP="00BA0352">
            <w:pPr>
              <w:pStyle w:val="Foo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06F4D">
              <w:rPr>
                <w:rFonts w:ascii="Arial" w:hAnsi="Arial" w:cs="Arial"/>
                <w:sz w:val="20"/>
                <w:szCs w:val="20"/>
              </w:rPr>
              <w:t>Innovation Challenge grants to MSMEs</w:t>
            </w:r>
            <w:r w:rsidR="008A593A" w:rsidRPr="00306F4D">
              <w:rPr>
                <w:rFonts w:ascii="Arial" w:hAnsi="Arial" w:cs="Arial"/>
                <w:sz w:val="20"/>
                <w:szCs w:val="20"/>
              </w:rPr>
              <w:t xml:space="preserve"> for innovation solutions</w:t>
            </w:r>
            <w:r w:rsidR="00143CBC" w:rsidRPr="00306F4D">
              <w:rPr>
                <w:rFonts w:ascii="Arial" w:hAnsi="Arial" w:cs="Arial"/>
                <w:sz w:val="20"/>
                <w:szCs w:val="20"/>
              </w:rPr>
              <w:t>,</w:t>
            </w:r>
            <w:r w:rsidR="008A593A" w:rsidRPr="00306F4D">
              <w:rPr>
                <w:rFonts w:ascii="Arial" w:hAnsi="Arial" w:cs="Arial"/>
                <w:sz w:val="20"/>
                <w:szCs w:val="20"/>
              </w:rPr>
              <w:t xml:space="preserve"> will follow UNDP policy on Innovation Challenges</w:t>
            </w:r>
          </w:p>
        </w:tc>
      </w:tr>
      <w:tr w:rsidR="002D06BB" w:rsidRPr="00306F4D" w14:paraId="66885260" w14:textId="77777777" w:rsidTr="008A59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5" w:type="dxa"/>
          </w:tcPr>
          <w:p w14:paraId="1ACF87B6" w14:textId="5C4C8914" w:rsidR="002D06BB" w:rsidRPr="00306F4D" w:rsidRDefault="002D06BB" w:rsidP="002D06BB">
            <w:pPr>
              <w:pStyle w:val="Footer"/>
              <w:rPr>
                <w:rFonts w:ascii="Arial" w:hAnsi="Arial" w:cs="Arial"/>
                <w:sz w:val="20"/>
                <w:szCs w:val="20"/>
              </w:rPr>
            </w:pPr>
            <w:r w:rsidRPr="00306F4D">
              <w:rPr>
                <w:rFonts w:ascii="Arial" w:hAnsi="Arial" w:cs="Arial"/>
                <w:sz w:val="20"/>
                <w:szCs w:val="20"/>
              </w:rPr>
              <w:t>8b</w:t>
            </w:r>
          </w:p>
        </w:tc>
        <w:tc>
          <w:tcPr>
            <w:tcW w:w="12210" w:type="dxa"/>
          </w:tcPr>
          <w:p w14:paraId="269613F5" w14:textId="5B4C3381" w:rsidR="002D06BB" w:rsidRPr="00306F4D" w:rsidRDefault="00143CBC" w:rsidP="002D06BB">
            <w:pPr>
              <w:pStyle w:val="Foo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06F4D">
              <w:rPr>
                <w:rFonts w:ascii="Arial" w:hAnsi="Arial" w:cs="Arial"/>
                <w:sz w:val="20"/>
                <w:szCs w:val="20"/>
              </w:rPr>
              <w:t>Low Value Grants to NGOs/CSOs</w:t>
            </w:r>
            <w:r w:rsidR="002D06BB" w:rsidRPr="00306F4D">
              <w:rPr>
                <w:rFonts w:ascii="Arial" w:hAnsi="Arial" w:cs="Arial"/>
                <w:sz w:val="20"/>
                <w:szCs w:val="20"/>
              </w:rPr>
              <w:t xml:space="preserve"> for innovation solutions</w:t>
            </w:r>
            <w:r w:rsidR="00F72DA2" w:rsidRPr="00306F4D">
              <w:rPr>
                <w:rFonts w:ascii="Arial" w:hAnsi="Arial" w:cs="Arial"/>
                <w:sz w:val="20"/>
                <w:szCs w:val="20"/>
              </w:rPr>
              <w:t>,</w:t>
            </w:r>
            <w:r w:rsidR="002D06BB" w:rsidRPr="00306F4D">
              <w:rPr>
                <w:rFonts w:ascii="Arial" w:hAnsi="Arial" w:cs="Arial"/>
                <w:sz w:val="20"/>
                <w:szCs w:val="20"/>
              </w:rPr>
              <w:t xml:space="preserve"> will follow UNDP policy on </w:t>
            </w:r>
            <w:r w:rsidR="00F72DA2" w:rsidRPr="00306F4D">
              <w:rPr>
                <w:rFonts w:ascii="Arial" w:hAnsi="Arial" w:cs="Arial"/>
                <w:sz w:val="20"/>
                <w:szCs w:val="20"/>
              </w:rPr>
              <w:t>Low Value Grants</w:t>
            </w:r>
          </w:p>
        </w:tc>
      </w:tr>
      <w:tr w:rsidR="002D06BB" w:rsidRPr="00306F4D" w14:paraId="59E569AD" w14:textId="77777777" w:rsidTr="008A593A">
        <w:tc>
          <w:tcPr>
            <w:cnfStyle w:val="001000000000" w:firstRow="0" w:lastRow="0" w:firstColumn="1" w:lastColumn="0" w:oddVBand="0" w:evenVBand="0" w:oddHBand="0" w:evenHBand="0" w:firstRowFirstColumn="0" w:firstRowLastColumn="0" w:lastRowFirstColumn="0" w:lastRowLastColumn="0"/>
            <w:tcW w:w="1465" w:type="dxa"/>
            <w:hideMark/>
          </w:tcPr>
          <w:p w14:paraId="0CD2139D" w14:textId="77777777" w:rsidR="002D06BB" w:rsidRPr="00306F4D" w:rsidRDefault="002D06BB" w:rsidP="002D06BB">
            <w:pPr>
              <w:pStyle w:val="Footer"/>
              <w:rPr>
                <w:rFonts w:ascii="Arial" w:hAnsi="Arial" w:cs="Arial"/>
                <w:sz w:val="20"/>
                <w:szCs w:val="20"/>
              </w:rPr>
            </w:pPr>
            <w:r w:rsidRPr="00306F4D">
              <w:rPr>
                <w:rFonts w:ascii="Arial" w:hAnsi="Arial" w:cs="Arial"/>
                <w:sz w:val="20"/>
                <w:szCs w:val="20"/>
              </w:rPr>
              <w:t>9</w:t>
            </w:r>
          </w:p>
        </w:tc>
        <w:tc>
          <w:tcPr>
            <w:tcW w:w="12210" w:type="dxa"/>
            <w:hideMark/>
          </w:tcPr>
          <w:p w14:paraId="72471E1A" w14:textId="34427EC9" w:rsidR="002D06BB" w:rsidRPr="00306F4D" w:rsidRDefault="002D06BB" w:rsidP="002D06BB">
            <w:pPr>
              <w:pStyle w:val="Foo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06F4D">
              <w:rPr>
                <w:rFonts w:ascii="Arial" w:hAnsi="Arial" w:cs="Arial"/>
                <w:sz w:val="20"/>
                <w:szCs w:val="20"/>
              </w:rPr>
              <w:t xml:space="preserve">"Partnerships and Investments Specialist: Brings the partnerships with the MBA schools from the Global Network for Advanced Management (GNAM) and connections with key private sector actors (e.g. BNP Paribas, Acumen, Foundations). Onboards grantees and students and ensures that each yearly TA cycle is beneficial for both students and grantees (working in their business development plans, revenue generation models, </w:t>
            </w:r>
            <w:proofErr w:type="spellStart"/>
            <w:r w:rsidRPr="00306F4D">
              <w:rPr>
                <w:rFonts w:ascii="Arial" w:hAnsi="Arial" w:cs="Arial"/>
                <w:sz w:val="20"/>
                <w:szCs w:val="20"/>
              </w:rPr>
              <w:t>etc</w:t>
            </w:r>
            <w:proofErr w:type="spellEnd"/>
            <w:r w:rsidRPr="00306F4D">
              <w:rPr>
                <w:rFonts w:ascii="Arial" w:hAnsi="Arial" w:cs="Arial"/>
                <w:sz w:val="20"/>
                <w:szCs w:val="20"/>
              </w:rPr>
              <w:t>). Leads the research and though leadership component of this collaboration with grantees and MBA schools. Gives one on one TA to grantees around scaling, innovative finance mechanisms and investments."</w:t>
            </w:r>
          </w:p>
        </w:tc>
      </w:tr>
      <w:tr w:rsidR="002D06BB" w:rsidRPr="00306F4D" w14:paraId="0CBDE457" w14:textId="77777777" w:rsidTr="008A59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5" w:type="dxa"/>
            <w:hideMark/>
          </w:tcPr>
          <w:p w14:paraId="5113F8B9" w14:textId="77777777" w:rsidR="002D06BB" w:rsidRPr="00306F4D" w:rsidRDefault="002D06BB" w:rsidP="002D06BB">
            <w:pPr>
              <w:pStyle w:val="Footer"/>
              <w:rPr>
                <w:rFonts w:ascii="Arial" w:hAnsi="Arial" w:cs="Arial"/>
                <w:sz w:val="20"/>
                <w:szCs w:val="20"/>
              </w:rPr>
            </w:pPr>
            <w:r w:rsidRPr="00306F4D">
              <w:rPr>
                <w:rFonts w:ascii="Arial" w:hAnsi="Arial" w:cs="Arial"/>
                <w:sz w:val="20"/>
                <w:szCs w:val="20"/>
              </w:rPr>
              <w:t>10</w:t>
            </w:r>
          </w:p>
        </w:tc>
        <w:tc>
          <w:tcPr>
            <w:tcW w:w="12210" w:type="dxa"/>
            <w:hideMark/>
          </w:tcPr>
          <w:p w14:paraId="0639BA1C" w14:textId="77777777" w:rsidR="002D06BB" w:rsidRPr="00306F4D" w:rsidRDefault="002D06BB" w:rsidP="002D06BB">
            <w:pPr>
              <w:pStyle w:val="Foo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06F4D">
              <w:rPr>
                <w:rFonts w:ascii="Arial" w:hAnsi="Arial" w:cs="Arial"/>
                <w:sz w:val="20"/>
                <w:szCs w:val="20"/>
              </w:rPr>
              <w:t>Gender expertise: Provision of technical expertise to ensure gender-responsive and transformative project implementation, including integrating gender into activities, monitoring gender-specific indicators, and advising on stakeholder engagement and capacity building. Including Monitoring the implementation of the GAAP ($8,000 as per budgeted MEL Plan)</w:t>
            </w:r>
          </w:p>
        </w:tc>
      </w:tr>
      <w:tr w:rsidR="002D06BB" w:rsidRPr="00306F4D" w14:paraId="2CD321A1" w14:textId="77777777" w:rsidTr="008A593A">
        <w:tc>
          <w:tcPr>
            <w:cnfStyle w:val="001000000000" w:firstRow="0" w:lastRow="0" w:firstColumn="1" w:lastColumn="0" w:oddVBand="0" w:evenVBand="0" w:oddHBand="0" w:evenHBand="0" w:firstRowFirstColumn="0" w:firstRowLastColumn="0" w:lastRowFirstColumn="0" w:lastRowLastColumn="0"/>
            <w:tcW w:w="1465" w:type="dxa"/>
            <w:hideMark/>
          </w:tcPr>
          <w:p w14:paraId="6BED8517" w14:textId="77777777" w:rsidR="002D06BB" w:rsidRPr="00306F4D" w:rsidRDefault="002D06BB" w:rsidP="002D06BB">
            <w:pPr>
              <w:pStyle w:val="Footer"/>
              <w:rPr>
                <w:rFonts w:ascii="Arial" w:hAnsi="Arial" w:cs="Arial"/>
                <w:sz w:val="20"/>
                <w:szCs w:val="20"/>
              </w:rPr>
            </w:pPr>
            <w:r w:rsidRPr="00306F4D">
              <w:rPr>
                <w:rFonts w:ascii="Arial" w:hAnsi="Arial" w:cs="Arial"/>
                <w:sz w:val="20"/>
                <w:szCs w:val="20"/>
              </w:rPr>
              <w:t>11</w:t>
            </w:r>
          </w:p>
        </w:tc>
        <w:tc>
          <w:tcPr>
            <w:tcW w:w="12210" w:type="dxa"/>
            <w:hideMark/>
          </w:tcPr>
          <w:p w14:paraId="1217B8FF" w14:textId="77777777" w:rsidR="002D06BB" w:rsidRPr="00306F4D" w:rsidRDefault="002D06BB" w:rsidP="002D06BB">
            <w:pPr>
              <w:pStyle w:val="Foo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06F4D">
              <w:rPr>
                <w:rFonts w:ascii="Arial" w:hAnsi="Arial" w:cs="Arial"/>
                <w:sz w:val="20"/>
                <w:szCs w:val="20"/>
              </w:rPr>
              <w:t>Technical assistance - business and administration</w:t>
            </w:r>
          </w:p>
        </w:tc>
      </w:tr>
      <w:tr w:rsidR="002D06BB" w:rsidRPr="00306F4D" w14:paraId="1206BA64" w14:textId="77777777" w:rsidTr="008A59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5" w:type="dxa"/>
            <w:hideMark/>
          </w:tcPr>
          <w:p w14:paraId="3ABDEB8F" w14:textId="77777777" w:rsidR="002D06BB" w:rsidRPr="00306F4D" w:rsidRDefault="002D06BB" w:rsidP="002D06BB">
            <w:pPr>
              <w:pStyle w:val="Footer"/>
              <w:rPr>
                <w:rFonts w:ascii="Arial" w:hAnsi="Arial" w:cs="Arial"/>
                <w:sz w:val="20"/>
                <w:szCs w:val="20"/>
              </w:rPr>
            </w:pPr>
            <w:r w:rsidRPr="00306F4D">
              <w:rPr>
                <w:rFonts w:ascii="Arial" w:hAnsi="Arial" w:cs="Arial"/>
                <w:sz w:val="20"/>
                <w:szCs w:val="20"/>
              </w:rPr>
              <w:t>12</w:t>
            </w:r>
          </w:p>
        </w:tc>
        <w:tc>
          <w:tcPr>
            <w:tcW w:w="12210" w:type="dxa"/>
            <w:hideMark/>
          </w:tcPr>
          <w:p w14:paraId="2302A97D" w14:textId="77777777" w:rsidR="002D06BB" w:rsidRPr="00306F4D" w:rsidRDefault="002D06BB" w:rsidP="002D06BB">
            <w:pPr>
              <w:pStyle w:val="Foo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06F4D">
              <w:rPr>
                <w:rFonts w:ascii="Arial" w:hAnsi="Arial" w:cs="Arial"/>
                <w:sz w:val="20"/>
                <w:szCs w:val="20"/>
              </w:rPr>
              <w:t>Training programs and workshops on business model development, financial planning, and investment readiness, include both in-person and virtual delivery formats</w:t>
            </w:r>
          </w:p>
        </w:tc>
      </w:tr>
      <w:tr w:rsidR="002D06BB" w:rsidRPr="00306F4D" w14:paraId="3D24527B" w14:textId="77777777" w:rsidTr="008A593A">
        <w:tc>
          <w:tcPr>
            <w:cnfStyle w:val="001000000000" w:firstRow="0" w:lastRow="0" w:firstColumn="1" w:lastColumn="0" w:oddVBand="0" w:evenVBand="0" w:oddHBand="0" w:evenHBand="0" w:firstRowFirstColumn="0" w:firstRowLastColumn="0" w:lastRowFirstColumn="0" w:lastRowLastColumn="0"/>
            <w:tcW w:w="1465" w:type="dxa"/>
            <w:hideMark/>
          </w:tcPr>
          <w:p w14:paraId="27294DCB" w14:textId="77777777" w:rsidR="002D06BB" w:rsidRPr="00306F4D" w:rsidRDefault="002D06BB" w:rsidP="002D06BB">
            <w:pPr>
              <w:pStyle w:val="Footer"/>
              <w:rPr>
                <w:rFonts w:ascii="Arial" w:hAnsi="Arial" w:cs="Arial"/>
                <w:sz w:val="20"/>
                <w:szCs w:val="20"/>
              </w:rPr>
            </w:pPr>
            <w:r w:rsidRPr="00306F4D">
              <w:rPr>
                <w:rFonts w:ascii="Arial" w:hAnsi="Arial" w:cs="Arial"/>
                <w:sz w:val="20"/>
                <w:szCs w:val="20"/>
              </w:rPr>
              <w:t>13</w:t>
            </w:r>
          </w:p>
        </w:tc>
        <w:tc>
          <w:tcPr>
            <w:tcW w:w="12210" w:type="dxa"/>
            <w:hideMark/>
          </w:tcPr>
          <w:p w14:paraId="769A38D0" w14:textId="77777777" w:rsidR="002D06BB" w:rsidRPr="00306F4D" w:rsidRDefault="002D06BB" w:rsidP="002D06BB">
            <w:pPr>
              <w:pStyle w:val="Foo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06F4D">
              <w:rPr>
                <w:rFonts w:ascii="Arial" w:hAnsi="Arial" w:cs="Arial"/>
                <w:sz w:val="20"/>
                <w:szCs w:val="20"/>
              </w:rPr>
              <w:t>Local Consultancies for business, acceleration, and scaling technical support</w:t>
            </w:r>
          </w:p>
        </w:tc>
      </w:tr>
      <w:tr w:rsidR="002D06BB" w:rsidRPr="00306F4D" w14:paraId="583862EA" w14:textId="77777777" w:rsidTr="008A59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5" w:type="dxa"/>
            <w:vMerge w:val="restart"/>
            <w:hideMark/>
          </w:tcPr>
          <w:p w14:paraId="357D203C" w14:textId="77777777" w:rsidR="002D06BB" w:rsidRPr="00306F4D" w:rsidRDefault="002D06BB" w:rsidP="002D06BB">
            <w:pPr>
              <w:pStyle w:val="Footer"/>
              <w:rPr>
                <w:rFonts w:ascii="Arial" w:hAnsi="Arial" w:cs="Arial"/>
                <w:sz w:val="20"/>
                <w:szCs w:val="20"/>
              </w:rPr>
            </w:pPr>
            <w:r w:rsidRPr="00306F4D">
              <w:rPr>
                <w:rFonts w:ascii="Arial" w:hAnsi="Arial" w:cs="Arial"/>
                <w:sz w:val="20"/>
                <w:szCs w:val="20"/>
              </w:rPr>
              <w:t>14</w:t>
            </w:r>
          </w:p>
        </w:tc>
        <w:tc>
          <w:tcPr>
            <w:tcW w:w="12210" w:type="dxa"/>
            <w:hideMark/>
          </w:tcPr>
          <w:p w14:paraId="1C4A78B0" w14:textId="0A3E9828" w:rsidR="002D06BB" w:rsidRPr="00306F4D" w:rsidRDefault="002D06BB" w:rsidP="002D06BB">
            <w:pPr>
              <w:pStyle w:val="Foo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06F4D">
              <w:rPr>
                <w:rFonts w:ascii="Arial" w:hAnsi="Arial" w:cs="Arial"/>
                <w:sz w:val="20"/>
                <w:szCs w:val="20"/>
              </w:rPr>
              <w:t>Regional Project Associate:</w:t>
            </w:r>
            <w:r w:rsidR="00B81C80" w:rsidRPr="00306F4D">
              <w:rPr>
                <w:rFonts w:ascii="Arial" w:hAnsi="Arial" w:cs="Arial"/>
                <w:sz w:val="20"/>
                <w:szCs w:val="20"/>
              </w:rPr>
              <w:t xml:space="preserve"> </w:t>
            </w:r>
            <w:r w:rsidRPr="00306F4D">
              <w:rPr>
                <w:rFonts w:ascii="Arial" w:hAnsi="Arial" w:cs="Arial"/>
                <w:sz w:val="20"/>
                <w:szCs w:val="20"/>
              </w:rPr>
              <w:t>Provides administrative, logistical, and operational support for the implementation of the Technical Assistance and Capability Development for Scale component. Assists the Project Coordinator at the country level and the Regional Project Manager in coordinating and documenting activities related to business development support, market testing, and identification of funding and financing pathways for selected adaptation innovations. Facilitates communication and coordination between country and regional stakeholders, ensures smooth implementation of activities, and maintains accurate records to support timely delivery within scope. (based in MK)</w:t>
            </w:r>
          </w:p>
        </w:tc>
      </w:tr>
      <w:tr w:rsidR="002D06BB" w:rsidRPr="00306F4D" w14:paraId="42A83D48" w14:textId="77777777" w:rsidTr="008A593A">
        <w:tc>
          <w:tcPr>
            <w:cnfStyle w:val="001000000000" w:firstRow="0" w:lastRow="0" w:firstColumn="1" w:lastColumn="0" w:oddVBand="0" w:evenVBand="0" w:oddHBand="0" w:evenHBand="0" w:firstRowFirstColumn="0" w:firstRowLastColumn="0" w:lastRowFirstColumn="0" w:lastRowLastColumn="0"/>
            <w:tcW w:w="1465" w:type="dxa"/>
            <w:vMerge/>
            <w:hideMark/>
          </w:tcPr>
          <w:p w14:paraId="0637933D" w14:textId="77777777" w:rsidR="002D06BB" w:rsidRPr="00306F4D" w:rsidRDefault="002D06BB" w:rsidP="002D06BB">
            <w:pPr>
              <w:pStyle w:val="Footer"/>
              <w:rPr>
                <w:rFonts w:ascii="Arial" w:hAnsi="Arial" w:cs="Arial"/>
                <w:sz w:val="20"/>
                <w:szCs w:val="20"/>
              </w:rPr>
            </w:pPr>
          </w:p>
        </w:tc>
        <w:tc>
          <w:tcPr>
            <w:tcW w:w="12210" w:type="dxa"/>
            <w:hideMark/>
          </w:tcPr>
          <w:p w14:paraId="1D1831AD" w14:textId="77777777" w:rsidR="002D06BB" w:rsidRPr="00306F4D" w:rsidRDefault="002D06BB" w:rsidP="002D06BB">
            <w:pPr>
              <w:pStyle w:val="Foo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06F4D">
              <w:rPr>
                <w:rFonts w:ascii="Arial" w:hAnsi="Arial" w:cs="Arial"/>
                <w:sz w:val="20"/>
                <w:szCs w:val="20"/>
              </w:rPr>
              <w:t xml:space="preserve">Project Coordinator BIH: Leads the implementation of the Technical Assistance and Capability Development for Scale component at the country level, ensuring selected adaptation innovations are strengthened and positioned for scale. Provides technical guidance on business development support, oversees market testing processes, and facilitates the identification of funding and financing pathways. </w:t>
            </w:r>
            <w:r w:rsidRPr="00306F4D">
              <w:rPr>
                <w:rFonts w:ascii="Arial" w:hAnsi="Arial" w:cs="Arial"/>
                <w:sz w:val="20"/>
                <w:szCs w:val="20"/>
              </w:rPr>
              <w:lastRenderedPageBreak/>
              <w:t>Coordinates closely with the Regional Project Manager, engages with national stakeholders and partners, and ensures activities are delivered on time, within scope, and in alignment with project objectives.</w:t>
            </w:r>
          </w:p>
        </w:tc>
      </w:tr>
      <w:tr w:rsidR="002D06BB" w:rsidRPr="00306F4D" w14:paraId="5AB1E886" w14:textId="77777777" w:rsidTr="008A59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5" w:type="dxa"/>
            <w:vMerge/>
            <w:hideMark/>
          </w:tcPr>
          <w:p w14:paraId="4B43C700" w14:textId="77777777" w:rsidR="002D06BB" w:rsidRPr="00306F4D" w:rsidRDefault="002D06BB" w:rsidP="002D06BB">
            <w:pPr>
              <w:pStyle w:val="Footer"/>
              <w:rPr>
                <w:rFonts w:ascii="Arial" w:hAnsi="Arial" w:cs="Arial"/>
                <w:sz w:val="20"/>
                <w:szCs w:val="20"/>
              </w:rPr>
            </w:pPr>
          </w:p>
        </w:tc>
        <w:tc>
          <w:tcPr>
            <w:tcW w:w="12210" w:type="dxa"/>
            <w:hideMark/>
          </w:tcPr>
          <w:p w14:paraId="02362EA9" w14:textId="77777777" w:rsidR="002D06BB" w:rsidRPr="00306F4D" w:rsidRDefault="002D06BB" w:rsidP="002D06BB">
            <w:pPr>
              <w:pStyle w:val="Foo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06F4D">
              <w:rPr>
                <w:rFonts w:ascii="Arial" w:hAnsi="Arial" w:cs="Arial"/>
                <w:sz w:val="20"/>
                <w:szCs w:val="20"/>
              </w:rPr>
              <w:t>Project Associate BIH: Provides administrative, logistical, and operational support for the implementation of the Technical Assistance and Capability Development for Scale component. Assists the Project Coordinator in organizing and documenting activities related to business development support, market testing, and identification of funding and financing pathways for selected adaptation innovations. Ensures smooth coordination with stakeholders, maintains accurate records, and supports the delivery of activities on time and within scope.</w:t>
            </w:r>
          </w:p>
        </w:tc>
      </w:tr>
      <w:tr w:rsidR="002D06BB" w:rsidRPr="00306F4D" w14:paraId="09139B1D" w14:textId="77777777" w:rsidTr="008A593A">
        <w:tc>
          <w:tcPr>
            <w:cnfStyle w:val="001000000000" w:firstRow="0" w:lastRow="0" w:firstColumn="1" w:lastColumn="0" w:oddVBand="0" w:evenVBand="0" w:oddHBand="0" w:evenHBand="0" w:firstRowFirstColumn="0" w:firstRowLastColumn="0" w:lastRowFirstColumn="0" w:lastRowLastColumn="0"/>
            <w:tcW w:w="1465" w:type="dxa"/>
            <w:vMerge/>
            <w:hideMark/>
          </w:tcPr>
          <w:p w14:paraId="76324B32" w14:textId="77777777" w:rsidR="002D06BB" w:rsidRPr="00306F4D" w:rsidRDefault="002D06BB" w:rsidP="002D06BB">
            <w:pPr>
              <w:pStyle w:val="Footer"/>
              <w:rPr>
                <w:rFonts w:ascii="Arial" w:hAnsi="Arial" w:cs="Arial"/>
                <w:sz w:val="20"/>
                <w:szCs w:val="20"/>
              </w:rPr>
            </w:pPr>
          </w:p>
        </w:tc>
        <w:tc>
          <w:tcPr>
            <w:tcW w:w="12210" w:type="dxa"/>
            <w:hideMark/>
          </w:tcPr>
          <w:p w14:paraId="027BBA4C" w14:textId="77777777" w:rsidR="002D06BB" w:rsidRPr="00306F4D" w:rsidRDefault="002D06BB" w:rsidP="002D06BB">
            <w:pPr>
              <w:pStyle w:val="Foo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06F4D">
              <w:rPr>
                <w:rFonts w:ascii="Arial" w:hAnsi="Arial" w:cs="Arial"/>
                <w:sz w:val="20"/>
                <w:szCs w:val="20"/>
              </w:rPr>
              <w:t>Project Coordinator MNE: Leads the implementation of the Technical Assistance and Capability Development for Scale component at the country level, ensuring selected adaptation innovations are strengthened and positioned for scale. Provides technical guidance on business development support, oversees market testing processes, and facilitates the identification of funding and financing pathways. Coordinates closely with the Regional Project Manager, engages with national stakeholders and partners, and ensures activities are delivered on time, within scope, and in alignment with project objectives.</w:t>
            </w:r>
          </w:p>
        </w:tc>
      </w:tr>
      <w:tr w:rsidR="002D06BB" w:rsidRPr="00306F4D" w14:paraId="146536BC" w14:textId="77777777" w:rsidTr="008A59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5" w:type="dxa"/>
            <w:vMerge/>
            <w:hideMark/>
          </w:tcPr>
          <w:p w14:paraId="50324B80" w14:textId="77777777" w:rsidR="002D06BB" w:rsidRPr="00306F4D" w:rsidRDefault="002D06BB" w:rsidP="002D06BB">
            <w:pPr>
              <w:pStyle w:val="Footer"/>
              <w:rPr>
                <w:rFonts w:ascii="Arial" w:hAnsi="Arial" w:cs="Arial"/>
                <w:sz w:val="20"/>
                <w:szCs w:val="20"/>
              </w:rPr>
            </w:pPr>
          </w:p>
        </w:tc>
        <w:tc>
          <w:tcPr>
            <w:tcW w:w="12210" w:type="dxa"/>
            <w:hideMark/>
          </w:tcPr>
          <w:p w14:paraId="34874E88" w14:textId="77777777" w:rsidR="002D06BB" w:rsidRPr="00306F4D" w:rsidRDefault="002D06BB" w:rsidP="002D06BB">
            <w:pPr>
              <w:pStyle w:val="Foo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06F4D">
              <w:rPr>
                <w:rFonts w:ascii="Arial" w:hAnsi="Arial" w:cs="Arial"/>
                <w:sz w:val="20"/>
                <w:szCs w:val="20"/>
              </w:rPr>
              <w:t>Project Associate MNE: Provides administrative, logistical, and operational support for the implementation of the Technical Assistance and Capability Development for Scale component. Assists the Project Coordinator in organizing and documenting activities related to business development support, market testing, and identification of funding and financing pathways for selected adaptation innovations. Ensures smooth coordination with stakeholders, maintains accurate records, and supports the delivery of activities on time and within scope.</w:t>
            </w:r>
          </w:p>
        </w:tc>
      </w:tr>
      <w:tr w:rsidR="002D06BB" w:rsidRPr="00306F4D" w14:paraId="05E9BF11" w14:textId="77777777" w:rsidTr="008A593A">
        <w:tc>
          <w:tcPr>
            <w:cnfStyle w:val="001000000000" w:firstRow="0" w:lastRow="0" w:firstColumn="1" w:lastColumn="0" w:oddVBand="0" w:evenVBand="0" w:oddHBand="0" w:evenHBand="0" w:firstRowFirstColumn="0" w:firstRowLastColumn="0" w:lastRowFirstColumn="0" w:lastRowLastColumn="0"/>
            <w:tcW w:w="1465" w:type="dxa"/>
            <w:vMerge/>
            <w:hideMark/>
          </w:tcPr>
          <w:p w14:paraId="09F17FCD" w14:textId="77777777" w:rsidR="002D06BB" w:rsidRPr="00306F4D" w:rsidRDefault="002D06BB" w:rsidP="002D06BB">
            <w:pPr>
              <w:pStyle w:val="Footer"/>
              <w:rPr>
                <w:rFonts w:ascii="Arial" w:hAnsi="Arial" w:cs="Arial"/>
                <w:sz w:val="20"/>
                <w:szCs w:val="20"/>
              </w:rPr>
            </w:pPr>
          </w:p>
        </w:tc>
        <w:tc>
          <w:tcPr>
            <w:tcW w:w="12210" w:type="dxa"/>
            <w:hideMark/>
          </w:tcPr>
          <w:p w14:paraId="10C0831D" w14:textId="77777777" w:rsidR="002D06BB" w:rsidRPr="00306F4D" w:rsidRDefault="002D06BB" w:rsidP="002D06BB">
            <w:pPr>
              <w:pStyle w:val="Foo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06F4D">
              <w:rPr>
                <w:rFonts w:ascii="Arial" w:hAnsi="Arial" w:cs="Arial"/>
                <w:sz w:val="20"/>
                <w:szCs w:val="20"/>
              </w:rPr>
              <w:t>Project Coordinator SRB: Leads the implementation of the Technical Assistance and Capability Development for Scale component at the country level, ensuring selected adaptation innovations are strengthened and positioned for scale. Provides technical guidance on business development support, oversees market testing processes, and facilitates the identification of funding and financing pathways. Coordinates closely with the Regional Project Manager, engages with national stakeholders and partners, and ensures activities are delivered on time, within scope, and in alignment with project objectives.</w:t>
            </w:r>
          </w:p>
        </w:tc>
      </w:tr>
      <w:tr w:rsidR="002D06BB" w:rsidRPr="00306F4D" w14:paraId="0CC3C00F" w14:textId="77777777" w:rsidTr="008A59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5" w:type="dxa"/>
            <w:vMerge/>
            <w:hideMark/>
          </w:tcPr>
          <w:p w14:paraId="7353A01A" w14:textId="77777777" w:rsidR="002D06BB" w:rsidRPr="00306F4D" w:rsidRDefault="002D06BB" w:rsidP="002D06BB">
            <w:pPr>
              <w:pStyle w:val="Footer"/>
              <w:rPr>
                <w:rFonts w:ascii="Arial" w:hAnsi="Arial" w:cs="Arial"/>
                <w:sz w:val="20"/>
                <w:szCs w:val="20"/>
              </w:rPr>
            </w:pPr>
          </w:p>
        </w:tc>
        <w:tc>
          <w:tcPr>
            <w:tcW w:w="12210" w:type="dxa"/>
            <w:hideMark/>
          </w:tcPr>
          <w:p w14:paraId="6A31F6BC" w14:textId="77777777" w:rsidR="002D06BB" w:rsidRPr="00306F4D" w:rsidRDefault="002D06BB" w:rsidP="002D06BB">
            <w:pPr>
              <w:pStyle w:val="Foo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06F4D">
              <w:rPr>
                <w:rFonts w:ascii="Arial" w:hAnsi="Arial" w:cs="Arial"/>
                <w:sz w:val="20"/>
                <w:szCs w:val="20"/>
              </w:rPr>
              <w:t>Project Associate SRB: Provides administrative, logistical, and operational support for the implementation of the Technical Assistance and Capability Development for Scale component. Assists the Project Coordinator in organizing and documenting activities related to business development support, market testing, and identification of funding and financing pathways for selected adaptation innovations. Ensures smooth coordination with stakeholders, maintains accurate records, and supports the delivery of activities on time and within scope.</w:t>
            </w:r>
          </w:p>
        </w:tc>
      </w:tr>
      <w:tr w:rsidR="002D06BB" w:rsidRPr="00306F4D" w14:paraId="6FF1F228" w14:textId="77777777" w:rsidTr="008A593A">
        <w:tc>
          <w:tcPr>
            <w:cnfStyle w:val="001000000000" w:firstRow="0" w:lastRow="0" w:firstColumn="1" w:lastColumn="0" w:oddVBand="0" w:evenVBand="0" w:oddHBand="0" w:evenHBand="0" w:firstRowFirstColumn="0" w:firstRowLastColumn="0" w:lastRowFirstColumn="0" w:lastRowLastColumn="0"/>
            <w:tcW w:w="1465" w:type="dxa"/>
            <w:hideMark/>
          </w:tcPr>
          <w:p w14:paraId="4CABB420" w14:textId="77777777" w:rsidR="002D06BB" w:rsidRPr="00306F4D" w:rsidRDefault="002D06BB" w:rsidP="002D06BB">
            <w:pPr>
              <w:pStyle w:val="Footer"/>
              <w:rPr>
                <w:rFonts w:ascii="Arial" w:hAnsi="Arial" w:cs="Arial"/>
                <w:sz w:val="20"/>
                <w:szCs w:val="20"/>
              </w:rPr>
            </w:pPr>
            <w:r w:rsidRPr="00306F4D">
              <w:rPr>
                <w:rFonts w:ascii="Arial" w:hAnsi="Arial" w:cs="Arial"/>
                <w:sz w:val="20"/>
                <w:szCs w:val="20"/>
              </w:rPr>
              <w:t>15</w:t>
            </w:r>
          </w:p>
        </w:tc>
        <w:tc>
          <w:tcPr>
            <w:tcW w:w="12210" w:type="dxa"/>
            <w:hideMark/>
          </w:tcPr>
          <w:p w14:paraId="7229FDB3" w14:textId="77777777" w:rsidR="002D06BB" w:rsidRPr="00306F4D" w:rsidRDefault="002D06BB" w:rsidP="002D06BB">
            <w:pPr>
              <w:pStyle w:val="Foo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06F4D">
              <w:rPr>
                <w:rFonts w:ascii="Arial" w:hAnsi="Arial" w:cs="Arial"/>
                <w:sz w:val="20"/>
                <w:szCs w:val="20"/>
              </w:rPr>
              <w:t>Technical assistance - financing/funding: engaging specialized venture philanthropy organizations through competitive procurement processes. These experts will provide tailored guidance on impact investment strategies, social enterprise development, and innovative financing mechanisms for climate adaptation ventures.</w:t>
            </w:r>
          </w:p>
        </w:tc>
      </w:tr>
      <w:tr w:rsidR="002D06BB" w:rsidRPr="00306F4D" w14:paraId="5443621B" w14:textId="77777777" w:rsidTr="008A59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5" w:type="dxa"/>
            <w:vMerge w:val="restart"/>
            <w:hideMark/>
          </w:tcPr>
          <w:p w14:paraId="2FE3E211" w14:textId="77777777" w:rsidR="002D06BB" w:rsidRPr="00306F4D" w:rsidRDefault="002D06BB" w:rsidP="002D06BB">
            <w:pPr>
              <w:pStyle w:val="Footer"/>
              <w:rPr>
                <w:rFonts w:ascii="Arial" w:hAnsi="Arial" w:cs="Arial"/>
                <w:sz w:val="20"/>
                <w:szCs w:val="20"/>
              </w:rPr>
            </w:pPr>
            <w:r w:rsidRPr="00306F4D">
              <w:rPr>
                <w:rFonts w:ascii="Arial" w:hAnsi="Arial" w:cs="Arial"/>
                <w:sz w:val="20"/>
                <w:szCs w:val="20"/>
              </w:rPr>
              <w:t>16</w:t>
            </w:r>
          </w:p>
        </w:tc>
        <w:tc>
          <w:tcPr>
            <w:tcW w:w="12210" w:type="dxa"/>
            <w:hideMark/>
          </w:tcPr>
          <w:p w14:paraId="5464717A" w14:textId="2D529583" w:rsidR="002D06BB" w:rsidRPr="00306F4D" w:rsidRDefault="002D06BB" w:rsidP="002D06BB">
            <w:pPr>
              <w:pStyle w:val="Foo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06F4D">
              <w:rPr>
                <w:rFonts w:ascii="Arial" w:hAnsi="Arial" w:cs="Arial"/>
                <w:sz w:val="20"/>
                <w:szCs w:val="20"/>
              </w:rPr>
              <w:t xml:space="preserve">Community engagement and Knowledge Management Specialist: In collaboration with the Performance and Data Analyst, produces high quality KM reports, factsheets, business cases from the WB grantees and provides inputs to KM products that are prepared by UNDP Climate teams to strengthen the visibility of the project. Maintain relationship with KM partners. Utilizing the knowledge and lessons generated, organizes peer to peer knowledge exchange sessions, prepares sessions in international conferences/webinars to showcase the grantees- impact achieved by the project, and coordinates capacity building efforts in specific matters (e.g. such as crowdfunding). Includes the capturing of lessons learned and the development of Learning Briefs and Missions, as per MEL budgeted plan) </w:t>
            </w:r>
          </w:p>
        </w:tc>
      </w:tr>
      <w:tr w:rsidR="002D06BB" w:rsidRPr="00306F4D" w14:paraId="18669C20" w14:textId="77777777" w:rsidTr="008A593A">
        <w:tc>
          <w:tcPr>
            <w:cnfStyle w:val="001000000000" w:firstRow="0" w:lastRow="0" w:firstColumn="1" w:lastColumn="0" w:oddVBand="0" w:evenVBand="0" w:oddHBand="0" w:evenHBand="0" w:firstRowFirstColumn="0" w:firstRowLastColumn="0" w:lastRowFirstColumn="0" w:lastRowLastColumn="0"/>
            <w:tcW w:w="1465" w:type="dxa"/>
            <w:vMerge/>
            <w:hideMark/>
          </w:tcPr>
          <w:p w14:paraId="38178C29" w14:textId="77777777" w:rsidR="002D06BB" w:rsidRPr="00306F4D" w:rsidRDefault="002D06BB" w:rsidP="002D06BB">
            <w:pPr>
              <w:pStyle w:val="Footer"/>
              <w:rPr>
                <w:rFonts w:ascii="Arial" w:hAnsi="Arial" w:cs="Arial"/>
                <w:sz w:val="20"/>
                <w:szCs w:val="20"/>
              </w:rPr>
            </w:pPr>
          </w:p>
        </w:tc>
        <w:tc>
          <w:tcPr>
            <w:tcW w:w="12210" w:type="dxa"/>
            <w:hideMark/>
          </w:tcPr>
          <w:p w14:paraId="7A68DF60" w14:textId="77777777" w:rsidR="002D06BB" w:rsidRPr="00306F4D" w:rsidRDefault="002D06BB" w:rsidP="002D06BB">
            <w:pPr>
              <w:pStyle w:val="Foo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06F4D">
              <w:rPr>
                <w:rFonts w:ascii="Arial" w:hAnsi="Arial" w:cs="Arial"/>
                <w:sz w:val="20"/>
                <w:szCs w:val="20"/>
              </w:rPr>
              <w:t xml:space="preserve">Innovation Specialist: Responsible for bringing lessons learned and best practices from the Boost regional </w:t>
            </w:r>
            <w:proofErr w:type="spellStart"/>
            <w:r w:rsidRPr="00306F4D">
              <w:rPr>
                <w:rFonts w:ascii="Arial" w:hAnsi="Arial" w:cs="Arial"/>
                <w:sz w:val="20"/>
                <w:szCs w:val="20"/>
              </w:rPr>
              <w:t>programme</w:t>
            </w:r>
            <w:proofErr w:type="spellEnd"/>
            <w:r w:rsidRPr="00306F4D">
              <w:rPr>
                <w:rFonts w:ascii="Arial" w:hAnsi="Arial" w:cs="Arial"/>
                <w:sz w:val="20"/>
                <w:szCs w:val="20"/>
              </w:rPr>
              <w:t xml:space="preserve">, facilitating knowledge transfer, and supporting the design and implementation of the innovation sprint to develop </w:t>
            </w:r>
            <w:proofErr w:type="gramStart"/>
            <w:r w:rsidRPr="00306F4D">
              <w:rPr>
                <w:rFonts w:ascii="Arial" w:hAnsi="Arial" w:cs="Arial"/>
                <w:sz w:val="20"/>
                <w:szCs w:val="20"/>
              </w:rPr>
              <w:t>locally-led</w:t>
            </w:r>
            <w:proofErr w:type="gramEnd"/>
            <w:r w:rsidRPr="00306F4D">
              <w:rPr>
                <w:rFonts w:ascii="Arial" w:hAnsi="Arial" w:cs="Arial"/>
                <w:sz w:val="20"/>
                <w:szCs w:val="20"/>
              </w:rPr>
              <w:t xml:space="preserve"> adaptation solutions.</w:t>
            </w:r>
          </w:p>
        </w:tc>
      </w:tr>
      <w:tr w:rsidR="002D06BB" w:rsidRPr="00306F4D" w14:paraId="52775367" w14:textId="77777777" w:rsidTr="008A59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5" w:type="dxa"/>
            <w:vMerge/>
            <w:hideMark/>
          </w:tcPr>
          <w:p w14:paraId="338047F3" w14:textId="77777777" w:rsidR="002D06BB" w:rsidRPr="00306F4D" w:rsidRDefault="002D06BB" w:rsidP="002D06BB">
            <w:pPr>
              <w:pStyle w:val="Footer"/>
              <w:rPr>
                <w:rFonts w:ascii="Arial" w:hAnsi="Arial" w:cs="Arial"/>
                <w:sz w:val="20"/>
                <w:szCs w:val="20"/>
              </w:rPr>
            </w:pPr>
          </w:p>
        </w:tc>
        <w:tc>
          <w:tcPr>
            <w:tcW w:w="12210" w:type="dxa"/>
            <w:hideMark/>
          </w:tcPr>
          <w:p w14:paraId="5B550453" w14:textId="77777777" w:rsidR="002D06BB" w:rsidRPr="00306F4D" w:rsidRDefault="002D06BB" w:rsidP="002D06BB">
            <w:pPr>
              <w:pStyle w:val="Foo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06F4D">
              <w:rPr>
                <w:rFonts w:ascii="Arial" w:hAnsi="Arial" w:cs="Arial"/>
                <w:sz w:val="20"/>
                <w:szCs w:val="20"/>
              </w:rPr>
              <w:t>Regional Project Associate: Provides administrative, logistical, and operational support for the Knowledge Management and Regional Collaboration component across participating countries. Assists the Regional Project Manager in coordinating activities within the Project Management Unit, ensuring smooth planning, implementation, and documentation of knowledge capture, sharing, and policy engagement efforts. Supports country teams in organizing and feeding inputs into the regional learning platform and global networks, facilitates cross-country communication, and maintains accurate records to ensure timely and coherent delivery of regional and national activities. (based in MK)</w:t>
            </w:r>
          </w:p>
        </w:tc>
      </w:tr>
      <w:tr w:rsidR="002D06BB" w:rsidRPr="00306F4D" w14:paraId="11A84B89" w14:textId="77777777" w:rsidTr="008A593A">
        <w:tc>
          <w:tcPr>
            <w:cnfStyle w:val="001000000000" w:firstRow="0" w:lastRow="0" w:firstColumn="1" w:lastColumn="0" w:oddVBand="0" w:evenVBand="0" w:oddHBand="0" w:evenHBand="0" w:firstRowFirstColumn="0" w:firstRowLastColumn="0" w:lastRowFirstColumn="0" w:lastRowLastColumn="0"/>
            <w:tcW w:w="1465" w:type="dxa"/>
            <w:vMerge/>
            <w:hideMark/>
          </w:tcPr>
          <w:p w14:paraId="46C781DD" w14:textId="77777777" w:rsidR="002D06BB" w:rsidRPr="00306F4D" w:rsidRDefault="002D06BB" w:rsidP="002D06BB">
            <w:pPr>
              <w:pStyle w:val="Footer"/>
              <w:rPr>
                <w:rFonts w:ascii="Arial" w:hAnsi="Arial" w:cs="Arial"/>
                <w:sz w:val="20"/>
                <w:szCs w:val="20"/>
              </w:rPr>
            </w:pPr>
          </w:p>
        </w:tc>
        <w:tc>
          <w:tcPr>
            <w:tcW w:w="12210" w:type="dxa"/>
            <w:hideMark/>
          </w:tcPr>
          <w:p w14:paraId="6ECDE741" w14:textId="77777777" w:rsidR="002D06BB" w:rsidRPr="00306F4D" w:rsidRDefault="002D06BB" w:rsidP="002D06BB">
            <w:pPr>
              <w:pStyle w:val="Foo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06F4D">
              <w:rPr>
                <w:rFonts w:ascii="Arial" w:hAnsi="Arial" w:cs="Arial"/>
                <w:sz w:val="20"/>
                <w:szCs w:val="20"/>
              </w:rPr>
              <w:t>Project Coordinator BIH: Leads the implementation of the Knowledge Management and Regional Collaboration component at the country level, ensuring knowledge, evidence, and lessons from adaptation innovations are effectively captured, documented, and shared. Provides technical guidance to leverage these insights for replication, scale, and policy engagement. Coordinates inputs to the regional learning platform and contributes to global networks, working closely with the Regional Project Manager to promote cross-country collaboration and strengthen regional partnerships.</w:t>
            </w:r>
          </w:p>
        </w:tc>
      </w:tr>
      <w:tr w:rsidR="002D06BB" w:rsidRPr="00306F4D" w14:paraId="4E8FF523" w14:textId="77777777" w:rsidTr="008A59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5" w:type="dxa"/>
            <w:vMerge/>
            <w:hideMark/>
          </w:tcPr>
          <w:p w14:paraId="00667082" w14:textId="77777777" w:rsidR="002D06BB" w:rsidRPr="00306F4D" w:rsidRDefault="002D06BB" w:rsidP="002D06BB">
            <w:pPr>
              <w:pStyle w:val="Footer"/>
              <w:rPr>
                <w:rFonts w:ascii="Arial" w:hAnsi="Arial" w:cs="Arial"/>
                <w:sz w:val="20"/>
                <w:szCs w:val="20"/>
              </w:rPr>
            </w:pPr>
          </w:p>
        </w:tc>
        <w:tc>
          <w:tcPr>
            <w:tcW w:w="12210" w:type="dxa"/>
            <w:hideMark/>
          </w:tcPr>
          <w:p w14:paraId="74F6E55E" w14:textId="543E9995" w:rsidR="002D06BB" w:rsidRPr="00306F4D" w:rsidRDefault="002D06BB" w:rsidP="002D06BB">
            <w:pPr>
              <w:pStyle w:val="Foo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06F4D">
              <w:rPr>
                <w:rFonts w:ascii="Arial" w:hAnsi="Arial" w:cs="Arial"/>
                <w:sz w:val="20"/>
                <w:szCs w:val="20"/>
              </w:rPr>
              <w:t>Project Associate BIH: Provides administrative, logistical, and operational support for the Knowledge Management and Regional Collaboration component. Assists the Project Coordinator at the country level and the Community engagement and Knowledge Management Specialist in organizing and documenting knowledge products, lessons learned, and evidence from adaptation innovations. Supports coordination with national and regional stakeholders, contributes to updates for the regional learning platform, and ensures smooth information flow to facilitate replication, scale, and policy engagement.</w:t>
            </w:r>
          </w:p>
        </w:tc>
      </w:tr>
      <w:tr w:rsidR="002D06BB" w:rsidRPr="00306F4D" w14:paraId="21B3FFB7" w14:textId="77777777" w:rsidTr="008A593A">
        <w:tc>
          <w:tcPr>
            <w:cnfStyle w:val="001000000000" w:firstRow="0" w:lastRow="0" w:firstColumn="1" w:lastColumn="0" w:oddVBand="0" w:evenVBand="0" w:oddHBand="0" w:evenHBand="0" w:firstRowFirstColumn="0" w:firstRowLastColumn="0" w:lastRowFirstColumn="0" w:lastRowLastColumn="0"/>
            <w:tcW w:w="1465" w:type="dxa"/>
            <w:vMerge/>
            <w:hideMark/>
          </w:tcPr>
          <w:p w14:paraId="03BC0D45" w14:textId="77777777" w:rsidR="002D06BB" w:rsidRPr="00306F4D" w:rsidRDefault="002D06BB" w:rsidP="002D06BB">
            <w:pPr>
              <w:pStyle w:val="Footer"/>
              <w:rPr>
                <w:rFonts w:ascii="Arial" w:hAnsi="Arial" w:cs="Arial"/>
                <w:sz w:val="20"/>
                <w:szCs w:val="20"/>
              </w:rPr>
            </w:pPr>
          </w:p>
        </w:tc>
        <w:tc>
          <w:tcPr>
            <w:tcW w:w="12210" w:type="dxa"/>
            <w:hideMark/>
          </w:tcPr>
          <w:p w14:paraId="6055C377" w14:textId="77777777" w:rsidR="002D06BB" w:rsidRPr="00306F4D" w:rsidRDefault="002D06BB" w:rsidP="002D06BB">
            <w:pPr>
              <w:pStyle w:val="Foo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06F4D">
              <w:rPr>
                <w:rFonts w:ascii="Arial" w:hAnsi="Arial" w:cs="Arial"/>
                <w:sz w:val="20"/>
                <w:szCs w:val="20"/>
              </w:rPr>
              <w:t>Project Coordinator MNE: Leads the implementation of the Knowledge Management and Regional Collaboration component at the country level, ensuring knowledge, evidence, and lessons from adaptation innovations are effectively captured, documented, and shared. Provides technical guidance to leverage these insights for replication, scale, and policy engagement. Coordinates inputs to the regional learning platform and contributes to global networks, working closely with the Regional Project Manager to promote cross-country collaboration and strengthen regional partnerships.</w:t>
            </w:r>
          </w:p>
        </w:tc>
      </w:tr>
      <w:tr w:rsidR="002D06BB" w:rsidRPr="00306F4D" w14:paraId="75921A8F" w14:textId="77777777" w:rsidTr="008A59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5" w:type="dxa"/>
            <w:vMerge/>
            <w:hideMark/>
          </w:tcPr>
          <w:p w14:paraId="1165CF19" w14:textId="77777777" w:rsidR="002D06BB" w:rsidRPr="00306F4D" w:rsidRDefault="002D06BB" w:rsidP="002D06BB">
            <w:pPr>
              <w:pStyle w:val="Footer"/>
              <w:rPr>
                <w:rFonts w:ascii="Arial" w:hAnsi="Arial" w:cs="Arial"/>
                <w:sz w:val="20"/>
                <w:szCs w:val="20"/>
              </w:rPr>
            </w:pPr>
          </w:p>
        </w:tc>
        <w:tc>
          <w:tcPr>
            <w:tcW w:w="12210" w:type="dxa"/>
            <w:hideMark/>
          </w:tcPr>
          <w:p w14:paraId="09C6ADBB" w14:textId="77777777" w:rsidR="002D06BB" w:rsidRPr="00306F4D" w:rsidRDefault="002D06BB" w:rsidP="002D06BB">
            <w:pPr>
              <w:pStyle w:val="Foo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06F4D">
              <w:rPr>
                <w:rFonts w:ascii="Arial" w:hAnsi="Arial" w:cs="Arial"/>
                <w:sz w:val="20"/>
                <w:szCs w:val="20"/>
              </w:rPr>
              <w:t>Project Coordinator SRB: Leads the implementation of the Knowledge Management and Regional Collaboration component at the country level, ensuring knowledge, evidence, and lessons from adaptation innovations are effectively captured, documented, and shared. Provides technical guidance to leverage these insights for replication, scale, and policy engagement. Coordinates inputs to the regional learning platform and contributes to global networks, working closely with the Regional Project Manager to promote cross-country collaboration and strengthen regional partnerships.</w:t>
            </w:r>
          </w:p>
        </w:tc>
      </w:tr>
      <w:tr w:rsidR="002D06BB" w:rsidRPr="00306F4D" w14:paraId="68C7F776" w14:textId="77777777" w:rsidTr="008A593A">
        <w:tc>
          <w:tcPr>
            <w:cnfStyle w:val="001000000000" w:firstRow="0" w:lastRow="0" w:firstColumn="1" w:lastColumn="0" w:oddVBand="0" w:evenVBand="0" w:oddHBand="0" w:evenHBand="0" w:firstRowFirstColumn="0" w:firstRowLastColumn="0" w:lastRowFirstColumn="0" w:lastRowLastColumn="0"/>
            <w:tcW w:w="1465" w:type="dxa"/>
            <w:vMerge/>
            <w:hideMark/>
          </w:tcPr>
          <w:p w14:paraId="0111D01F" w14:textId="77777777" w:rsidR="002D06BB" w:rsidRPr="00306F4D" w:rsidRDefault="002D06BB" w:rsidP="002D06BB">
            <w:pPr>
              <w:pStyle w:val="Footer"/>
              <w:rPr>
                <w:rFonts w:ascii="Arial" w:hAnsi="Arial" w:cs="Arial"/>
                <w:sz w:val="20"/>
                <w:szCs w:val="20"/>
              </w:rPr>
            </w:pPr>
          </w:p>
        </w:tc>
        <w:tc>
          <w:tcPr>
            <w:tcW w:w="12210" w:type="dxa"/>
            <w:hideMark/>
          </w:tcPr>
          <w:p w14:paraId="2369E598" w14:textId="77777777" w:rsidR="002D06BB" w:rsidRPr="00306F4D" w:rsidRDefault="002D06BB" w:rsidP="002D06BB">
            <w:pPr>
              <w:pStyle w:val="Foo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06F4D">
              <w:rPr>
                <w:rFonts w:ascii="Arial" w:hAnsi="Arial" w:cs="Arial"/>
                <w:sz w:val="20"/>
                <w:szCs w:val="20"/>
              </w:rPr>
              <w:t>Project Associate MNE: Provides administrative, logistical, and operational support for the Knowledge Management and Regional Collaboration component. Assists the Project Coordinator at the country level and the Community engagement and Knowledge Management Specialist in organizing and documenting knowledge products, lessons learned, and evidence from adaptation innovations. Supports coordination with national and regional stakeholders, contributes to updates for the regional learning platform, and ensures smooth information flow to facilitate replication, scale, and policy engagement.</w:t>
            </w:r>
          </w:p>
        </w:tc>
      </w:tr>
      <w:tr w:rsidR="002D06BB" w:rsidRPr="00306F4D" w14:paraId="3FBDC1C4" w14:textId="77777777" w:rsidTr="008A59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5" w:type="dxa"/>
            <w:vMerge/>
            <w:hideMark/>
          </w:tcPr>
          <w:p w14:paraId="5A6D48F3" w14:textId="77777777" w:rsidR="002D06BB" w:rsidRPr="00306F4D" w:rsidRDefault="002D06BB" w:rsidP="002D06BB">
            <w:pPr>
              <w:pStyle w:val="Footer"/>
              <w:rPr>
                <w:rFonts w:ascii="Arial" w:hAnsi="Arial" w:cs="Arial"/>
                <w:sz w:val="20"/>
                <w:szCs w:val="20"/>
              </w:rPr>
            </w:pPr>
          </w:p>
        </w:tc>
        <w:tc>
          <w:tcPr>
            <w:tcW w:w="12210" w:type="dxa"/>
            <w:hideMark/>
          </w:tcPr>
          <w:p w14:paraId="2D947F60" w14:textId="77777777" w:rsidR="002D06BB" w:rsidRPr="00306F4D" w:rsidRDefault="002D06BB" w:rsidP="002D06BB">
            <w:pPr>
              <w:pStyle w:val="Foo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06F4D">
              <w:rPr>
                <w:rFonts w:ascii="Arial" w:hAnsi="Arial" w:cs="Arial"/>
                <w:sz w:val="20"/>
                <w:szCs w:val="20"/>
              </w:rPr>
              <w:t>Project Associate SRB: Provides administrative, logistical, and operational support for the Knowledge Management and Regional Collaboration component. Assists the Project Coordinator at the country level and the Community engagement and Knowledge Management Specialist in organizing and documenting knowledge products, lessons learned, and evidence from adaptation innovations. Supports coordination with national and regional stakeholders, contributes to updates for the regional learning platform, and ensures smooth information flow to facilitate replication, scale, and policy engagement.</w:t>
            </w:r>
          </w:p>
        </w:tc>
      </w:tr>
      <w:tr w:rsidR="002D06BB" w:rsidRPr="00306F4D" w14:paraId="70AA6F6C" w14:textId="77777777" w:rsidTr="008A593A">
        <w:tc>
          <w:tcPr>
            <w:cnfStyle w:val="001000000000" w:firstRow="0" w:lastRow="0" w:firstColumn="1" w:lastColumn="0" w:oddVBand="0" w:evenVBand="0" w:oddHBand="0" w:evenHBand="0" w:firstRowFirstColumn="0" w:firstRowLastColumn="0" w:lastRowFirstColumn="0" w:lastRowLastColumn="0"/>
            <w:tcW w:w="1465" w:type="dxa"/>
            <w:hideMark/>
          </w:tcPr>
          <w:p w14:paraId="6DBF63C0" w14:textId="77777777" w:rsidR="002D06BB" w:rsidRPr="00306F4D" w:rsidRDefault="002D06BB" w:rsidP="002D06BB">
            <w:pPr>
              <w:pStyle w:val="Footer"/>
              <w:rPr>
                <w:rFonts w:ascii="Arial" w:hAnsi="Arial" w:cs="Arial"/>
                <w:sz w:val="20"/>
                <w:szCs w:val="20"/>
              </w:rPr>
            </w:pPr>
            <w:r w:rsidRPr="00306F4D">
              <w:rPr>
                <w:rFonts w:ascii="Arial" w:hAnsi="Arial" w:cs="Arial"/>
                <w:sz w:val="20"/>
                <w:szCs w:val="20"/>
              </w:rPr>
              <w:t>17</w:t>
            </w:r>
          </w:p>
        </w:tc>
        <w:tc>
          <w:tcPr>
            <w:tcW w:w="12210" w:type="dxa"/>
            <w:hideMark/>
          </w:tcPr>
          <w:p w14:paraId="6262BE00" w14:textId="77777777" w:rsidR="002D06BB" w:rsidRPr="00306F4D" w:rsidRDefault="002D06BB" w:rsidP="002D06BB">
            <w:pPr>
              <w:pStyle w:val="Foo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06F4D">
              <w:rPr>
                <w:rFonts w:ascii="Arial" w:hAnsi="Arial" w:cs="Arial"/>
                <w:sz w:val="20"/>
                <w:szCs w:val="20"/>
              </w:rPr>
              <w:t>Audiovisual / graphic design</w:t>
            </w:r>
          </w:p>
        </w:tc>
      </w:tr>
      <w:tr w:rsidR="002D06BB" w:rsidRPr="00306F4D" w14:paraId="0A323F98" w14:textId="77777777" w:rsidTr="008A59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5" w:type="dxa"/>
            <w:hideMark/>
          </w:tcPr>
          <w:p w14:paraId="558188F5" w14:textId="77777777" w:rsidR="002D06BB" w:rsidRPr="00306F4D" w:rsidRDefault="002D06BB" w:rsidP="002D06BB">
            <w:pPr>
              <w:pStyle w:val="Footer"/>
              <w:rPr>
                <w:rFonts w:ascii="Arial" w:hAnsi="Arial" w:cs="Arial"/>
                <w:sz w:val="20"/>
                <w:szCs w:val="20"/>
              </w:rPr>
            </w:pPr>
          </w:p>
        </w:tc>
        <w:tc>
          <w:tcPr>
            <w:tcW w:w="12210" w:type="dxa"/>
            <w:hideMark/>
          </w:tcPr>
          <w:p w14:paraId="656FF4A5" w14:textId="77777777" w:rsidR="002D06BB" w:rsidRPr="00306F4D" w:rsidRDefault="002D06BB" w:rsidP="002D06BB">
            <w:pPr>
              <w:pStyle w:val="Foo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06F4D">
              <w:rPr>
                <w:rFonts w:ascii="Arial" w:hAnsi="Arial" w:cs="Arial"/>
                <w:sz w:val="20"/>
                <w:szCs w:val="20"/>
              </w:rPr>
              <w:t>Translation and interpretation services</w:t>
            </w:r>
          </w:p>
        </w:tc>
      </w:tr>
      <w:tr w:rsidR="002D06BB" w:rsidRPr="00306F4D" w14:paraId="24F39ACE" w14:textId="77777777" w:rsidTr="008A593A">
        <w:tc>
          <w:tcPr>
            <w:cnfStyle w:val="001000000000" w:firstRow="0" w:lastRow="0" w:firstColumn="1" w:lastColumn="0" w:oddVBand="0" w:evenVBand="0" w:oddHBand="0" w:evenHBand="0" w:firstRowFirstColumn="0" w:firstRowLastColumn="0" w:lastRowFirstColumn="0" w:lastRowLastColumn="0"/>
            <w:tcW w:w="1465" w:type="dxa"/>
            <w:hideMark/>
          </w:tcPr>
          <w:p w14:paraId="44BE5B86" w14:textId="77777777" w:rsidR="002D06BB" w:rsidRPr="00306F4D" w:rsidRDefault="002D06BB" w:rsidP="002D06BB">
            <w:pPr>
              <w:pStyle w:val="Footer"/>
              <w:rPr>
                <w:rFonts w:ascii="Arial" w:hAnsi="Arial" w:cs="Arial"/>
                <w:sz w:val="20"/>
                <w:szCs w:val="20"/>
              </w:rPr>
            </w:pPr>
            <w:r w:rsidRPr="00306F4D">
              <w:rPr>
                <w:rFonts w:ascii="Arial" w:hAnsi="Arial" w:cs="Arial"/>
                <w:sz w:val="20"/>
                <w:szCs w:val="20"/>
              </w:rPr>
              <w:t>18</w:t>
            </w:r>
          </w:p>
        </w:tc>
        <w:tc>
          <w:tcPr>
            <w:tcW w:w="12210" w:type="dxa"/>
            <w:hideMark/>
          </w:tcPr>
          <w:p w14:paraId="55C9EB16" w14:textId="77597F79" w:rsidR="002D06BB" w:rsidRPr="00306F4D" w:rsidRDefault="002D06BB" w:rsidP="002D06BB">
            <w:pPr>
              <w:pStyle w:val="Foo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06F4D">
              <w:rPr>
                <w:rFonts w:ascii="Arial" w:hAnsi="Arial" w:cs="Arial"/>
                <w:sz w:val="20"/>
                <w:szCs w:val="20"/>
              </w:rPr>
              <w:t xml:space="preserve">Communications Specialist: Produces high quality stories, blogs and </w:t>
            </w:r>
            <w:r w:rsidR="00AF68ED" w:rsidRPr="00306F4D">
              <w:rPr>
                <w:rFonts w:ascii="Arial" w:hAnsi="Arial" w:cs="Arial"/>
                <w:sz w:val="20"/>
                <w:szCs w:val="20"/>
              </w:rPr>
              <w:t>photo stories</w:t>
            </w:r>
            <w:r w:rsidRPr="00306F4D">
              <w:rPr>
                <w:rFonts w:ascii="Arial" w:hAnsi="Arial" w:cs="Arial"/>
                <w:sz w:val="20"/>
                <w:szCs w:val="20"/>
              </w:rPr>
              <w:t xml:space="preserve">, about the grantees in collaboration with the KM specialist. Connects the narrative with the Climate Promise website and the overall CCA team portfolio. Produces comms materials that </w:t>
            </w:r>
            <w:r w:rsidRPr="00306F4D">
              <w:rPr>
                <w:rFonts w:ascii="Arial" w:hAnsi="Arial" w:cs="Arial"/>
                <w:sz w:val="20"/>
                <w:szCs w:val="20"/>
              </w:rPr>
              <w:lastRenderedPageBreak/>
              <w:t xml:space="preserve">has the quality and incorporates the guidance to use the UNDP Climate channels and give international visibility to the projects, the KM products, and the grantees. </w:t>
            </w:r>
          </w:p>
        </w:tc>
      </w:tr>
      <w:tr w:rsidR="002D06BB" w:rsidRPr="00306F4D" w14:paraId="5711CD53" w14:textId="77777777" w:rsidTr="008A59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5" w:type="dxa"/>
            <w:hideMark/>
          </w:tcPr>
          <w:p w14:paraId="308699AB" w14:textId="77777777" w:rsidR="002D06BB" w:rsidRPr="00306F4D" w:rsidRDefault="002D06BB" w:rsidP="002D06BB">
            <w:pPr>
              <w:pStyle w:val="Footer"/>
              <w:rPr>
                <w:rFonts w:ascii="Arial" w:hAnsi="Arial" w:cs="Arial"/>
                <w:sz w:val="20"/>
                <w:szCs w:val="20"/>
              </w:rPr>
            </w:pPr>
            <w:r w:rsidRPr="00306F4D">
              <w:rPr>
                <w:rFonts w:ascii="Arial" w:hAnsi="Arial" w:cs="Arial"/>
                <w:sz w:val="20"/>
                <w:szCs w:val="20"/>
              </w:rPr>
              <w:lastRenderedPageBreak/>
              <w:t>19</w:t>
            </w:r>
          </w:p>
        </w:tc>
        <w:tc>
          <w:tcPr>
            <w:tcW w:w="12210" w:type="dxa"/>
            <w:hideMark/>
          </w:tcPr>
          <w:p w14:paraId="36C1FDE1" w14:textId="77777777" w:rsidR="002D06BB" w:rsidRPr="00306F4D" w:rsidRDefault="002D06BB" w:rsidP="002D06BB">
            <w:pPr>
              <w:pStyle w:val="Foo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06F4D">
              <w:rPr>
                <w:rFonts w:ascii="Arial" w:hAnsi="Arial" w:cs="Arial"/>
                <w:sz w:val="20"/>
                <w:szCs w:val="20"/>
              </w:rPr>
              <w:t>Show and Tell Event: in-person peer networking &amp; learning event for grantees to network and showcase their results</w:t>
            </w:r>
          </w:p>
        </w:tc>
      </w:tr>
      <w:tr w:rsidR="002D06BB" w:rsidRPr="00306F4D" w14:paraId="192DD6D9" w14:textId="77777777" w:rsidTr="008A593A">
        <w:tc>
          <w:tcPr>
            <w:cnfStyle w:val="001000000000" w:firstRow="0" w:lastRow="0" w:firstColumn="1" w:lastColumn="0" w:oddVBand="0" w:evenVBand="0" w:oddHBand="0" w:evenHBand="0" w:firstRowFirstColumn="0" w:firstRowLastColumn="0" w:lastRowFirstColumn="0" w:lastRowLastColumn="0"/>
            <w:tcW w:w="1465" w:type="dxa"/>
            <w:hideMark/>
          </w:tcPr>
          <w:p w14:paraId="60FEBDF8" w14:textId="77777777" w:rsidR="002D06BB" w:rsidRPr="00306F4D" w:rsidRDefault="002D06BB" w:rsidP="002D06BB">
            <w:pPr>
              <w:pStyle w:val="Footer"/>
              <w:rPr>
                <w:rFonts w:ascii="Arial" w:hAnsi="Arial" w:cs="Arial"/>
                <w:sz w:val="20"/>
                <w:szCs w:val="20"/>
              </w:rPr>
            </w:pPr>
            <w:r w:rsidRPr="00306F4D">
              <w:rPr>
                <w:rFonts w:ascii="Arial" w:hAnsi="Arial" w:cs="Arial"/>
                <w:sz w:val="20"/>
                <w:szCs w:val="20"/>
              </w:rPr>
              <w:t>20</w:t>
            </w:r>
          </w:p>
        </w:tc>
        <w:tc>
          <w:tcPr>
            <w:tcW w:w="12210" w:type="dxa"/>
            <w:hideMark/>
          </w:tcPr>
          <w:p w14:paraId="27CAC49D" w14:textId="77777777" w:rsidR="002D06BB" w:rsidRPr="00306F4D" w:rsidRDefault="002D06BB" w:rsidP="002D06BB">
            <w:pPr>
              <w:pStyle w:val="Foo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06F4D">
              <w:rPr>
                <w:rFonts w:ascii="Arial" w:hAnsi="Arial" w:cs="Arial"/>
                <w:sz w:val="20"/>
                <w:szCs w:val="20"/>
              </w:rPr>
              <w:t>Audit costs</w:t>
            </w:r>
          </w:p>
        </w:tc>
      </w:tr>
      <w:tr w:rsidR="002D06BB" w:rsidRPr="00306F4D" w14:paraId="34EDAF02" w14:textId="77777777" w:rsidTr="008A59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5" w:type="dxa"/>
            <w:hideMark/>
          </w:tcPr>
          <w:p w14:paraId="0E98139C" w14:textId="77777777" w:rsidR="002D06BB" w:rsidRPr="00306F4D" w:rsidRDefault="002D06BB" w:rsidP="002D06BB">
            <w:pPr>
              <w:pStyle w:val="Footer"/>
              <w:rPr>
                <w:rFonts w:ascii="Arial" w:hAnsi="Arial" w:cs="Arial"/>
                <w:sz w:val="20"/>
                <w:szCs w:val="20"/>
              </w:rPr>
            </w:pPr>
            <w:r w:rsidRPr="00306F4D">
              <w:rPr>
                <w:rFonts w:ascii="Arial" w:hAnsi="Arial" w:cs="Arial"/>
                <w:sz w:val="20"/>
                <w:szCs w:val="20"/>
              </w:rPr>
              <w:t>21</w:t>
            </w:r>
          </w:p>
        </w:tc>
        <w:tc>
          <w:tcPr>
            <w:tcW w:w="12210" w:type="dxa"/>
            <w:hideMark/>
          </w:tcPr>
          <w:p w14:paraId="7B34F3CD" w14:textId="00089FEB" w:rsidR="002D06BB" w:rsidRPr="00306F4D" w:rsidRDefault="002D06BB" w:rsidP="002D06BB">
            <w:pPr>
              <w:pStyle w:val="Foo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06F4D">
              <w:rPr>
                <w:rFonts w:ascii="Arial" w:hAnsi="Arial" w:cs="Arial"/>
                <w:sz w:val="20"/>
                <w:szCs w:val="20"/>
              </w:rPr>
              <w:t xml:space="preserve">Regional Project Manager </w:t>
            </w:r>
            <w:r w:rsidR="00E607AC" w:rsidRPr="00306F4D">
              <w:rPr>
                <w:rFonts w:ascii="Arial" w:hAnsi="Arial" w:cs="Arial"/>
                <w:sz w:val="20"/>
                <w:szCs w:val="20"/>
              </w:rPr>
              <w:t>–</w:t>
            </w:r>
            <w:r w:rsidRPr="00306F4D">
              <w:rPr>
                <w:rFonts w:ascii="Arial" w:hAnsi="Arial" w:cs="Arial"/>
                <w:sz w:val="20"/>
                <w:szCs w:val="20"/>
              </w:rPr>
              <w:t xml:space="preserve"> PMU</w:t>
            </w:r>
            <w:r w:rsidR="00E607AC" w:rsidRPr="00306F4D">
              <w:rPr>
                <w:rFonts w:ascii="Arial" w:hAnsi="Arial" w:cs="Arial"/>
                <w:sz w:val="20"/>
                <w:szCs w:val="20"/>
              </w:rPr>
              <w:t xml:space="preserve"> (20%)</w:t>
            </w:r>
            <w:r w:rsidRPr="00306F4D">
              <w:rPr>
                <w:rFonts w:ascii="Arial" w:hAnsi="Arial" w:cs="Arial"/>
                <w:sz w:val="20"/>
                <w:szCs w:val="20"/>
              </w:rPr>
              <w:t xml:space="preserve">: Responsible for overall management, monitoring and supervision of project implementation across the four countries, overseeing timely delivery of activities and results. Support in the </w:t>
            </w:r>
            <w:proofErr w:type="gramStart"/>
            <w:r w:rsidRPr="00306F4D">
              <w:rPr>
                <w:rFonts w:ascii="Arial" w:hAnsi="Arial" w:cs="Arial"/>
                <w:sz w:val="20"/>
                <w:szCs w:val="20"/>
              </w:rPr>
              <w:t>reports</w:t>
            </w:r>
            <w:proofErr w:type="gramEnd"/>
            <w:r w:rsidRPr="00306F4D">
              <w:rPr>
                <w:rFonts w:ascii="Arial" w:hAnsi="Arial" w:cs="Arial"/>
                <w:sz w:val="20"/>
                <w:szCs w:val="20"/>
              </w:rPr>
              <w:t xml:space="preserve"> development.</w:t>
            </w:r>
          </w:p>
        </w:tc>
      </w:tr>
      <w:tr w:rsidR="002D06BB" w:rsidRPr="00306F4D" w14:paraId="71648D7A" w14:textId="77777777" w:rsidTr="008A593A">
        <w:tc>
          <w:tcPr>
            <w:cnfStyle w:val="001000000000" w:firstRow="0" w:lastRow="0" w:firstColumn="1" w:lastColumn="0" w:oddVBand="0" w:evenVBand="0" w:oddHBand="0" w:evenHBand="0" w:firstRowFirstColumn="0" w:firstRowLastColumn="0" w:lastRowFirstColumn="0" w:lastRowLastColumn="0"/>
            <w:tcW w:w="1465" w:type="dxa"/>
            <w:hideMark/>
          </w:tcPr>
          <w:p w14:paraId="7C150A69" w14:textId="4616EDE2" w:rsidR="002D06BB" w:rsidRPr="00306F4D" w:rsidRDefault="002D06BB" w:rsidP="002D06BB">
            <w:pPr>
              <w:pStyle w:val="Footer"/>
              <w:rPr>
                <w:rFonts w:ascii="Arial" w:hAnsi="Arial" w:cs="Arial"/>
                <w:sz w:val="20"/>
                <w:szCs w:val="20"/>
              </w:rPr>
            </w:pPr>
            <w:r w:rsidRPr="00306F4D">
              <w:rPr>
                <w:rFonts w:ascii="Arial" w:hAnsi="Arial" w:cs="Arial"/>
                <w:sz w:val="20"/>
                <w:szCs w:val="20"/>
              </w:rPr>
              <w:t>2</w:t>
            </w:r>
            <w:r w:rsidR="00E607AC" w:rsidRPr="00306F4D">
              <w:rPr>
                <w:rFonts w:ascii="Arial" w:hAnsi="Arial" w:cs="Arial"/>
                <w:sz w:val="20"/>
                <w:szCs w:val="20"/>
              </w:rPr>
              <w:t>2</w:t>
            </w:r>
          </w:p>
        </w:tc>
        <w:tc>
          <w:tcPr>
            <w:tcW w:w="12210" w:type="dxa"/>
            <w:hideMark/>
          </w:tcPr>
          <w:p w14:paraId="4E3D49E4" w14:textId="77777777" w:rsidR="002D06BB" w:rsidRPr="00306F4D" w:rsidRDefault="002D06BB" w:rsidP="002D06BB">
            <w:pPr>
              <w:pStyle w:val="Foo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06F4D">
              <w:rPr>
                <w:rFonts w:ascii="Arial" w:hAnsi="Arial" w:cs="Arial"/>
                <w:sz w:val="20"/>
                <w:szCs w:val="20"/>
              </w:rPr>
              <w:t>Direct Project Costs - Staff costs for the services provided by IRH and CO Staff</w:t>
            </w:r>
          </w:p>
        </w:tc>
      </w:tr>
    </w:tbl>
    <w:p w14:paraId="4DE1706A" w14:textId="77777777" w:rsidR="00BA0352" w:rsidRPr="00306F4D" w:rsidRDefault="00BA0352" w:rsidP="004E2500">
      <w:pPr>
        <w:pStyle w:val="Footer"/>
        <w:rPr>
          <w:rFonts w:ascii="Arial" w:hAnsi="Arial" w:cs="Arial"/>
          <w:sz w:val="20"/>
          <w:szCs w:val="20"/>
        </w:rPr>
        <w:sectPr w:rsidR="00BA0352" w:rsidRPr="00306F4D" w:rsidSect="000711B9">
          <w:pgSz w:w="15840" w:h="12240" w:orient="landscape"/>
          <w:pgMar w:top="1134" w:right="1134" w:bottom="1134" w:left="737" w:header="726" w:footer="1038" w:gutter="0"/>
          <w:cols w:space="720"/>
          <w:docGrid w:linePitch="299"/>
        </w:sectPr>
      </w:pPr>
    </w:p>
    <w:p w14:paraId="4FA4EB8C" w14:textId="4DF7B558" w:rsidR="007020E9" w:rsidRPr="00306F4D" w:rsidRDefault="002D21DC" w:rsidP="004E2500">
      <w:pPr>
        <w:pStyle w:val="Footer"/>
        <w:rPr>
          <w:rFonts w:ascii="Arial" w:hAnsi="Arial" w:cs="Arial"/>
          <w:b/>
          <w:sz w:val="20"/>
          <w:szCs w:val="20"/>
          <w:lang w:val="en-GB"/>
        </w:rPr>
      </w:pPr>
      <w:r w:rsidRPr="00306F4D">
        <w:rPr>
          <w:rFonts w:ascii="Arial" w:hAnsi="Arial" w:cs="Arial"/>
          <w:b/>
          <w:sz w:val="20"/>
          <w:szCs w:val="20"/>
          <w:lang w:val="en-GB"/>
        </w:rPr>
        <w:lastRenderedPageBreak/>
        <w:t xml:space="preserve">IE </w:t>
      </w:r>
      <w:r w:rsidRPr="00306F4D">
        <w:rPr>
          <w:rFonts w:ascii="Arial" w:hAnsi="Arial" w:cs="Arial"/>
          <w:b/>
          <w:bCs/>
          <w:sz w:val="20"/>
          <w:szCs w:val="20"/>
          <w:lang w:val="en-GB"/>
        </w:rPr>
        <w:t>Ma</w:t>
      </w:r>
      <w:r w:rsidR="00703634" w:rsidRPr="00306F4D">
        <w:rPr>
          <w:rFonts w:ascii="Arial" w:hAnsi="Arial" w:cs="Arial"/>
          <w:b/>
          <w:bCs/>
          <w:sz w:val="20"/>
          <w:szCs w:val="20"/>
          <w:lang w:val="en-GB"/>
        </w:rPr>
        <w:t>n</w:t>
      </w:r>
      <w:r w:rsidRPr="00306F4D">
        <w:rPr>
          <w:rFonts w:ascii="Arial" w:hAnsi="Arial" w:cs="Arial"/>
          <w:b/>
          <w:bCs/>
          <w:sz w:val="20"/>
          <w:szCs w:val="20"/>
          <w:lang w:val="en-GB"/>
        </w:rPr>
        <w:t>agement</w:t>
      </w:r>
      <w:r w:rsidRPr="00306F4D">
        <w:rPr>
          <w:rFonts w:ascii="Arial" w:hAnsi="Arial" w:cs="Arial"/>
          <w:b/>
          <w:sz w:val="20"/>
          <w:szCs w:val="20"/>
          <w:lang w:val="en-GB"/>
        </w:rPr>
        <w:t xml:space="preserve"> fee</w:t>
      </w:r>
      <w:r w:rsidR="00703634" w:rsidRPr="00306F4D">
        <w:rPr>
          <w:rFonts w:ascii="Arial" w:hAnsi="Arial" w:cs="Arial"/>
          <w:b/>
          <w:bCs/>
          <w:sz w:val="20"/>
          <w:szCs w:val="20"/>
          <w:lang w:val="en-GB"/>
        </w:rPr>
        <w:t>:</w:t>
      </w:r>
    </w:p>
    <w:p w14:paraId="22E3A4E6" w14:textId="77777777" w:rsidR="00703634" w:rsidRPr="00306F4D" w:rsidRDefault="00703634" w:rsidP="004E2500">
      <w:pPr>
        <w:pStyle w:val="Footer"/>
        <w:rPr>
          <w:rFonts w:ascii="Arial" w:hAnsi="Arial" w:cs="Arial"/>
          <w:b/>
          <w:bCs/>
          <w:sz w:val="20"/>
          <w:szCs w:val="20"/>
          <w:lang w:val="en-GB"/>
        </w:rPr>
      </w:pPr>
    </w:p>
    <w:tbl>
      <w:tblPr>
        <w:tblStyle w:val="TableGrid"/>
        <w:tblW w:w="0" w:type="auto"/>
        <w:tblLook w:val="04A0" w:firstRow="1" w:lastRow="0" w:firstColumn="1" w:lastColumn="0" w:noHBand="0" w:noVBand="1"/>
      </w:tblPr>
      <w:tblGrid>
        <w:gridCol w:w="3149"/>
        <w:gridCol w:w="4953"/>
        <w:gridCol w:w="1860"/>
      </w:tblGrid>
      <w:tr w:rsidR="003338F9" w:rsidRPr="00306F4D" w14:paraId="25D168D1" w14:textId="77777777" w:rsidTr="003338F9">
        <w:trPr>
          <w:trHeight w:val="780"/>
        </w:trPr>
        <w:tc>
          <w:tcPr>
            <w:tcW w:w="3560" w:type="dxa"/>
            <w:shd w:val="clear" w:color="auto" w:fill="FBE4D5" w:themeFill="accent2" w:themeFillTint="33"/>
            <w:hideMark/>
          </w:tcPr>
          <w:p w14:paraId="6CE71531" w14:textId="77777777" w:rsidR="003338F9" w:rsidRPr="00306F4D" w:rsidRDefault="003338F9" w:rsidP="003338F9">
            <w:pPr>
              <w:rPr>
                <w:rFonts w:ascii="Arial" w:hAnsi="Arial" w:cs="Arial"/>
                <w:b/>
                <w:bCs/>
                <w:sz w:val="20"/>
                <w:szCs w:val="20"/>
              </w:rPr>
            </w:pPr>
            <w:r w:rsidRPr="00306F4D">
              <w:rPr>
                <w:rFonts w:ascii="Arial" w:hAnsi="Arial" w:cs="Arial"/>
                <w:b/>
                <w:bCs/>
                <w:sz w:val="20"/>
                <w:szCs w:val="20"/>
              </w:rPr>
              <w:t>Category</w:t>
            </w:r>
          </w:p>
        </w:tc>
        <w:tc>
          <w:tcPr>
            <w:tcW w:w="5800" w:type="dxa"/>
            <w:shd w:val="clear" w:color="auto" w:fill="FBE4D5" w:themeFill="accent2" w:themeFillTint="33"/>
            <w:hideMark/>
          </w:tcPr>
          <w:p w14:paraId="7824FC5F" w14:textId="77777777" w:rsidR="003338F9" w:rsidRPr="00306F4D" w:rsidRDefault="003338F9" w:rsidP="003338F9">
            <w:pPr>
              <w:rPr>
                <w:rFonts w:ascii="Arial" w:hAnsi="Arial" w:cs="Arial"/>
                <w:b/>
                <w:bCs/>
                <w:sz w:val="20"/>
                <w:szCs w:val="20"/>
              </w:rPr>
            </w:pPr>
            <w:r w:rsidRPr="00306F4D">
              <w:rPr>
                <w:rFonts w:ascii="Arial" w:hAnsi="Arial" w:cs="Arial"/>
                <w:b/>
                <w:bCs/>
                <w:sz w:val="20"/>
                <w:szCs w:val="20"/>
              </w:rPr>
              <w:t>Services Provided by UNDP</w:t>
            </w:r>
          </w:p>
        </w:tc>
        <w:tc>
          <w:tcPr>
            <w:tcW w:w="2120" w:type="dxa"/>
            <w:shd w:val="clear" w:color="auto" w:fill="FBE4D5" w:themeFill="accent2" w:themeFillTint="33"/>
            <w:hideMark/>
          </w:tcPr>
          <w:p w14:paraId="3DF2C737" w14:textId="149E0819" w:rsidR="003338F9" w:rsidRPr="00306F4D" w:rsidRDefault="003338F9" w:rsidP="003338F9">
            <w:pPr>
              <w:rPr>
                <w:rFonts w:ascii="Arial" w:hAnsi="Arial" w:cs="Arial"/>
                <w:b/>
                <w:bCs/>
                <w:sz w:val="20"/>
                <w:szCs w:val="20"/>
              </w:rPr>
            </w:pPr>
            <w:r w:rsidRPr="00306F4D">
              <w:rPr>
                <w:rFonts w:ascii="Arial" w:hAnsi="Arial" w:cs="Arial"/>
                <w:b/>
                <w:bCs/>
                <w:sz w:val="20"/>
                <w:szCs w:val="20"/>
              </w:rPr>
              <w:t xml:space="preserve">IE Fee (USD) </w:t>
            </w:r>
          </w:p>
        </w:tc>
      </w:tr>
      <w:tr w:rsidR="003338F9" w:rsidRPr="00306F4D" w14:paraId="448EA789" w14:textId="77777777" w:rsidTr="006D016F">
        <w:trPr>
          <w:trHeight w:val="765"/>
        </w:trPr>
        <w:tc>
          <w:tcPr>
            <w:tcW w:w="3560" w:type="dxa"/>
            <w:vMerge w:val="restart"/>
            <w:hideMark/>
          </w:tcPr>
          <w:p w14:paraId="6DAED99D" w14:textId="77777777" w:rsidR="003338F9" w:rsidRPr="00306F4D" w:rsidRDefault="003338F9">
            <w:pPr>
              <w:rPr>
                <w:rFonts w:ascii="Arial" w:hAnsi="Arial" w:cs="Arial"/>
                <w:b/>
                <w:bCs/>
                <w:sz w:val="20"/>
                <w:szCs w:val="20"/>
              </w:rPr>
            </w:pPr>
            <w:r w:rsidRPr="00306F4D">
              <w:rPr>
                <w:rFonts w:ascii="Arial" w:hAnsi="Arial" w:cs="Arial"/>
                <w:b/>
                <w:bCs/>
                <w:sz w:val="20"/>
                <w:szCs w:val="20"/>
              </w:rPr>
              <w:t>Identification, Sourcing and Screening of Ideas</w:t>
            </w:r>
          </w:p>
        </w:tc>
        <w:tc>
          <w:tcPr>
            <w:tcW w:w="5800" w:type="dxa"/>
            <w:hideMark/>
          </w:tcPr>
          <w:p w14:paraId="67DF4502" w14:textId="77777777" w:rsidR="003338F9" w:rsidRPr="00306F4D" w:rsidRDefault="003338F9">
            <w:pPr>
              <w:rPr>
                <w:rFonts w:ascii="Arial" w:hAnsi="Arial" w:cs="Arial"/>
                <w:sz w:val="20"/>
                <w:szCs w:val="20"/>
              </w:rPr>
            </w:pPr>
            <w:r w:rsidRPr="00306F4D">
              <w:rPr>
                <w:rFonts w:ascii="Arial" w:hAnsi="Arial" w:cs="Arial"/>
                <w:sz w:val="20"/>
                <w:szCs w:val="20"/>
              </w:rPr>
              <w:t>Provide information on substantive issues in adaptation and innovation associated with the purpose of the Adaptation Fund (AF).</w:t>
            </w:r>
          </w:p>
        </w:tc>
        <w:tc>
          <w:tcPr>
            <w:tcW w:w="2120" w:type="dxa"/>
            <w:vMerge w:val="restart"/>
            <w:vAlign w:val="center"/>
            <w:hideMark/>
          </w:tcPr>
          <w:p w14:paraId="24D7C762" w14:textId="77777777" w:rsidR="003338F9" w:rsidRPr="00306F4D" w:rsidRDefault="003338F9" w:rsidP="006D016F">
            <w:pPr>
              <w:jc w:val="center"/>
              <w:rPr>
                <w:rFonts w:ascii="Arial" w:hAnsi="Arial" w:cs="Arial"/>
                <w:sz w:val="20"/>
                <w:szCs w:val="20"/>
              </w:rPr>
            </w:pPr>
            <w:r w:rsidRPr="00306F4D">
              <w:rPr>
                <w:rFonts w:ascii="Arial" w:hAnsi="Arial" w:cs="Arial"/>
                <w:sz w:val="20"/>
                <w:szCs w:val="20"/>
              </w:rPr>
              <w:t>22,727</w:t>
            </w:r>
          </w:p>
          <w:p w14:paraId="087E7673" w14:textId="77777777" w:rsidR="0069297A" w:rsidRPr="00306F4D" w:rsidRDefault="0069297A" w:rsidP="006D016F">
            <w:pPr>
              <w:jc w:val="center"/>
              <w:rPr>
                <w:rFonts w:ascii="Arial" w:hAnsi="Arial" w:cs="Arial"/>
                <w:sz w:val="20"/>
                <w:szCs w:val="20"/>
              </w:rPr>
            </w:pPr>
          </w:p>
          <w:p w14:paraId="7B6749FF" w14:textId="3C03BC53" w:rsidR="0069297A" w:rsidRPr="00306F4D" w:rsidRDefault="0069297A" w:rsidP="006D016F">
            <w:pPr>
              <w:jc w:val="center"/>
              <w:rPr>
                <w:rFonts w:ascii="Arial" w:hAnsi="Arial" w:cs="Arial"/>
                <w:sz w:val="20"/>
                <w:szCs w:val="20"/>
              </w:rPr>
            </w:pPr>
          </w:p>
        </w:tc>
      </w:tr>
      <w:tr w:rsidR="003338F9" w:rsidRPr="00306F4D" w14:paraId="108B2D3B" w14:textId="77777777" w:rsidTr="006D016F">
        <w:trPr>
          <w:trHeight w:val="510"/>
        </w:trPr>
        <w:tc>
          <w:tcPr>
            <w:tcW w:w="3560" w:type="dxa"/>
            <w:vMerge/>
            <w:hideMark/>
          </w:tcPr>
          <w:p w14:paraId="2FBDFBD3" w14:textId="77777777" w:rsidR="003338F9" w:rsidRPr="00306F4D" w:rsidRDefault="003338F9">
            <w:pPr>
              <w:rPr>
                <w:rFonts w:ascii="Arial" w:hAnsi="Arial" w:cs="Arial"/>
                <w:b/>
                <w:bCs/>
                <w:sz w:val="20"/>
                <w:szCs w:val="20"/>
              </w:rPr>
            </w:pPr>
          </w:p>
        </w:tc>
        <w:tc>
          <w:tcPr>
            <w:tcW w:w="5800" w:type="dxa"/>
            <w:hideMark/>
          </w:tcPr>
          <w:p w14:paraId="2672AB51" w14:textId="77777777" w:rsidR="003338F9" w:rsidRPr="00306F4D" w:rsidRDefault="003338F9">
            <w:pPr>
              <w:rPr>
                <w:rFonts w:ascii="Arial" w:hAnsi="Arial" w:cs="Arial"/>
                <w:sz w:val="20"/>
                <w:szCs w:val="20"/>
              </w:rPr>
            </w:pPr>
            <w:r w:rsidRPr="00306F4D">
              <w:rPr>
                <w:rFonts w:ascii="Arial" w:hAnsi="Arial" w:cs="Arial"/>
                <w:sz w:val="20"/>
                <w:szCs w:val="20"/>
              </w:rPr>
              <w:t>Engage in upstream policy dialogue related to a potential application to the AF.</w:t>
            </w:r>
          </w:p>
        </w:tc>
        <w:tc>
          <w:tcPr>
            <w:tcW w:w="2120" w:type="dxa"/>
            <w:vMerge/>
            <w:vAlign w:val="center"/>
            <w:hideMark/>
          </w:tcPr>
          <w:p w14:paraId="1822F7DA" w14:textId="77777777" w:rsidR="003338F9" w:rsidRPr="00306F4D" w:rsidRDefault="003338F9" w:rsidP="006D016F">
            <w:pPr>
              <w:jc w:val="center"/>
              <w:rPr>
                <w:rFonts w:ascii="Arial" w:hAnsi="Arial" w:cs="Arial"/>
                <w:sz w:val="20"/>
                <w:szCs w:val="20"/>
              </w:rPr>
            </w:pPr>
          </w:p>
        </w:tc>
      </w:tr>
      <w:tr w:rsidR="003338F9" w:rsidRPr="00306F4D" w14:paraId="06B40B82" w14:textId="77777777" w:rsidTr="006D016F">
        <w:trPr>
          <w:trHeight w:val="315"/>
        </w:trPr>
        <w:tc>
          <w:tcPr>
            <w:tcW w:w="3560" w:type="dxa"/>
            <w:vMerge/>
            <w:hideMark/>
          </w:tcPr>
          <w:p w14:paraId="4652EB67" w14:textId="77777777" w:rsidR="003338F9" w:rsidRPr="00306F4D" w:rsidRDefault="003338F9">
            <w:pPr>
              <w:rPr>
                <w:rFonts w:ascii="Arial" w:hAnsi="Arial" w:cs="Arial"/>
                <w:b/>
                <w:bCs/>
                <w:sz w:val="20"/>
                <w:szCs w:val="20"/>
              </w:rPr>
            </w:pPr>
          </w:p>
        </w:tc>
        <w:tc>
          <w:tcPr>
            <w:tcW w:w="5800" w:type="dxa"/>
            <w:hideMark/>
          </w:tcPr>
          <w:p w14:paraId="761DA661" w14:textId="77777777" w:rsidR="003338F9" w:rsidRPr="00306F4D" w:rsidRDefault="003338F9">
            <w:pPr>
              <w:rPr>
                <w:rFonts w:ascii="Arial" w:hAnsi="Arial" w:cs="Arial"/>
                <w:sz w:val="20"/>
                <w:szCs w:val="20"/>
              </w:rPr>
            </w:pPr>
            <w:r w:rsidRPr="00306F4D">
              <w:rPr>
                <w:rFonts w:ascii="Arial" w:hAnsi="Arial" w:cs="Arial"/>
                <w:sz w:val="20"/>
                <w:szCs w:val="20"/>
              </w:rPr>
              <w:t>Verify soundness &amp; potential eligibility of identified ideas for AF.</w:t>
            </w:r>
          </w:p>
        </w:tc>
        <w:tc>
          <w:tcPr>
            <w:tcW w:w="2120" w:type="dxa"/>
            <w:vMerge/>
            <w:vAlign w:val="center"/>
            <w:hideMark/>
          </w:tcPr>
          <w:p w14:paraId="6A84E0E1" w14:textId="77777777" w:rsidR="003338F9" w:rsidRPr="00306F4D" w:rsidRDefault="003338F9" w:rsidP="006D016F">
            <w:pPr>
              <w:jc w:val="center"/>
              <w:rPr>
                <w:rFonts w:ascii="Arial" w:hAnsi="Arial" w:cs="Arial"/>
                <w:sz w:val="20"/>
                <w:szCs w:val="20"/>
              </w:rPr>
            </w:pPr>
          </w:p>
        </w:tc>
      </w:tr>
      <w:tr w:rsidR="003338F9" w:rsidRPr="00306F4D" w14:paraId="51522A33" w14:textId="77777777" w:rsidTr="006D016F">
        <w:trPr>
          <w:trHeight w:val="510"/>
        </w:trPr>
        <w:tc>
          <w:tcPr>
            <w:tcW w:w="3560" w:type="dxa"/>
            <w:vMerge w:val="restart"/>
            <w:hideMark/>
          </w:tcPr>
          <w:p w14:paraId="442A1FB1" w14:textId="77777777" w:rsidR="003338F9" w:rsidRPr="00306F4D" w:rsidRDefault="003338F9">
            <w:pPr>
              <w:rPr>
                <w:rFonts w:ascii="Arial" w:hAnsi="Arial" w:cs="Arial"/>
                <w:b/>
                <w:bCs/>
                <w:sz w:val="20"/>
                <w:szCs w:val="20"/>
              </w:rPr>
            </w:pPr>
            <w:r w:rsidRPr="00306F4D">
              <w:rPr>
                <w:rFonts w:ascii="Arial" w:hAnsi="Arial" w:cs="Arial"/>
                <w:b/>
                <w:bCs/>
                <w:sz w:val="20"/>
                <w:szCs w:val="20"/>
              </w:rPr>
              <w:t>Feasibility Assessment / Due Diligence Review</w:t>
            </w:r>
          </w:p>
        </w:tc>
        <w:tc>
          <w:tcPr>
            <w:tcW w:w="5800" w:type="dxa"/>
            <w:hideMark/>
          </w:tcPr>
          <w:p w14:paraId="1F0E9C40" w14:textId="77777777" w:rsidR="003338F9" w:rsidRPr="00306F4D" w:rsidRDefault="003338F9">
            <w:pPr>
              <w:rPr>
                <w:rFonts w:ascii="Arial" w:hAnsi="Arial" w:cs="Arial"/>
                <w:sz w:val="20"/>
                <w:szCs w:val="20"/>
              </w:rPr>
            </w:pPr>
            <w:r w:rsidRPr="00306F4D">
              <w:rPr>
                <w:rFonts w:ascii="Arial" w:hAnsi="Arial" w:cs="Arial"/>
                <w:sz w:val="20"/>
                <w:szCs w:val="20"/>
              </w:rPr>
              <w:t>Provide up-front guidance on converting general idea into a feasible project/</w:t>
            </w:r>
            <w:proofErr w:type="spellStart"/>
            <w:r w:rsidRPr="00306F4D">
              <w:rPr>
                <w:rFonts w:ascii="Arial" w:hAnsi="Arial" w:cs="Arial"/>
                <w:sz w:val="20"/>
                <w:szCs w:val="20"/>
              </w:rPr>
              <w:t>programme</w:t>
            </w:r>
            <w:proofErr w:type="spellEnd"/>
            <w:r w:rsidRPr="00306F4D">
              <w:rPr>
                <w:rFonts w:ascii="Arial" w:hAnsi="Arial" w:cs="Arial"/>
                <w:sz w:val="20"/>
                <w:szCs w:val="20"/>
              </w:rPr>
              <w:t>.</w:t>
            </w:r>
          </w:p>
        </w:tc>
        <w:tc>
          <w:tcPr>
            <w:tcW w:w="2120" w:type="dxa"/>
            <w:vMerge w:val="restart"/>
            <w:vAlign w:val="center"/>
            <w:hideMark/>
          </w:tcPr>
          <w:p w14:paraId="22D61551" w14:textId="77777777" w:rsidR="003338F9" w:rsidRPr="00306F4D" w:rsidRDefault="003338F9" w:rsidP="006D016F">
            <w:pPr>
              <w:jc w:val="center"/>
              <w:rPr>
                <w:rFonts w:ascii="Arial" w:hAnsi="Arial" w:cs="Arial"/>
                <w:sz w:val="20"/>
                <w:szCs w:val="20"/>
              </w:rPr>
            </w:pPr>
            <w:r w:rsidRPr="00306F4D">
              <w:rPr>
                <w:rFonts w:ascii="Arial" w:hAnsi="Arial" w:cs="Arial"/>
                <w:sz w:val="20"/>
                <w:szCs w:val="20"/>
              </w:rPr>
              <w:t>68,182</w:t>
            </w:r>
          </w:p>
          <w:p w14:paraId="6D2C36D3" w14:textId="77777777" w:rsidR="0069297A" w:rsidRPr="00306F4D" w:rsidRDefault="0069297A" w:rsidP="006D016F">
            <w:pPr>
              <w:jc w:val="center"/>
              <w:rPr>
                <w:rFonts w:ascii="Arial" w:hAnsi="Arial" w:cs="Arial"/>
                <w:sz w:val="20"/>
                <w:szCs w:val="20"/>
              </w:rPr>
            </w:pPr>
          </w:p>
          <w:p w14:paraId="0E8CF9A7" w14:textId="5656E58E" w:rsidR="0069297A" w:rsidRPr="00306F4D" w:rsidRDefault="0069297A" w:rsidP="006D016F">
            <w:pPr>
              <w:jc w:val="center"/>
              <w:rPr>
                <w:rFonts w:ascii="Arial" w:hAnsi="Arial" w:cs="Arial"/>
                <w:sz w:val="20"/>
                <w:szCs w:val="20"/>
              </w:rPr>
            </w:pPr>
          </w:p>
        </w:tc>
      </w:tr>
      <w:tr w:rsidR="003338F9" w:rsidRPr="00306F4D" w14:paraId="4F0D288D" w14:textId="77777777" w:rsidTr="006D016F">
        <w:trPr>
          <w:trHeight w:val="510"/>
        </w:trPr>
        <w:tc>
          <w:tcPr>
            <w:tcW w:w="3560" w:type="dxa"/>
            <w:vMerge/>
            <w:hideMark/>
          </w:tcPr>
          <w:p w14:paraId="5829B8A6" w14:textId="77777777" w:rsidR="003338F9" w:rsidRPr="00306F4D" w:rsidRDefault="003338F9">
            <w:pPr>
              <w:rPr>
                <w:rFonts w:ascii="Arial" w:hAnsi="Arial" w:cs="Arial"/>
                <w:b/>
                <w:bCs/>
                <w:sz w:val="20"/>
                <w:szCs w:val="20"/>
              </w:rPr>
            </w:pPr>
          </w:p>
        </w:tc>
        <w:tc>
          <w:tcPr>
            <w:tcW w:w="5800" w:type="dxa"/>
            <w:hideMark/>
          </w:tcPr>
          <w:p w14:paraId="539D9524" w14:textId="77777777" w:rsidR="003338F9" w:rsidRPr="00306F4D" w:rsidRDefault="003338F9">
            <w:pPr>
              <w:rPr>
                <w:rFonts w:ascii="Arial" w:hAnsi="Arial" w:cs="Arial"/>
                <w:sz w:val="20"/>
                <w:szCs w:val="20"/>
              </w:rPr>
            </w:pPr>
            <w:r w:rsidRPr="00306F4D">
              <w:rPr>
                <w:rFonts w:ascii="Arial" w:hAnsi="Arial" w:cs="Arial"/>
                <w:sz w:val="20"/>
                <w:szCs w:val="20"/>
              </w:rPr>
              <w:t>Source technical expertise in line with the scope of the project/</w:t>
            </w:r>
            <w:proofErr w:type="spellStart"/>
            <w:r w:rsidRPr="00306F4D">
              <w:rPr>
                <w:rFonts w:ascii="Arial" w:hAnsi="Arial" w:cs="Arial"/>
                <w:sz w:val="20"/>
                <w:szCs w:val="20"/>
              </w:rPr>
              <w:t>programme</w:t>
            </w:r>
            <w:proofErr w:type="spellEnd"/>
            <w:r w:rsidRPr="00306F4D">
              <w:rPr>
                <w:rFonts w:ascii="Arial" w:hAnsi="Arial" w:cs="Arial"/>
                <w:sz w:val="20"/>
                <w:szCs w:val="20"/>
              </w:rPr>
              <w:t>.</w:t>
            </w:r>
          </w:p>
        </w:tc>
        <w:tc>
          <w:tcPr>
            <w:tcW w:w="2120" w:type="dxa"/>
            <w:vMerge/>
            <w:vAlign w:val="center"/>
            <w:hideMark/>
          </w:tcPr>
          <w:p w14:paraId="5F6F61F0" w14:textId="77777777" w:rsidR="003338F9" w:rsidRPr="00306F4D" w:rsidRDefault="003338F9" w:rsidP="006D016F">
            <w:pPr>
              <w:jc w:val="center"/>
              <w:rPr>
                <w:rFonts w:ascii="Arial" w:hAnsi="Arial" w:cs="Arial"/>
                <w:sz w:val="20"/>
                <w:szCs w:val="20"/>
              </w:rPr>
            </w:pPr>
          </w:p>
        </w:tc>
      </w:tr>
      <w:tr w:rsidR="003338F9" w:rsidRPr="00306F4D" w14:paraId="016B640B" w14:textId="77777777" w:rsidTr="006D016F">
        <w:trPr>
          <w:trHeight w:val="300"/>
        </w:trPr>
        <w:tc>
          <w:tcPr>
            <w:tcW w:w="3560" w:type="dxa"/>
            <w:vMerge/>
            <w:hideMark/>
          </w:tcPr>
          <w:p w14:paraId="46D9866F" w14:textId="77777777" w:rsidR="003338F9" w:rsidRPr="00306F4D" w:rsidRDefault="003338F9">
            <w:pPr>
              <w:rPr>
                <w:rFonts w:ascii="Arial" w:hAnsi="Arial" w:cs="Arial"/>
                <w:b/>
                <w:bCs/>
                <w:sz w:val="20"/>
                <w:szCs w:val="20"/>
              </w:rPr>
            </w:pPr>
          </w:p>
        </w:tc>
        <w:tc>
          <w:tcPr>
            <w:tcW w:w="5800" w:type="dxa"/>
            <w:hideMark/>
          </w:tcPr>
          <w:p w14:paraId="220728AB" w14:textId="77777777" w:rsidR="003338F9" w:rsidRPr="00306F4D" w:rsidRDefault="003338F9">
            <w:pPr>
              <w:rPr>
                <w:rFonts w:ascii="Arial" w:hAnsi="Arial" w:cs="Arial"/>
                <w:sz w:val="20"/>
                <w:szCs w:val="20"/>
              </w:rPr>
            </w:pPr>
            <w:r w:rsidRPr="00306F4D">
              <w:rPr>
                <w:rFonts w:ascii="Arial" w:hAnsi="Arial" w:cs="Arial"/>
                <w:sz w:val="20"/>
                <w:szCs w:val="20"/>
              </w:rPr>
              <w:t>Verify technical reports and project conceptualization.</w:t>
            </w:r>
          </w:p>
        </w:tc>
        <w:tc>
          <w:tcPr>
            <w:tcW w:w="2120" w:type="dxa"/>
            <w:vMerge/>
            <w:vAlign w:val="center"/>
            <w:hideMark/>
          </w:tcPr>
          <w:p w14:paraId="07AFE185" w14:textId="77777777" w:rsidR="003338F9" w:rsidRPr="00306F4D" w:rsidRDefault="003338F9" w:rsidP="006D016F">
            <w:pPr>
              <w:jc w:val="center"/>
              <w:rPr>
                <w:rFonts w:ascii="Arial" w:hAnsi="Arial" w:cs="Arial"/>
                <w:sz w:val="20"/>
                <w:szCs w:val="20"/>
              </w:rPr>
            </w:pPr>
          </w:p>
        </w:tc>
      </w:tr>
      <w:tr w:rsidR="003338F9" w:rsidRPr="00306F4D" w14:paraId="14B47F69" w14:textId="77777777" w:rsidTr="006D016F">
        <w:trPr>
          <w:trHeight w:val="765"/>
        </w:trPr>
        <w:tc>
          <w:tcPr>
            <w:tcW w:w="3560" w:type="dxa"/>
            <w:vMerge/>
            <w:hideMark/>
          </w:tcPr>
          <w:p w14:paraId="0FE99A5E" w14:textId="77777777" w:rsidR="003338F9" w:rsidRPr="00306F4D" w:rsidRDefault="003338F9">
            <w:pPr>
              <w:rPr>
                <w:rFonts w:ascii="Arial" w:hAnsi="Arial" w:cs="Arial"/>
                <w:b/>
                <w:bCs/>
                <w:sz w:val="20"/>
                <w:szCs w:val="20"/>
              </w:rPr>
            </w:pPr>
          </w:p>
        </w:tc>
        <w:tc>
          <w:tcPr>
            <w:tcW w:w="5800" w:type="dxa"/>
            <w:hideMark/>
          </w:tcPr>
          <w:p w14:paraId="0FD3CD9D" w14:textId="77777777" w:rsidR="003338F9" w:rsidRPr="00306F4D" w:rsidRDefault="003338F9">
            <w:pPr>
              <w:rPr>
                <w:rFonts w:ascii="Arial" w:hAnsi="Arial" w:cs="Arial"/>
                <w:sz w:val="20"/>
                <w:szCs w:val="20"/>
              </w:rPr>
            </w:pPr>
            <w:r w:rsidRPr="00306F4D">
              <w:rPr>
                <w:rFonts w:ascii="Arial" w:hAnsi="Arial" w:cs="Arial"/>
                <w:sz w:val="20"/>
                <w:szCs w:val="20"/>
              </w:rPr>
              <w:t>Provide detailed screening against technical, financial, social and risk criteria and provide statement of likely eligibility against AF requirements.</w:t>
            </w:r>
          </w:p>
        </w:tc>
        <w:tc>
          <w:tcPr>
            <w:tcW w:w="2120" w:type="dxa"/>
            <w:vMerge/>
            <w:vAlign w:val="center"/>
            <w:hideMark/>
          </w:tcPr>
          <w:p w14:paraId="4B83A742" w14:textId="77777777" w:rsidR="003338F9" w:rsidRPr="00306F4D" w:rsidRDefault="003338F9" w:rsidP="006D016F">
            <w:pPr>
              <w:jc w:val="center"/>
              <w:rPr>
                <w:rFonts w:ascii="Arial" w:hAnsi="Arial" w:cs="Arial"/>
                <w:sz w:val="20"/>
                <w:szCs w:val="20"/>
              </w:rPr>
            </w:pPr>
          </w:p>
        </w:tc>
      </w:tr>
      <w:tr w:rsidR="003338F9" w:rsidRPr="00306F4D" w14:paraId="4880A620" w14:textId="77777777" w:rsidTr="006D016F">
        <w:trPr>
          <w:trHeight w:val="510"/>
        </w:trPr>
        <w:tc>
          <w:tcPr>
            <w:tcW w:w="3560" w:type="dxa"/>
            <w:vMerge/>
            <w:hideMark/>
          </w:tcPr>
          <w:p w14:paraId="6B8894A4" w14:textId="77777777" w:rsidR="003338F9" w:rsidRPr="00306F4D" w:rsidRDefault="003338F9">
            <w:pPr>
              <w:rPr>
                <w:rFonts w:ascii="Arial" w:hAnsi="Arial" w:cs="Arial"/>
                <w:b/>
                <w:bCs/>
                <w:sz w:val="20"/>
                <w:szCs w:val="20"/>
              </w:rPr>
            </w:pPr>
          </w:p>
        </w:tc>
        <w:tc>
          <w:tcPr>
            <w:tcW w:w="5800" w:type="dxa"/>
            <w:hideMark/>
          </w:tcPr>
          <w:p w14:paraId="71BB4BF0" w14:textId="77777777" w:rsidR="003338F9" w:rsidRPr="00306F4D" w:rsidRDefault="003338F9">
            <w:pPr>
              <w:rPr>
                <w:rFonts w:ascii="Arial" w:hAnsi="Arial" w:cs="Arial"/>
                <w:sz w:val="20"/>
                <w:szCs w:val="20"/>
              </w:rPr>
            </w:pPr>
            <w:r w:rsidRPr="00306F4D">
              <w:rPr>
                <w:rFonts w:ascii="Arial" w:hAnsi="Arial" w:cs="Arial"/>
                <w:sz w:val="20"/>
                <w:szCs w:val="20"/>
              </w:rPr>
              <w:t>Determination of execution modality and local capacity assessment of the executing entity.</w:t>
            </w:r>
          </w:p>
        </w:tc>
        <w:tc>
          <w:tcPr>
            <w:tcW w:w="2120" w:type="dxa"/>
            <w:vMerge/>
            <w:vAlign w:val="center"/>
            <w:hideMark/>
          </w:tcPr>
          <w:p w14:paraId="395D39D6" w14:textId="77777777" w:rsidR="003338F9" w:rsidRPr="00306F4D" w:rsidRDefault="003338F9" w:rsidP="006D016F">
            <w:pPr>
              <w:jc w:val="center"/>
              <w:rPr>
                <w:rFonts w:ascii="Arial" w:hAnsi="Arial" w:cs="Arial"/>
                <w:sz w:val="20"/>
                <w:szCs w:val="20"/>
              </w:rPr>
            </w:pPr>
          </w:p>
        </w:tc>
      </w:tr>
      <w:tr w:rsidR="003338F9" w:rsidRPr="00306F4D" w14:paraId="51919CA6" w14:textId="77777777" w:rsidTr="006D016F">
        <w:trPr>
          <w:trHeight w:val="525"/>
        </w:trPr>
        <w:tc>
          <w:tcPr>
            <w:tcW w:w="3560" w:type="dxa"/>
            <w:vMerge/>
            <w:hideMark/>
          </w:tcPr>
          <w:p w14:paraId="0A71FC3C" w14:textId="77777777" w:rsidR="003338F9" w:rsidRPr="00306F4D" w:rsidRDefault="003338F9">
            <w:pPr>
              <w:rPr>
                <w:rFonts w:ascii="Arial" w:hAnsi="Arial" w:cs="Arial"/>
                <w:b/>
                <w:bCs/>
                <w:sz w:val="20"/>
                <w:szCs w:val="20"/>
              </w:rPr>
            </w:pPr>
          </w:p>
        </w:tc>
        <w:tc>
          <w:tcPr>
            <w:tcW w:w="5800" w:type="dxa"/>
            <w:hideMark/>
          </w:tcPr>
          <w:p w14:paraId="51E63EC5" w14:textId="77777777" w:rsidR="003338F9" w:rsidRPr="00306F4D" w:rsidRDefault="003338F9">
            <w:pPr>
              <w:rPr>
                <w:rFonts w:ascii="Arial" w:hAnsi="Arial" w:cs="Arial"/>
                <w:sz w:val="20"/>
                <w:szCs w:val="20"/>
              </w:rPr>
            </w:pPr>
            <w:r w:rsidRPr="00306F4D">
              <w:rPr>
                <w:rFonts w:ascii="Arial" w:hAnsi="Arial" w:cs="Arial"/>
                <w:sz w:val="20"/>
                <w:szCs w:val="20"/>
              </w:rPr>
              <w:t>Assist in identifying technical partners. Validate partner technical abilities. Obtain clearances from AF.</w:t>
            </w:r>
          </w:p>
        </w:tc>
        <w:tc>
          <w:tcPr>
            <w:tcW w:w="2120" w:type="dxa"/>
            <w:vMerge/>
            <w:vAlign w:val="center"/>
            <w:hideMark/>
          </w:tcPr>
          <w:p w14:paraId="0902F585" w14:textId="77777777" w:rsidR="003338F9" w:rsidRPr="00306F4D" w:rsidRDefault="003338F9" w:rsidP="006D016F">
            <w:pPr>
              <w:jc w:val="center"/>
              <w:rPr>
                <w:rFonts w:ascii="Arial" w:hAnsi="Arial" w:cs="Arial"/>
                <w:sz w:val="20"/>
                <w:szCs w:val="20"/>
              </w:rPr>
            </w:pPr>
          </w:p>
        </w:tc>
      </w:tr>
      <w:tr w:rsidR="003338F9" w:rsidRPr="00306F4D" w14:paraId="7814E72B" w14:textId="77777777" w:rsidTr="006D016F">
        <w:trPr>
          <w:trHeight w:val="765"/>
        </w:trPr>
        <w:tc>
          <w:tcPr>
            <w:tcW w:w="3560" w:type="dxa"/>
            <w:vMerge w:val="restart"/>
            <w:hideMark/>
          </w:tcPr>
          <w:p w14:paraId="5A336205" w14:textId="77777777" w:rsidR="003338F9" w:rsidRPr="00306F4D" w:rsidRDefault="003338F9">
            <w:pPr>
              <w:rPr>
                <w:rFonts w:ascii="Arial" w:hAnsi="Arial" w:cs="Arial"/>
                <w:b/>
                <w:bCs/>
                <w:sz w:val="20"/>
                <w:szCs w:val="20"/>
              </w:rPr>
            </w:pPr>
            <w:r w:rsidRPr="00306F4D">
              <w:rPr>
                <w:rFonts w:ascii="Arial" w:hAnsi="Arial" w:cs="Arial"/>
                <w:b/>
                <w:bCs/>
                <w:sz w:val="20"/>
                <w:szCs w:val="20"/>
              </w:rPr>
              <w:t>Development &amp; Preparation</w:t>
            </w:r>
          </w:p>
        </w:tc>
        <w:tc>
          <w:tcPr>
            <w:tcW w:w="5800" w:type="dxa"/>
            <w:hideMark/>
          </w:tcPr>
          <w:p w14:paraId="0044523B" w14:textId="77777777" w:rsidR="003338F9" w:rsidRPr="00306F4D" w:rsidRDefault="003338F9">
            <w:pPr>
              <w:rPr>
                <w:rFonts w:ascii="Arial" w:hAnsi="Arial" w:cs="Arial"/>
                <w:sz w:val="20"/>
                <w:szCs w:val="20"/>
              </w:rPr>
            </w:pPr>
            <w:r w:rsidRPr="00306F4D">
              <w:rPr>
                <w:rFonts w:ascii="Arial" w:hAnsi="Arial" w:cs="Arial"/>
                <w:sz w:val="20"/>
                <w:szCs w:val="20"/>
              </w:rPr>
              <w:t>Provide technical support, backstopping and troubleshooting to convert the idea into a technically feasible and operationally viable project/</w:t>
            </w:r>
            <w:proofErr w:type="spellStart"/>
            <w:r w:rsidRPr="00306F4D">
              <w:rPr>
                <w:rFonts w:ascii="Arial" w:hAnsi="Arial" w:cs="Arial"/>
                <w:sz w:val="20"/>
                <w:szCs w:val="20"/>
              </w:rPr>
              <w:t>programme</w:t>
            </w:r>
            <w:proofErr w:type="spellEnd"/>
            <w:r w:rsidRPr="00306F4D">
              <w:rPr>
                <w:rFonts w:ascii="Arial" w:hAnsi="Arial" w:cs="Arial"/>
                <w:sz w:val="20"/>
                <w:szCs w:val="20"/>
              </w:rPr>
              <w:t>.</w:t>
            </w:r>
          </w:p>
        </w:tc>
        <w:tc>
          <w:tcPr>
            <w:tcW w:w="2120" w:type="dxa"/>
            <w:vMerge w:val="restart"/>
            <w:vAlign w:val="center"/>
            <w:hideMark/>
          </w:tcPr>
          <w:p w14:paraId="3A56BBD5" w14:textId="77777777" w:rsidR="003338F9" w:rsidRPr="00306F4D" w:rsidRDefault="003338F9" w:rsidP="006D016F">
            <w:pPr>
              <w:jc w:val="center"/>
              <w:rPr>
                <w:rFonts w:ascii="Arial" w:hAnsi="Arial" w:cs="Arial"/>
                <w:sz w:val="20"/>
                <w:szCs w:val="20"/>
              </w:rPr>
            </w:pPr>
            <w:r w:rsidRPr="00306F4D">
              <w:rPr>
                <w:rFonts w:ascii="Arial" w:hAnsi="Arial" w:cs="Arial"/>
                <w:sz w:val="20"/>
                <w:szCs w:val="20"/>
              </w:rPr>
              <w:t>90,909</w:t>
            </w:r>
          </w:p>
          <w:p w14:paraId="115996BA" w14:textId="77777777" w:rsidR="0069297A" w:rsidRPr="00306F4D" w:rsidRDefault="0069297A" w:rsidP="006D016F">
            <w:pPr>
              <w:jc w:val="center"/>
              <w:rPr>
                <w:rFonts w:ascii="Arial" w:hAnsi="Arial" w:cs="Arial"/>
                <w:sz w:val="20"/>
                <w:szCs w:val="20"/>
              </w:rPr>
            </w:pPr>
          </w:p>
          <w:p w14:paraId="581350F0" w14:textId="4D9E17F3" w:rsidR="0069297A" w:rsidRPr="00306F4D" w:rsidRDefault="0069297A" w:rsidP="006D016F">
            <w:pPr>
              <w:jc w:val="center"/>
              <w:rPr>
                <w:rFonts w:ascii="Arial" w:hAnsi="Arial" w:cs="Arial"/>
                <w:sz w:val="20"/>
                <w:szCs w:val="20"/>
              </w:rPr>
            </w:pPr>
          </w:p>
        </w:tc>
      </w:tr>
      <w:tr w:rsidR="003338F9" w:rsidRPr="00306F4D" w14:paraId="750AF999" w14:textId="77777777" w:rsidTr="006D016F">
        <w:trPr>
          <w:trHeight w:val="510"/>
        </w:trPr>
        <w:tc>
          <w:tcPr>
            <w:tcW w:w="3560" w:type="dxa"/>
            <w:vMerge/>
            <w:hideMark/>
          </w:tcPr>
          <w:p w14:paraId="54F55EFF" w14:textId="77777777" w:rsidR="003338F9" w:rsidRPr="00306F4D" w:rsidRDefault="003338F9">
            <w:pPr>
              <w:rPr>
                <w:rFonts w:ascii="Arial" w:hAnsi="Arial" w:cs="Arial"/>
                <w:b/>
                <w:bCs/>
                <w:sz w:val="20"/>
                <w:szCs w:val="20"/>
              </w:rPr>
            </w:pPr>
          </w:p>
        </w:tc>
        <w:tc>
          <w:tcPr>
            <w:tcW w:w="5800" w:type="dxa"/>
            <w:hideMark/>
          </w:tcPr>
          <w:p w14:paraId="644A3892" w14:textId="77777777" w:rsidR="003338F9" w:rsidRPr="00306F4D" w:rsidRDefault="003338F9">
            <w:pPr>
              <w:rPr>
                <w:rFonts w:ascii="Arial" w:hAnsi="Arial" w:cs="Arial"/>
                <w:sz w:val="20"/>
                <w:szCs w:val="20"/>
              </w:rPr>
            </w:pPr>
            <w:r w:rsidRPr="00306F4D">
              <w:rPr>
                <w:rFonts w:ascii="Arial" w:hAnsi="Arial" w:cs="Arial"/>
                <w:sz w:val="20"/>
                <w:szCs w:val="20"/>
              </w:rPr>
              <w:t>Source technical expertise in line with the scope of the project/</w:t>
            </w:r>
            <w:proofErr w:type="spellStart"/>
            <w:r w:rsidRPr="00306F4D">
              <w:rPr>
                <w:rFonts w:ascii="Arial" w:hAnsi="Arial" w:cs="Arial"/>
                <w:sz w:val="20"/>
                <w:szCs w:val="20"/>
              </w:rPr>
              <w:t>programme</w:t>
            </w:r>
            <w:proofErr w:type="spellEnd"/>
            <w:r w:rsidRPr="00306F4D">
              <w:rPr>
                <w:rFonts w:ascii="Arial" w:hAnsi="Arial" w:cs="Arial"/>
                <w:sz w:val="20"/>
                <w:szCs w:val="20"/>
              </w:rPr>
              <w:t xml:space="preserve"> needs.</w:t>
            </w:r>
          </w:p>
        </w:tc>
        <w:tc>
          <w:tcPr>
            <w:tcW w:w="2120" w:type="dxa"/>
            <w:vMerge/>
            <w:vAlign w:val="center"/>
            <w:hideMark/>
          </w:tcPr>
          <w:p w14:paraId="0E693460" w14:textId="77777777" w:rsidR="003338F9" w:rsidRPr="00306F4D" w:rsidRDefault="003338F9" w:rsidP="006D016F">
            <w:pPr>
              <w:jc w:val="center"/>
              <w:rPr>
                <w:rFonts w:ascii="Arial" w:hAnsi="Arial" w:cs="Arial"/>
                <w:sz w:val="20"/>
                <w:szCs w:val="20"/>
              </w:rPr>
            </w:pPr>
          </w:p>
        </w:tc>
      </w:tr>
      <w:tr w:rsidR="003338F9" w:rsidRPr="00306F4D" w14:paraId="3EFC7E7C" w14:textId="77777777" w:rsidTr="006D016F">
        <w:trPr>
          <w:trHeight w:val="300"/>
        </w:trPr>
        <w:tc>
          <w:tcPr>
            <w:tcW w:w="3560" w:type="dxa"/>
            <w:vMerge/>
            <w:hideMark/>
          </w:tcPr>
          <w:p w14:paraId="411661A9" w14:textId="77777777" w:rsidR="003338F9" w:rsidRPr="00306F4D" w:rsidRDefault="003338F9">
            <w:pPr>
              <w:rPr>
                <w:rFonts w:ascii="Arial" w:hAnsi="Arial" w:cs="Arial"/>
                <w:b/>
                <w:bCs/>
                <w:sz w:val="20"/>
                <w:szCs w:val="20"/>
              </w:rPr>
            </w:pPr>
          </w:p>
        </w:tc>
        <w:tc>
          <w:tcPr>
            <w:tcW w:w="5800" w:type="dxa"/>
            <w:hideMark/>
          </w:tcPr>
          <w:p w14:paraId="12AD6CA2" w14:textId="77777777" w:rsidR="003338F9" w:rsidRPr="00306F4D" w:rsidRDefault="003338F9">
            <w:pPr>
              <w:rPr>
                <w:rFonts w:ascii="Arial" w:hAnsi="Arial" w:cs="Arial"/>
                <w:sz w:val="20"/>
                <w:szCs w:val="20"/>
              </w:rPr>
            </w:pPr>
            <w:r w:rsidRPr="00306F4D">
              <w:rPr>
                <w:rFonts w:ascii="Arial" w:hAnsi="Arial" w:cs="Arial"/>
                <w:sz w:val="20"/>
                <w:szCs w:val="20"/>
              </w:rPr>
              <w:t>Verify technical reports and project conceptualization.</w:t>
            </w:r>
          </w:p>
        </w:tc>
        <w:tc>
          <w:tcPr>
            <w:tcW w:w="2120" w:type="dxa"/>
            <w:vMerge/>
            <w:vAlign w:val="center"/>
            <w:hideMark/>
          </w:tcPr>
          <w:p w14:paraId="222D4D55" w14:textId="77777777" w:rsidR="003338F9" w:rsidRPr="00306F4D" w:rsidRDefault="003338F9" w:rsidP="006D016F">
            <w:pPr>
              <w:jc w:val="center"/>
              <w:rPr>
                <w:rFonts w:ascii="Arial" w:hAnsi="Arial" w:cs="Arial"/>
                <w:sz w:val="20"/>
                <w:szCs w:val="20"/>
              </w:rPr>
            </w:pPr>
          </w:p>
        </w:tc>
      </w:tr>
      <w:tr w:rsidR="003338F9" w:rsidRPr="00306F4D" w14:paraId="48DA0CFE" w14:textId="77777777" w:rsidTr="006D016F">
        <w:trPr>
          <w:trHeight w:val="510"/>
        </w:trPr>
        <w:tc>
          <w:tcPr>
            <w:tcW w:w="3560" w:type="dxa"/>
            <w:vMerge/>
            <w:hideMark/>
          </w:tcPr>
          <w:p w14:paraId="778D3542" w14:textId="77777777" w:rsidR="003338F9" w:rsidRPr="00306F4D" w:rsidRDefault="003338F9">
            <w:pPr>
              <w:rPr>
                <w:rFonts w:ascii="Arial" w:hAnsi="Arial" w:cs="Arial"/>
                <w:b/>
                <w:bCs/>
                <w:sz w:val="20"/>
                <w:szCs w:val="20"/>
              </w:rPr>
            </w:pPr>
          </w:p>
        </w:tc>
        <w:tc>
          <w:tcPr>
            <w:tcW w:w="5800" w:type="dxa"/>
            <w:hideMark/>
          </w:tcPr>
          <w:p w14:paraId="7F41197D" w14:textId="77777777" w:rsidR="003338F9" w:rsidRPr="00306F4D" w:rsidRDefault="003338F9">
            <w:pPr>
              <w:rPr>
                <w:rFonts w:ascii="Arial" w:hAnsi="Arial" w:cs="Arial"/>
                <w:sz w:val="20"/>
                <w:szCs w:val="20"/>
              </w:rPr>
            </w:pPr>
            <w:r w:rsidRPr="00306F4D">
              <w:rPr>
                <w:rFonts w:ascii="Arial" w:hAnsi="Arial" w:cs="Arial"/>
                <w:sz w:val="20"/>
                <w:szCs w:val="20"/>
              </w:rPr>
              <w:t>Verify technical soundness, quality of preparation, and match with AF expectations.</w:t>
            </w:r>
          </w:p>
        </w:tc>
        <w:tc>
          <w:tcPr>
            <w:tcW w:w="2120" w:type="dxa"/>
            <w:vMerge/>
            <w:vAlign w:val="center"/>
            <w:hideMark/>
          </w:tcPr>
          <w:p w14:paraId="7F7BBBA1" w14:textId="77777777" w:rsidR="003338F9" w:rsidRPr="00306F4D" w:rsidRDefault="003338F9" w:rsidP="006D016F">
            <w:pPr>
              <w:jc w:val="center"/>
              <w:rPr>
                <w:rFonts w:ascii="Arial" w:hAnsi="Arial" w:cs="Arial"/>
                <w:sz w:val="20"/>
                <w:szCs w:val="20"/>
              </w:rPr>
            </w:pPr>
          </w:p>
        </w:tc>
      </w:tr>
      <w:tr w:rsidR="003338F9" w:rsidRPr="00306F4D" w14:paraId="51FF1BDC" w14:textId="77777777" w:rsidTr="006D016F">
        <w:trPr>
          <w:trHeight w:val="525"/>
        </w:trPr>
        <w:tc>
          <w:tcPr>
            <w:tcW w:w="3560" w:type="dxa"/>
            <w:vMerge/>
            <w:hideMark/>
          </w:tcPr>
          <w:p w14:paraId="70314FB3" w14:textId="77777777" w:rsidR="003338F9" w:rsidRPr="00306F4D" w:rsidRDefault="003338F9">
            <w:pPr>
              <w:rPr>
                <w:rFonts w:ascii="Arial" w:hAnsi="Arial" w:cs="Arial"/>
                <w:b/>
                <w:bCs/>
                <w:sz w:val="20"/>
                <w:szCs w:val="20"/>
              </w:rPr>
            </w:pPr>
          </w:p>
        </w:tc>
        <w:tc>
          <w:tcPr>
            <w:tcW w:w="5800" w:type="dxa"/>
            <w:hideMark/>
          </w:tcPr>
          <w:p w14:paraId="2ECB87A8" w14:textId="77777777" w:rsidR="003338F9" w:rsidRPr="00306F4D" w:rsidRDefault="003338F9">
            <w:pPr>
              <w:rPr>
                <w:rFonts w:ascii="Arial" w:hAnsi="Arial" w:cs="Arial"/>
                <w:sz w:val="20"/>
                <w:szCs w:val="20"/>
              </w:rPr>
            </w:pPr>
            <w:r w:rsidRPr="00306F4D">
              <w:rPr>
                <w:rFonts w:ascii="Arial" w:hAnsi="Arial" w:cs="Arial"/>
                <w:sz w:val="20"/>
                <w:szCs w:val="20"/>
              </w:rPr>
              <w:t>Negotiate and obtain clearances by AF. Respond to information requests, arrange revisions etc.</w:t>
            </w:r>
          </w:p>
        </w:tc>
        <w:tc>
          <w:tcPr>
            <w:tcW w:w="2120" w:type="dxa"/>
            <w:vMerge/>
            <w:vAlign w:val="center"/>
            <w:hideMark/>
          </w:tcPr>
          <w:p w14:paraId="511FF4CC" w14:textId="77777777" w:rsidR="003338F9" w:rsidRPr="00306F4D" w:rsidRDefault="003338F9" w:rsidP="006D016F">
            <w:pPr>
              <w:jc w:val="center"/>
              <w:rPr>
                <w:rFonts w:ascii="Arial" w:hAnsi="Arial" w:cs="Arial"/>
                <w:sz w:val="20"/>
                <w:szCs w:val="20"/>
              </w:rPr>
            </w:pPr>
          </w:p>
        </w:tc>
      </w:tr>
      <w:tr w:rsidR="003338F9" w:rsidRPr="00306F4D" w14:paraId="0EC0DCC2" w14:textId="77777777" w:rsidTr="006D016F">
        <w:trPr>
          <w:trHeight w:val="510"/>
        </w:trPr>
        <w:tc>
          <w:tcPr>
            <w:tcW w:w="3560" w:type="dxa"/>
            <w:vMerge w:val="restart"/>
            <w:hideMark/>
          </w:tcPr>
          <w:p w14:paraId="42DCBA63" w14:textId="77777777" w:rsidR="003338F9" w:rsidRPr="00306F4D" w:rsidRDefault="003338F9">
            <w:pPr>
              <w:rPr>
                <w:rFonts w:ascii="Arial" w:hAnsi="Arial" w:cs="Arial"/>
                <w:b/>
                <w:bCs/>
                <w:sz w:val="20"/>
                <w:szCs w:val="20"/>
              </w:rPr>
            </w:pPr>
            <w:r w:rsidRPr="00306F4D">
              <w:rPr>
                <w:rFonts w:ascii="Arial" w:hAnsi="Arial" w:cs="Arial"/>
                <w:b/>
                <w:bCs/>
                <w:sz w:val="20"/>
                <w:szCs w:val="20"/>
              </w:rPr>
              <w:t>Implementation</w:t>
            </w:r>
          </w:p>
        </w:tc>
        <w:tc>
          <w:tcPr>
            <w:tcW w:w="5800" w:type="dxa"/>
            <w:hideMark/>
          </w:tcPr>
          <w:p w14:paraId="28E73E49" w14:textId="77777777" w:rsidR="003338F9" w:rsidRPr="00306F4D" w:rsidRDefault="003338F9">
            <w:pPr>
              <w:rPr>
                <w:rFonts w:ascii="Arial" w:hAnsi="Arial" w:cs="Arial"/>
                <w:sz w:val="20"/>
                <w:szCs w:val="20"/>
              </w:rPr>
            </w:pPr>
            <w:r w:rsidRPr="00306F4D">
              <w:rPr>
                <w:rFonts w:ascii="Arial" w:hAnsi="Arial" w:cs="Arial"/>
                <w:sz w:val="20"/>
                <w:szCs w:val="20"/>
              </w:rPr>
              <w:t>Technical support in preparing TORs and verifying expertise for technical positions.</w:t>
            </w:r>
          </w:p>
        </w:tc>
        <w:tc>
          <w:tcPr>
            <w:tcW w:w="2120" w:type="dxa"/>
            <w:vMerge w:val="restart"/>
            <w:vAlign w:val="center"/>
            <w:hideMark/>
          </w:tcPr>
          <w:p w14:paraId="0220F30D" w14:textId="77777777" w:rsidR="003338F9" w:rsidRPr="00306F4D" w:rsidRDefault="003338F9" w:rsidP="006D016F">
            <w:pPr>
              <w:jc w:val="center"/>
              <w:rPr>
                <w:rFonts w:ascii="Arial" w:hAnsi="Arial" w:cs="Arial"/>
                <w:sz w:val="20"/>
                <w:szCs w:val="20"/>
              </w:rPr>
            </w:pPr>
            <w:r w:rsidRPr="00306F4D">
              <w:rPr>
                <w:rFonts w:ascii="Arial" w:hAnsi="Arial" w:cs="Arial"/>
                <w:sz w:val="20"/>
                <w:szCs w:val="20"/>
              </w:rPr>
              <w:t>204,545</w:t>
            </w:r>
          </w:p>
          <w:p w14:paraId="632E6087" w14:textId="77777777" w:rsidR="0069297A" w:rsidRPr="00306F4D" w:rsidRDefault="0069297A" w:rsidP="006D016F">
            <w:pPr>
              <w:jc w:val="center"/>
              <w:rPr>
                <w:rFonts w:ascii="Arial" w:hAnsi="Arial" w:cs="Arial"/>
                <w:sz w:val="20"/>
                <w:szCs w:val="20"/>
              </w:rPr>
            </w:pPr>
          </w:p>
          <w:p w14:paraId="4A4D3396" w14:textId="3EEA0FDA" w:rsidR="0069297A" w:rsidRPr="00306F4D" w:rsidRDefault="0069297A" w:rsidP="006D016F">
            <w:pPr>
              <w:jc w:val="center"/>
              <w:rPr>
                <w:rFonts w:ascii="Arial" w:hAnsi="Arial" w:cs="Arial"/>
                <w:sz w:val="20"/>
                <w:szCs w:val="20"/>
              </w:rPr>
            </w:pPr>
          </w:p>
        </w:tc>
      </w:tr>
      <w:tr w:rsidR="003338F9" w:rsidRPr="00306F4D" w14:paraId="4F168E1A" w14:textId="77777777" w:rsidTr="006D016F">
        <w:trPr>
          <w:trHeight w:val="765"/>
        </w:trPr>
        <w:tc>
          <w:tcPr>
            <w:tcW w:w="3560" w:type="dxa"/>
            <w:vMerge/>
            <w:hideMark/>
          </w:tcPr>
          <w:p w14:paraId="17E1BB19" w14:textId="77777777" w:rsidR="003338F9" w:rsidRPr="00306F4D" w:rsidRDefault="003338F9">
            <w:pPr>
              <w:rPr>
                <w:rFonts w:ascii="Arial" w:hAnsi="Arial" w:cs="Arial"/>
                <w:b/>
                <w:bCs/>
                <w:sz w:val="20"/>
                <w:szCs w:val="20"/>
              </w:rPr>
            </w:pPr>
          </w:p>
        </w:tc>
        <w:tc>
          <w:tcPr>
            <w:tcW w:w="5800" w:type="dxa"/>
            <w:hideMark/>
          </w:tcPr>
          <w:p w14:paraId="49D35F89" w14:textId="1431C7E1" w:rsidR="003338F9" w:rsidRPr="00306F4D" w:rsidRDefault="003338F9">
            <w:pPr>
              <w:rPr>
                <w:rFonts w:ascii="Arial" w:hAnsi="Arial" w:cs="Arial"/>
                <w:sz w:val="20"/>
                <w:szCs w:val="20"/>
              </w:rPr>
            </w:pPr>
            <w:r w:rsidRPr="00306F4D">
              <w:rPr>
                <w:rFonts w:ascii="Arial" w:hAnsi="Arial" w:cs="Arial"/>
                <w:sz w:val="20"/>
                <w:szCs w:val="20"/>
              </w:rPr>
              <w:t>Provide technical and operational guidance project teams. - Verification of technical validity / match with AF expectations of inception report</w:t>
            </w:r>
            <w:r w:rsidR="0006393C" w:rsidRPr="00306F4D">
              <w:rPr>
                <w:rFonts w:ascii="Arial" w:hAnsi="Arial" w:cs="Arial"/>
                <w:sz w:val="20"/>
                <w:szCs w:val="20"/>
              </w:rPr>
              <w:t>/baseline report</w:t>
            </w:r>
            <w:r w:rsidRPr="00306F4D">
              <w:rPr>
                <w:rFonts w:ascii="Arial" w:hAnsi="Arial" w:cs="Arial"/>
                <w:sz w:val="20"/>
                <w:szCs w:val="20"/>
              </w:rPr>
              <w:t>.</w:t>
            </w:r>
          </w:p>
        </w:tc>
        <w:tc>
          <w:tcPr>
            <w:tcW w:w="2120" w:type="dxa"/>
            <w:vMerge/>
            <w:vAlign w:val="center"/>
            <w:hideMark/>
          </w:tcPr>
          <w:p w14:paraId="4D04E01D" w14:textId="77777777" w:rsidR="003338F9" w:rsidRPr="00306F4D" w:rsidRDefault="003338F9" w:rsidP="006D016F">
            <w:pPr>
              <w:jc w:val="center"/>
              <w:rPr>
                <w:rFonts w:ascii="Arial" w:hAnsi="Arial" w:cs="Arial"/>
                <w:sz w:val="20"/>
                <w:szCs w:val="20"/>
              </w:rPr>
            </w:pPr>
          </w:p>
        </w:tc>
      </w:tr>
      <w:tr w:rsidR="003338F9" w:rsidRPr="00306F4D" w14:paraId="48D67B0A" w14:textId="77777777" w:rsidTr="006D016F">
        <w:trPr>
          <w:trHeight w:val="510"/>
        </w:trPr>
        <w:tc>
          <w:tcPr>
            <w:tcW w:w="3560" w:type="dxa"/>
            <w:vMerge/>
            <w:hideMark/>
          </w:tcPr>
          <w:p w14:paraId="2F5665EB" w14:textId="77777777" w:rsidR="003338F9" w:rsidRPr="00306F4D" w:rsidRDefault="003338F9">
            <w:pPr>
              <w:rPr>
                <w:rFonts w:ascii="Arial" w:hAnsi="Arial" w:cs="Arial"/>
                <w:sz w:val="20"/>
                <w:szCs w:val="20"/>
              </w:rPr>
            </w:pPr>
          </w:p>
        </w:tc>
        <w:tc>
          <w:tcPr>
            <w:tcW w:w="5800" w:type="dxa"/>
            <w:hideMark/>
          </w:tcPr>
          <w:p w14:paraId="2090C67C" w14:textId="77777777" w:rsidR="003338F9" w:rsidRPr="00306F4D" w:rsidRDefault="003338F9">
            <w:pPr>
              <w:rPr>
                <w:rFonts w:ascii="Arial" w:hAnsi="Arial" w:cs="Arial"/>
                <w:sz w:val="20"/>
                <w:szCs w:val="20"/>
              </w:rPr>
            </w:pPr>
            <w:r w:rsidRPr="00306F4D">
              <w:rPr>
                <w:rFonts w:ascii="Arial" w:hAnsi="Arial" w:cs="Arial"/>
                <w:sz w:val="20"/>
                <w:szCs w:val="20"/>
              </w:rPr>
              <w:t>Provide technical information as needed to facilitate implementation of the project activities.</w:t>
            </w:r>
          </w:p>
        </w:tc>
        <w:tc>
          <w:tcPr>
            <w:tcW w:w="2120" w:type="dxa"/>
            <w:vMerge/>
            <w:vAlign w:val="center"/>
            <w:hideMark/>
          </w:tcPr>
          <w:p w14:paraId="6D1B3BEA" w14:textId="77777777" w:rsidR="003338F9" w:rsidRPr="00306F4D" w:rsidRDefault="003338F9" w:rsidP="006D016F">
            <w:pPr>
              <w:jc w:val="center"/>
              <w:rPr>
                <w:rFonts w:ascii="Arial" w:hAnsi="Arial" w:cs="Arial"/>
                <w:sz w:val="20"/>
                <w:szCs w:val="20"/>
              </w:rPr>
            </w:pPr>
          </w:p>
        </w:tc>
      </w:tr>
      <w:tr w:rsidR="003338F9" w:rsidRPr="00306F4D" w14:paraId="540748BA" w14:textId="77777777" w:rsidTr="006D016F">
        <w:trPr>
          <w:trHeight w:val="300"/>
        </w:trPr>
        <w:tc>
          <w:tcPr>
            <w:tcW w:w="3560" w:type="dxa"/>
            <w:vMerge/>
            <w:hideMark/>
          </w:tcPr>
          <w:p w14:paraId="673B125C" w14:textId="77777777" w:rsidR="003338F9" w:rsidRPr="00306F4D" w:rsidRDefault="003338F9">
            <w:pPr>
              <w:rPr>
                <w:rFonts w:ascii="Arial" w:hAnsi="Arial" w:cs="Arial"/>
                <w:sz w:val="20"/>
                <w:szCs w:val="20"/>
              </w:rPr>
            </w:pPr>
          </w:p>
        </w:tc>
        <w:tc>
          <w:tcPr>
            <w:tcW w:w="5800" w:type="dxa"/>
            <w:hideMark/>
          </w:tcPr>
          <w:p w14:paraId="603C4A8E" w14:textId="77777777" w:rsidR="003338F9" w:rsidRPr="00306F4D" w:rsidRDefault="003338F9">
            <w:pPr>
              <w:rPr>
                <w:rFonts w:ascii="Arial" w:hAnsi="Arial" w:cs="Arial"/>
                <w:sz w:val="20"/>
                <w:szCs w:val="20"/>
              </w:rPr>
            </w:pPr>
            <w:r w:rsidRPr="00306F4D">
              <w:rPr>
                <w:rFonts w:ascii="Arial" w:hAnsi="Arial" w:cs="Arial"/>
                <w:sz w:val="20"/>
                <w:szCs w:val="20"/>
              </w:rPr>
              <w:t>Provide advisory services as required.</w:t>
            </w:r>
          </w:p>
        </w:tc>
        <w:tc>
          <w:tcPr>
            <w:tcW w:w="2120" w:type="dxa"/>
            <w:vMerge/>
            <w:vAlign w:val="center"/>
            <w:hideMark/>
          </w:tcPr>
          <w:p w14:paraId="04052273" w14:textId="77777777" w:rsidR="003338F9" w:rsidRPr="00306F4D" w:rsidRDefault="003338F9" w:rsidP="006D016F">
            <w:pPr>
              <w:jc w:val="center"/>
              <w:rPr>
                <w:rFonts w:ascii="Arial" w:hAnsi="Arial" w:cs="Arial"/>
                <w:sz w:val="20"/>
                <w:szCs w:val="20"/>
              </w:rPr>
            </w:pPr>
          </w:p>
        </w:tc>
      </w:tr>
      <w:tr w:rsidR="003338F9" w:rsidRPr="00306F4D" w14:paraId="5AFA602E" w14:textId="77777777" w:rsidTr="006D016F">
        <w:trPr>
          <w:trHeight w:val="510"/>
        </w:trPr>
        <w:tc>
          <w:tcPr>
            <w:tcW w:w="3560" w:type="dxa"/>
            <w:vMerge/>
            <w:hideMark/>
          </w:tcPr>
          <w:p w14:paraId="367DF531" w14:textId="77777777" w:rsidR="003338F9" w:rsidRPr="00306F4D" w:rsidRDefault="003338F9">
            <w:pPr>
              <w:rPr>
                <w:rFonts w:ascii="Arial" w:hAnsi="Arial" w:cs="Arial"/>
                <w:sz w:val="20"/>
                <w:szCs w:val="20"/>
              </w:rPr>
            </w:pPr>
          </w:p>
        </w:tc>
        <w:tc>
          <w:tcPr>
            <w:tcW w:w="5800" w:type="dxa"/>
            <w:hideMark/>
          </w:tcPr>
          <w:p w14:paraId="193428AD" w14:textId="77777777" w:rsidR="003338F9" w:rsidRPr="00306F4D" w:rsidRDefault="003338F9">
            <w:pPr>
              <w:rPr>
                <w:rFonts w:ascii="Arial" w:hAnsi="Arial" w:cs="Arial"/>
                <w:sz w:val="20"/>
                <w:szCs w:val="20"/>
              </w:rPr>
            </w:pPr>
            <w:r w:rsidRPr="00306F4D">
              <w:rPr>
                <w:rFonts w:ascii="Arial" w:hAnsi="Arial" w:cs="Arial"/>
                <w:sz w:val="20"/>
                <w:szCs w:val="20"/>
              </w:rPr>
              <w:t>Provide technical support, participation as necessary during project activities.</w:t>
            </w:r>
          </w:p>
        </w:tc>
        <w:tc>
          <w:tcPr>
            <w:tcW w:w="2120" w:type="dxa"/>
            <w:vMerge/>
            <w:vAlign w:val="center"/>
            <w:hideMark/>
          </w:tcPr>
          <w:p w14:paraId="01094074" w14:textId="77777777" w:rsidR="003338F9" w:rsidRPr="00306F4D" w:rsidRDefault="003338F9" w:rsidP="006D016F">
            <w:pPr>
              <w:jc w:val="center"/>
              <w:rPr>
                <w:rFonts w:ascii="Arial" w:hAnsi="Arial" w:cs="Arial"/>
                <w:sz w:val="20"/>
                <w:szCs w:val="20"/>
              </w:rPr>
            </w:pPr>
          </w:p>
        </w:tc>
      </w:tr>
      <w:tr w:rsidR="003338F9" w:rsidRPr="00306F4D" w14:paraId="0092AEFE" w14:textId="77777777" w:rsidTr="006D016F">
        <w:trPr>
          <w:trHeight w:val="510"/>
        </w:trPr>
        <w:tc>
          <w:tcPr>
            <w:tcW w:w="3560" w:type="dxa"/>
            <w:vMerge/>
            <w:hideMark/>
          </w:tcPr>
          <w:p w14:paraId="5248ADD6" w14:textId="77777777" w:rsidR="003338F9" w:rsidRPr="00306F4D" w:rsidRDefault="003338F9">
            <w:pPr>
              <w:rPr>
                <w:rFonts w:ascii="Arial" w:hAnsi="Arial" w:cs="Arial"/>
                <w:sz w:val="20"/>
                <w:szCs w:val="20"/>
              </w:rPr>
            </w:pPr>
          </w:p>
        </w:tc>
        <w:tc>
          <w:tcPr>
            <w:tcW w:w="5800" w:type="dxa"/>
            <w:hideMark/>
          </w:tcPr>
          <w:p w14:paraId="4941C9FA" w14:textId="77777777" w:rsidR="003338F9" w:rsidRPr="00306F4D" w:rsidRDefault="003338F9">
            <w:pPr>
              <w:rPr>
                <w:rFonts w:ascii="Arial" w:hAnsi="Arial" w:cs="Arial"/>
                <w:sz w:val="20"/>
                <w:szCs w:val="20"/>
              </w:rPr>
            </w:pPr>
            <w:r w:rsidRPr="00306F4D">
              <w:rPr>
                <w:rFonts w:ascii="Arial" w:hAnsi="Arial" w:cs="Arial"/>
                <w:sz w:val="20"/>
                <w:szCs w:val="20"/>
              </w:rPr>
              <w:t>Provide troubleshooting support if needed. Provide support and oversight missions as necessary.</w:t>
            </w:r>
          </w:p>
        </w:tc>
        <w:tc>
          <w:tcPr>
            <w:tcW w:w="2120" w:type="dxa"/>
            <w:vMerge/>
            <w:vAlign w:val="center"/>
            <w:hideMark/>
          </w:tcPr>
          <w:p w14:paraId="7BEE507C" w14:textId="77777777" w:rsidR="003338F9" w:rsidRPr="00306F4D" w:rsidRDefault="003338F9" w:rsidP="006D016F">
            <w:pPr>
              <w:jc w:val="center"/>
              <w:rPr>
                <w:rFonts w:ascii="Arial" w:hAnsi="Arial" w:cs="Arial"/>
                <w:sz w:val="20"/>
                <w:szCs w:val="20"/>
              </w:rPr>
            </w:pPr>
          </w:p>
        </w:tc>
      </w:tr>
      <w:tr w:rsidR="003338F9" w:rsidRPr="00306F4D" w14:paraId="433CE245" w14:textId="77777777" w:rsidTr="006D016F">
        <w:trPr>
          <w:trHeight w:val="510"/>
        </w:trPr>
        <w:tc>
          <w:tcPr>
            <w:tcW w:w="3560" w:type="dxa"/>
            <w:vMerge/>
            <w:hideMark/>
          </w:tcPr>
          <w:p w14:paraId="16500930" w14:textId="77777777" w:rsidR="003338F9" w:rsidRPr="00306F4D" w:rsidRDefault="003338F9">
            <w:pPr>
              <w:rPr>
                <w:rFonts w:ascii="Arial" w:hAnsi="Arial" w:cs="Arial"/>
                <w:sz w:val="20"/>
                <w:szCs w:val="20"/>
              </w:rPr>
            </w:pPr>
          </w:p>
        </w:tc>
        <w:tc>
          <w:tcPr>
            <w:tcW w:w="5800" w:type="dxa"/>
            <w:hideMark/>
          </w:tcPr>
          <w:p w14:paraId="177D31C9" w14:textId="77777777" w:rsidR="003338F9" w:rsidRPr="00306F4D" w:rsidRDefault="003338F9">
            <w:pPr>
              <w:rPr>
                <w:rFonts w:ascii="Arial" w:hAnsi="Arial" w:cs="Arial"/>
                <w:sz w:val="20"/>
                <w:szCs w:val="20"/>
              </w:rPr>
            </w:pPr>
            <w:r w:rsidRPr="00306F4D">
              <w:rPr>
                <w:rFonts w:ascii="Arial" w:hAnsi="Arial" w:cs="Arial"/>
                <w:sz w:val="20"/>
                <w:szCs w:val="20"/>
              </w:rPr>
              <w:t>Provide technical monitoring, progress monitoring, validation and quality assurance throughout.</w:t>
            </w:r>
          </w:p>
        </w:tc>
        <w:tc>
          <w:tcPr>
            <w:tcW w:w="2120" w:type="dxa"/>
            <w:vMerge/>
            <w:vAlign w:val="center"/>
            <w:hideMark/>
          </w:tcPr>
          <w:p w14:paraId="38EBA59A" w14:textId="77777777" w:rsidR="003338F9" w:rsidRPr="00306F4D" w:rsidRDefault="003338F9" w:rsidP="006D016F">
            <w:pPr>
              <w:jc w:val="center"/>
              <w:rPr>
                <w:rFonts w:ascii="Arial" w:hAnsi="Arial" w:cs="Arial"/>
                <w:sz w:val="20"/>
                <w:szCs w:val="20"/>
              </w:rPr>
            </w:pPr>
          </w:p>
        </w:tc>
      </w:tr>
      <w:tr w:rsidR="003338F9" w:rsidRPr="00306F4D" w14:paraId="0ADA065B" w14:textId="77777777" w:rsidTr="006D016F">
        <w:trPr>
          <w:trHeight w:val="510"/>
        </w:trPr>
        <w:tc>
          <w:tcPr>
            <w:tcW w:w="3560" w:type="dxa"/>
            <w:vMerge/>
            <w:hideMark/>
          </w:tcPr>
          <w:p w14:paraId="11C140A5" w14:textId="77777777" w:rsidR="003338F9" w:rsidRPr="00306F4D" w:rsidRDefault="003338F9">
            <w:pPr>
              <w:rPr>
                <w:rFonts w:ascii="Arial" w:hAnsi="Arial" w:cs="Arial"/>
                <w:sz w:val="20"/>
                <w:szCs w:val="20"/>
              </w:rPr>
            </w:pPr>
          </w:p>
        </w:tc>
        <w:tc>
          <w:tcPr>
            <w:tcW w:w="5800" w:type="dxa"/>
            <w:hideMark/>
          </w:tcPr>
          <w:p w14:paraId="3DD9A9AC" w14:textId="77777777" w:rsidR="003338F9" w:rsidRPr="00306F4D" w:rsidRDefault="003338F9">
            <w:pPr>
              <w:rPr>
                <w:rFonts w:ascii="Arial" w:hAnsi="Arial" w:cs="Arial"/>
                <w:sz w:val="20"/>
                <w:szCs w:val="20"/>
              </w:rPr>
            </w:pPr>
            <w:r w:rsidRPr="00306F4D">
              <w:rPr>
                <w:rFonts w:ascii="Arial" w:hAnsi="Arial" w:cs="Arial"/>
                <w:sz w:val="20"/>
                <w:szCs w:val="20"/>
              </w:rPr>
              <w:t>Allocate and monitor Annual Spending Limits based on agreed work plans.</w:t>
            </w:r>
          </w:p>
        </w:tc>
        <w:tc>
          <w:tcPr>
            <w:tcW w:w="2120" w:type="dxa"/>
            <w:vMerge/>
            <w:vAlign w:val="center"/>
            <w:hideMark/>
          </w:tcPr>
          <w:p w14:paraId="624EFA02" w14:textId="77777777" w:rsidR="003338F9" w:rsidRPr="00306F4D" w:rsidRDefault="003338F9" w:rsidP="006D016F">
            <w:pPr>
              <w:jc w:val="center"/>
              <w:rPr>
                <w:rFonts w:ascii="Arial" w:hAnsi="Arial" w:cs="Arial"/>
                <w:sz w:val="20"/>
                <w:szCs w:val="20"/>
              </w:rPr>
            </w:pPr>
          </w:p>
        </w:tc>
      </w:tr>
      <w:tr w:rsidR="003338F9" w:rsidRPr="00306F4D" w14:paraId="65855FF8" w14:textId="77777777" w:rsidTr="006D016F">
        <w:trPr>
          <w:trHeight w:val="510"/>
        </w:trPr>
        <w:tc>
          <w:tcPr>
            <w:tcW w:w="3560" w:type="dxa"/>
            <w:vMerge/>
            <w:hideMark/>
          </w:tcPr>
          <w:p w14:paraId="69328C8D" w14:textId="77777777" w:rsidR="003338F9" w:rsidRPr="00306F4D" w:rsidRDefault="003338F9">
            <w:pPr>
              <w:rPr>
                <w:rFonts w:ascii="Arial" w:hAnsi="Arial" w:cs="Arial"/>
                <w:sz w:val="20"/>
                <w:szCs w:val="20"/>
              </w:rPr>
            </w:pPr>
          </w:p>
        </w:tc>
        <w:tc>
          <w:tcPr>
            <w:tcW w:w="5800" w:type="dxa"/>
            <w:hideMark/>
          </w:tcPr>
          <w:p w14:paraId="5346DF9A" w14:textId="77777777" w:rsidR="003338F9" w:rsidRPr="00306F4D" w:rsidRDefault="003338F9">
            <w:pPr>
              <w:rPr>
                <w:rFonts w:ascii="Arial" w:hAnsi="Arial" w:cs="Arial"/>
                <w:sz w:val="20"/>
                <w:szCs w:val="20"/>
              </w:rPr>
            </w:pPr>
            <w:r w:rsidRPr="00306F4D">
              <w:rPr>
                <w:rFonts w:ascii="Arial" w:hAnsi="Arial" w:cs="Arial"/>
                <w:sz w:val="20"/>
                <w:szCs w:val="20"/>
              </w:rPr>
              <w:t>Receipt, allocation and reporting to the AFB of financial resources.</w:t>
            </w:r>
          </w:p>
        </w:tc>
        <w:tc>
          <w:tcPr>
            <w:tcW w:w="2120" w:type="dxa"/>
            <w:vMerge/>
            <w:vAlign w:val="center"/>
            <w:hideMark/>
          </w:tcPr>
          <w:p w14:paraId="60FD03BD" w14:textId="77777777" w:rsidR="003338F9" w:rsidRPr="00306F4D" w:rsidRDefault="003338F9" w:rsidP="006D016F">
            <w:pPr>
              <w:jc w:val="center"/>
              <w:rPr>
                <w:rFonts w:ascii="Arial" w:hAnsi="Arial" w:cs="Arial"/>
                <w:sz w:val="20"/>
                <w:szCs w:val="20"/>
              </w:rPr>
            </w:pPr>
          </w:p>
        </w:tc>
      </w:tr>
      <w:tr w:rsidR="003338F9" w:rsidRPr="00306F4D" w14:paraId="27089A6B" w14:textId="77777777" w:rsidTr="006D016F">
        <w:trPr>
          <w:trHeight w:val="300"/>
        </w:trPr>
        <w:tc>
          <w:tcPr>
            <w:tcW w:w="3560" w:type="dxa"/>
            <w:vMerge/>
            <w:hideMark/>
          </w:tcPr>
          <w:p w14:paraId="48BFA607" w14:textId="77777777" w:rsidR="003338F9" w:rsidRPr="00306F4D" w:rsidRDefault="003338F9">
            <w:pPr>
              <w:rPr>
                <w:rFonts w:ascii="Arial" w:hAnsi="Arial" w:cs="Arial"/>
                <w:sz w:val="20"/>
                <w:szCs w:val="20"/>
              </w:rPr>
            </w:pPr>
          </w:p>
        </w:tc>
        <w:tc>
          <w:tcPr>
            <w:tcW w:w="5800" w:type="dxa"/>
            <w:hideMark/>
          </w:tcPr>
          <w:p w14:paraId="7B513AD3" w14:textId="77777777" w:rsidR="003338F9" w:rsidRPr="00306F4D" w:rsidRDefault="003338F9">
            <w:pPr>
              <w:rPr>
                <w:rFonts w:ascii="Arial" w:hAnsi="Arial" w:cs="Arial"/>
                <w:sz w:val="20"/>
                <w:szCs w:val="20"/>
              </w:rPr>
            </w:pPr>
            <w:r w:rsidRPr="00306F4D">
              <w:rPr>
                <w:rFonts w:ascii="Arial" w:hAnsi="Arial" w:cs="Arial"/>
                <w:sz w:val="20"/>
                <w:szCs w:val="20"/>
              </w:rPr>
              <w:t>Oversight and monitoring of AF funds.</w:t>
            </w:r>
          </w:p>
        </w:tc>
        <w:tc>
          <w:tcPr>
            <w:tcW w:w="2120" w:type="dxa"/>
            <w:vMerge/>
            <w:vAlign w:val="center"/>
            <w:hideMark/>
          </w:tcPr>
          <w:p w14:paraId="764A9A26" w14:textId="77777777" w:rsidR="003338F9" w:rsidRPr="00306F4D" w:rsidRDefault="003338F9" w:rsidP="006D016F">
            <w:pPr>
              <w:jc w:val="center"/>
              <w:rPr>
                <w:rFonts w:ascii="Arial" w:hAnsi="Arial" w:cs="Arial"/>
                <w:sz w:val="20"/>
                <w:szCs w:val="20"/>
              </w:rPr>
            </w:pPr>
          </w:p>
        </w:tc>
      </w:tr>
      <w:tr w:rsidR="003338F9" w:rsidRPr="00306F4D" w14:paraId="5C7FA34D" w14:textId="77777777" w:rsidTr="006D016F">
        <w:trPr>
          <w:trHeight w:val="315"/>
        </w:trPr>
        <w:tc>
          <w:tcPr>
            <w:tcW w:w="3560" w:type="dxa"/>
            <w:vMerge/>
            <w:hideMark/>
          </w:tcPr>
          <w:p w14:paraId="1018C308" w14:textId="77777777" w:rsidR="003338F9" w:rsidRPr="00306F4D" w:rsidRDefault="003338F9">
            <w:pPr>
              <w:rPr>
                <w:rFonts w:ascii="Arial" w:hAnsi="Arial" w:cs="Arial"/>
                <w:sz w:val="20"/>
                <w:szCs w:val="20"/>
              </w:rPr>
            </w:pPr>
          </w:p>
        </w:tc>
        <w:tc>
          <w:tcPr>
            <w:tcW w:w="5800" w:type="dxa"/>
            <w:hideMark/>
          </w:tcPr>
          <w:p w14:paraId="20FEBA50" w14:textId="77777777" w:rsidR="003338F9" w:rsidRPr="00306F4D" w:rsidRDefault="003338F9">
            <w:pPr>
              <w:rPr>
                <w:rFonts w:ascii="Arial" w:hAnsi="Arial" w:cs="Arial"/>
                <w:sz w:val="20"/>
                <w:szCs w:val="20"/>
              </w:rPr>
            </w:pPr>
            <w:r w:rsidRPr="00306F4D">
              <w:rPr>
                <w:rFonts w:ascii="Arial" w:hAnsi="Arial" w:cs="Arial"/>
                <w:sz w:val="20"/>
                <w:szCs w:val="20"/>
              </w:rPr>
              <w:t>Return unspent funds to AF.</w:t>
            </w:r>
          </w:p>
        </w:tc>
        <w:tc>
          <w:tcPr>
            <w:tcW w:w="2120" w:type="dxa"/>
            <w:vMerge/>
            <w:vAlign w:val="center"/>
            <w:hideMark/>
          </w:tcPr>
          <w:p w14:paraId="673E4F93" w14:textId="77777777" w:rsidR="003338F9" w:rsidRPr="00306F4D" w:rsidRDefault="003338F9" w:rsidP="006D016F">
            <w:pPr>
              <w:jc w:val="center"/>
              <w:rPr>
                <w:rFonts w:ascii="Arial" w:hAnsi="Arial" w:cs="Arial"/>
                <w:sz w:val="20"/>
                <w:szCs w:val="20"/>
              </w:rPr>
            </w:pPr>
          </w:p>
        </w:tc>
      </w:tr>
      <w:tr w:rsidR="003338F9" w:rsidRPr="00306F4D" w14:paraId="242A607C" w14:textId="77777777" w:rsidTr="006D016F">
        <w:trPr>
          <w:trHeight w:val="510"/>
        </w:trPr>
        <w:tc>
          <w:tcPr>
            <w:tcW w:w="3560" w:type="dxa"/>
            <w:vMerge w:val="restart"/>
            <w:hideMark/>
          </w:tcPr>
          <w:p w14:paraId="27A8A634" w14:textId="77777777" w:rsidR="003338F9" w:rsidRPr="00306F4D" w:rsidRDefault="003338F9">
            <w:pPr>
              <w:rPr>
                <w:rFonts w:ascii="Arial" w:hAnsi="Arial" w:cs="Arial"/>
                <w:b/>
                <w:bCs/>
                <w:sz w:val="20"/>
                <w:szCs w:val="20"/>
              </w:rPr>
            </w:pPr>
            <w:r w:rsidRPr="00306F4D">
              <w:rPr>
                <w:rFonts w:ascii="Arial" w:hAnsi="Arial" w:cs="Arial"/>
                <w:b/>
                <w:bCs/>
                <w:sz w:val="20"/>
                <w:szCs w:val="20"/>
              </w:rPr>
              <w:t>Evaluation and Reporting</w:t>
            </w:r>
          </w:p>
        </w:tc>
        <w:tc>
          <w:tcPr>
            <w:tcW w:w="5800" w:type="dxa"/>
            <w:hideMark/>
          </w:tcPr>
          <w:p w14:paraId="0BFCDB95" w14:textId="44BD79BE" w:rsidR="003338F9" w:rsidRPr="00306F4D" w:rsidRDefault="003338F9">
            <w:pPr>
              <w:rPr>
                <w:rFonts w:ascii="Arial" w:hAnsi="Arial" w:cs="Arial"/>
                <w:sz w:val="20"/>
                <w:szCs w:val="20"/>
              </w:rPr>
            </w:pPr>
            <w:r w:rsidRPr="00306F4D">
              <w:rPr>
                <w:rFonts w:ascii="Arial" w:hAnsi="Arial" w:cs="Arial"/>
                <w:sz w:val="20"/>
                <w:szCs w:val="20"/>
              </w:rPr>
              <w:t xml:space="preserve">Provide technical support in preparing TOR and verify </w:t>
            </w:r>
            <w:r w:rsidR="006D016F" w:rsidRPr="00306F4D">
              <w:rPr>
                <w:rFonts w:ascii="Arial" w:hAnsi="Arial" w:cs="Arial"/>
                <w:sz w:val="20"/>
                <w:szCs w:val="20"/>
              </w:rPr>
              <w:t>expertise for</w:t>
            </w:r>
            <w:r w:rsidRPr="00306F4D">
              <w:rPr>
                <w:rFonts w:ascii="Arial" w:hAnsi="Arial" w:cs="Arial"/>
                <w:sz w:val="20"/>
                <w:szCs w:val="20"/>
              </w:rPr>
              <w:t xml:space="preserve"> technical positions involving evaluation and reporting</w:t>
            </w:r>
            <w:r w:rsidR="00EC2DB8" w:rsidRPr="00306F4D">
              <w:rPr>
                <w:rFonts w:ascii="Arial" w:hAnsi="Arial" w:cs="Arial"/>
                <w:sz w:val="20"/>
                <w:szCs w:val="20"/>
              </w:rPr>
              <w:t xml:space="preserve"> (including for the Mid-Term- and Terminal Evaluation</w:t>
            </w:r>
            <w:r w:rsidR="00991558" w:rsidRPr="00306F4D">
              <w:rPr>
                <w:rFonts w:ascii="Arial" w:hAnsi="Arial" w:cs="Arial"/>
                <w:sz w:val="20"/>
                <w:szCs w:val="20"/>
              </w:rPr>
              <w:t>s</w:t>
            </w:r>
            <w:r w:rsidR="00EC2DB8" w:rsidRPr="00306F4D">
              <w:rPr>
                <w:rFonts w:ascii="Arial" w:hAnsi="Arial" w:cs="Arial"/>
                <w:sz w:val="20"/>
                <w:szCs w:val="20"/>
              </w:rPr>
              <w:t>)</w:t>
            </w:r>
            <w:r w:rsidRPr="00306F4D">
              <w:rPr>
                <w:rFonts w:ascii="Arial" w:hAnsi="Arial" w:cs="Arial"/>
                <w:sz w:val="20"/>
                <w:szCs w:val="20"/>
              </w:rPr>
              <w:t>.</w:t>
            </w:r>
          </w:p>
        </w:tc>
        <w:tc>
          <w:tcPr>
            <w:tcW w:w="2120" w:type="dxa"/>
            <w:vMerge w:val="restart"/>
            <w:vAlign w:val="center"/>
            <w:hideMark/>
          </w:tcPr>
          <w:p w14:paraId="35684680" w14:textId="77777777" w:rsidR="003338F9" w:rsidRPr="00306F4D" w:rsidRDefault="003338F9" w:rsidP="006D016F">
            <w:pPr>
              <w:jc w:val="center"/>
              <w:rPr>
                <w:rFonts w:ascii="Arial" w:hAnsi="Arial" w:cs="Arial"/>
                <w:sz w:val="20"/>
                <w:szCs w:val="20"/>
              </w:rPr>
            </w:pPr>
            <w:r w:rsidRPr="00306F4D">
              <w:rPr>
                <w:rFonts w:ascii="Arial" w:hAnsi="Arial" w:cs="Arial"/>
                <w:sz w:val="20"/>
                <w:szCs w:val="20"/>
              </w:rPr>
              <w:t>68,182</w:t>
            </w:r>
          </w:p>
          <w:p w14:paraId="35EC57AF" w14:textId="77777777" w:rsidR="0091792C" w:rsidRPr="00306F4D" w:rsidRDefault="0091792C" w:rsidP="006D016F">
            <w:pPr>
              <w:jc w:val="center"/>
              <w:rPr>
                <w:rFonts w:ascii="Arial" w:hAnsi="Arial" w:cs="Arial"/>
                <w:sz w:val="20"/>
                <w:szCs w:val="20"/>
              </w:rPr>
            </w:pPr>
          </w:p>
          <w:p w14:paraId="335E10F9" w14:textId="77777777" w:rsidR="0091792C" w:rsidRPr="00306F4D" w:rsidRDefault="0091792C" w:rsidP="006D016F">
            <w:pPr>
              <w:jc w:val="center"/>
              <w:rPr>
                <w:rFonts w:ascii="Arial" w:hAnsi="Arial" w:cs="Arial"/>
                <w:sz w:val="20"/>
                <w:szCs w:val="20"/>
              </w:rPr>
            </w:pPr>
          </w:p>
          <w:p w14:paraId="7E808990" w14:textId="1148A8E3" w:rsidR="0091792C" w:rsidRPr="00306F4D" w:rsidRDefault="0091792C" w:rsidP="006D016F">
            <w:pPr>
              <w:jc w:val="center"/>
              <w:rPr>
                <w:rFonts w:ascii="Arial" w:hAnsi="Arial" w:cs="Arial"/>
                <w:sz w:val="20"/>
                <w:szCs w:val="20"/>
              </w:rPr>
            </w:pPr>
          </w:p>
        </w:tc>
      </w:tr>
      <w:tr w:rsidR="003338F9" w:rsidRPr="00306F4D" w14:paraId="6BD9BCDA" w14:textId="77777777" w:rsidTr="006D016F">
        <w:trPr>
          <w:trHeight w:val="300"/>
        </w:trPr>
        <w:tc>
          <w:tcPr>
            <w:tcW w:w="3560" w:type="dxa"/>
            <w:vMerge/>
            <w:hideMark/>
          </w:tcPr>
          <w:p w14:paraId="08C4429A" w14:textId="77777777" w:rsidR="003338F9" w:rsidRPr="00306F4D" w:rsidRDefault="003338F9">
            <w:pPr>
              <w:rPr>
                <w:rFonts w:ascii="Arial" w:hAnsi="Arial" w:cs="Arial"/>
                <w:sz w:val="20"/>
                <w:szCs w:val="20"/>
              </w:rPr>
            </w:pPr>
          </w:p>
        </w:tc>
        <w:tc>
          <w:tcPr>
            <w:tcW w:w="5800" w:type="dxa"/>
            <w:hideMark/>
          </w:tcPr>
          <w:p w14:paraId="6C3BC158" w14:textId="04C6F314" w:rsidR="003338F9" w:rsidRPr="00306F4D" w:rsidRDefault="003338F9">
            <w:pPr>
              <w:rPr>
                <w:rFonts w:ascii="Arial" w:hAnsi="Arial" w:cs="Arial"/>
                <w:sz w:val="20"/>
                <w:szCs w:val="20"/>
              </w:rPr>
            </w:pPr>
            <w:r w:rsidRPr="00306F4D">
              <w:rPr>
                <w:rFonts w:ascii="Arial" w:hAnsi="Arial" w:cs="Arial"/>
                <w:sz w:val="20"/>
                <w:szCs w:val="20"/>
              </w:rPr>
              <w:t>Participate in briefing / debriefing</w:t>
            </w:r>
            <w:r w:rsidR="000E61E6" w:rsidRPr="00306F4D">
              <w:rPr>
                <w:rFonts w:ascii="Arial" w:hAnsi="Arial" w:cs="Arial"/>
                <w:sz w:val="20"/>
                <w:szCs w:val="20"/>
              </w:rPr>
              <w:t xml:space="preserve"> (including for the Mid-Term and Terminal Evaluations</w:t>
            </w:r>
            <w:proofErr w:type="gramStart"/>
            <w:r w:rsidR="000E61E6" w:rsidRPr="00306F4D">
              <w:rPr>
                <w:rFonts w:ascii="Arial" w:hAnsi="Arial" w:cs="Arial"/>
                <w:sz w:val="20"/>
                <w:szCs w:val="20"/>
              </w:rPr>
              <w:t>).</w:t>
            </w:r>
            <w:r w:rsidRPr="00306F4D">
              <w:rPr>
                <w:rFonts w:ascii="Arial" w:hAnsi="Arial" w:cs="Arial"/>
                <w:sz w:val="20"/>
                <w:szCs w:val="20"/>
              </w:rPr>
              <w:t>.</w:t>
            </w:r>
            <w:proofErr w:type="gramEnd"/>
          </w:p>
        </w:tc>
        <w:tc>
          <w:tcPr>
            <w:tcW w:w="2120" w:type="dxa"/>
            <w:vMerge/>
            <w:vAlign w:val="center"/>
            <w:hideMark/>
          </w:tcPr>
          <w:p w14:paraId="4B753E09" w14:textId="77777777" w:rsidR="003338F9" w:rsidRPr="00306F4D" w:rsidRDefault="003338F9" w:rsidP="006D016F">
            <w:pPr>
              <w:jc w:val="center"/>
              <w:rPr>
                <w:rFonts w:ascii="Arial" w:hAnsi="Arial" w:cs="Arial"/>
                <w:sz w:val="20"/>
                <w:szCs w:val="20"/>
              </w:rPr>
            </w:pPr>
          </w:p>
        </w:tc>
      </w:tr>
      <w:tr w:rsidR="003338F9" w:rsidRPr="00306F4D" w14:paraId="6378C328" w14:textId="77777777" w:rsidTr="006D016F">
        <w:trPr>
          <w:trHeight w:val="510"/>
        </w:trPr>
        <w:tc>
          <w:tcPr>
            <w:tcW w:w="3560" w:type="dxa"/>
            <w:vMerge/>
            <w:hideMark/>
          </w:tcPr>
          <w:p w14:paraId="1B2EF261" w14:textId="77777777" w:rsidR="003338F9" w:rsidRPr="00306F4D" w:rsidRDefault="003338F9">
            <w:pPr>
              <w:rPr>
                <w:rFonts w:ascii="Arial" w:hAnsi="Arial" w:cs="Arial"/>
                <w:sz w:val="20"/>
                <w:szCs w:val="20"/>
              </w:rPr>
            </w:pPr>
          </w:p>
        </w:tc>
        <w:tc>
          <w:tcPr>
            <w:tcW w:w="5800" w:type="dxa"/>
            <w:hideMark/>
          </w:tcPr>
          <w:p w14:paraId="73153E63" w14:textId="2D51C8A7" w:rsidR="003338F9" w:rsidRPr="00306F4D" w:rsidRDefault="003338F9">
            <w:pPr>
              <w:rPr>
                <w:rFonts w:ascii="Arial" w:hAnsi="Arial" w:cs="Arial"/>
                <w:sz w:val="20"/>
                <w:szCs w:val="20"/>
              </w:rPr>
            </w:pPr>
            <w:r w:rsidRPr="00306F4D">
              <w:rPr>
                <w:rFonts w:ascii="Arial" w:hAnsi="Arial" w:cs="Arial"/>
                <w:sz w:val="20"/>
                <w:szCs w:val="20"/>
              </w:rPr>
              <w:t>Verify technical validity / match with AF expectations of all evaluation and other reports</w:t>
            </w:r>
            <w:r w:rsidR="00EC2DB8" w:rsidRPr="00306F4D">
              <w:rPr>
                <w:rFonts w:ascii="Arial" w:hAnsi="Arial" w:cs="Arial"/>
                <w:sz w:val="20"/>
                <w:szCs w:val="20"/>
              </w:rPr>
              <w:t xml:space="preserve"> (including for the Mid-Term and </w:t>
            </w:r>
            <w:r w:rsidR="000E61E6" w:rsidRPr="00306F4D">
              <w:rPr>
                <w:rFonts w:ascii="Arial" w:hAnsi="Arial" w:cs="Arial"/>
                <w:sz w:val="20"/>
                <w:szCs w:val="20"/>
              </w:rPr>
              <w:t>Terminal Evaluations)</w:t>
            </w:r>
            <w:r w:rsidRPr="00306F4D">
              <w:rPr>
                <w:rFonts w:ascii="Arial" w:hAnsi="Arial" w:cs="Arial"/>
                <w:sz w:val="20"/>
                <w:szCs w:val="20"/>
              </w:rPr>
              <w:t>.</w:t>
            </w:r>
          </w:p>
        </w:tc>
        <w:tc>
          <w:tcPr>
            <w:tcW w:w="2120" w:type="dxa"/>
            <w:vMerge/>
            <w:vAlign w:val="center"/>
            <w:hideMark/>
          </w:tcPr>
          <w:p w14:paraId="1107634A" w14:textId="77777777" w:rsidR="003338F9" w:rsidRPr="00306F4D" w:rsidRDefault="003338F9" w:rsidP="006D016F">
            <w:pPr>
              <w:jc w:val="center"/>
              <w:rPr>
                <w:rFonts w:ascii="Arial" w:hAnsi="Arial" w:cs="Arial"/>
                <w:sz w:val="20"/>
                <w:szCs w:val="20"/>
              </w:rPr>
            </w:pPr>
          </w:p>
        </w:tc>
      </w:tr>
      <w:tr w:rsidR="003338F9" w:rsidRPr="00306F4D" w14:paraId="044A5FAB" w14:textId="77777777" w:rsidTr="006D016F">
        <w:trPr>
          <w:trHeight w:val="510"/>
        </w:trPr>
        <w:tc>
          <w:tcPr>
            <w:tcW w:w="3560" w:type="dxa"/>
            <w:vMerge/>
            <w:hideMark/>
          </w:tcPr>
          <w:p w14:paraId="2AE3B4FE" w14:textId="77777777" w:rsidR="003338F9" w:rsidRPr="00306F4D" w:rsidRDefault="003338F9">
            <w:pPr>
              <w:rPr>
                <w:rFonts w:ascii="Arial" w:hAnsi="Arial" w:cs="Arial"/>
                <w:sz w:val="20"/>
                <w:szCs w:val="20"/>
              </w:rPr>
            </w:pPr>
          </w:p>
        </w:tc>
        <w:tc>
          <w:tcPr>
            <w:tcW w:w="5800" w:type="dxa"/>
            <w:hideMark/>
          </w:tcPr>
          <w:p w14:paraId="7CA3377B" w14:textId="77777777" w:rsidR="003338F9" w:rsidRPr="00306F4D" w:rsidRDefault="003338F9">
            <w:pPr>
              <w:rPr>
                <w:rFonts w:ascii="Arial" w:hAnsi="Arial" w:cs="Arial"/>
                <w:sz w:val="20"/>
                <w:szCs w:val="20"/>
              </w:rPr>
            </w:pPr>
            <w:r w:rsidRPr="00306F4D">
              <w:rPr>
                <w:rFonts w:ascii="Arial" w:hAnsi="Arial" w:cs="Arial"/>
                <w:sz w:val="20"/>
                <w:szCs w:val="20"/>
              </w:rPr>
              <w:t>Undertake technical analysis, validate results, and compile lessons</w:t>
            </w:r>
          </w:p>
        </w:tc>
        <w:tc>
          <w:tcPr>
            <w:tcW w:w="2120" w:type="dxa"/>
            <w:vMerge/>
            <w:vAlign w:val="center"/>
            <w:hideMark/>
          </w:tcPr>
          <w:p w14:paraId="1C946744" w14:textId="77777777" w:rsidR="003338F9" w:rsidRPr="00306F4D" w:rsidRDefault="003338F9" w:rsidP="006D016F">
            <w:pPr>
              <w:jc w:val="center"/>
              <w:rPr>
                <w:rFonts w:ascii="Arial" w:hAnsi="Arial" w:cs="Arial"/>
                <w:sz w:val="20"/>
                <w:szCs w:val="20"/>
              </w:rPr>
            </w:pPr>
          </w:p>
        </w:tc>
      </w:tr>
      <w:tr w:rsidR="003338F9" w:rsidRPr="00306F4D" w14:paraId="05D38A6F" w14:textId="77777777" w:rsidTr="006D016F">
        <w:trPr>
          <w:trHeight w:val="315"/>
        </w:trPr>
        <w:tc>
          <w:tcPr>
            <w:tcW w:w="3560" w:type="dxa"/>
            <w:vMerge/>
            <w:hideMark/>
          </w:tcPr>
          <w:p w14:paraId="3444CCEF" w14:textId="77777777" w:rsidR="003338F9" w:rsidRPr="00306F4D" w:rsidRDefault="003338F9">
            <w:pPr>
              <w:rPr>
                <w:rFonts w:ascii="Arial" w:hAnsi="Arial" w:cs="Arial"/>
                <w:sz w:val="20"/>
                <w:szCs w:val="20"/>
              </w:rPr>
            </w:pPr>
          </w:p>
        </w:tc>
        <w:tc>
          <w:tcPr>
            <w:tcW w:w="5800" w:type="dxa"/>
            <w:hideMark/>
          </w:tcPr>
          <w:p w14:paraId="4E76ADF0" w14:textId="77777777" w:rsidR="003338F9" w:rsidRPr="00306F4D" w:rsidRDefault="003338F9">
            <w:pPr>
              <w:rPr>
                <w:rFonts w:ascii="Arial" w:hAnsi="Arial" w:cs="Arial"/>
                <w:sz w:val="20"/>
                <w:szCs w:val="20"/>
              </w:rPr>
            </w:pPr>
            <w:r w:rsidRPr="00306F4D">
              <w:rPr>
                <w:rFonts w:ascii="Arial" w:hAnsi="Arial" w:cs="Arial"/>
                <w:sz w:val="20"/>
                <w:szCs w:val="20"/>
              </w:rPr>
              <w:t>Disseminate technical findings</w:t>
            </w:r>
          </w:p>
        </w:tc>
        <w:tc>
          <w:tcPr>
            <w:tcW w:w="2120" w:type="dxa"/>
            <w:vMerge/>
            <w:vAlign w:val="center"/>
            <w:hideMark/>
          </w:tcPr>
          <w:p w14:paraId="39FBA41C" w14:textId="77777777" w:rsidR="003338F9" w:rsidRPr="00306F4D" w:rsidRDefault="003338F9" w:rsidP="006D016F">
            <w:pPr>
              <w:jc w:val="center"/>
              <w:rPr>
                <w:rFonts w:ascii="Arial" w:hAnsi="Arial" w:cs="Arial"/>
                <w:sz w:val="20"/>
                <w:szCs w:val="20"/>
              </w:rPr>
            </w:pPr>
          </w:p>
        </w:tc>
      </w:tr>
      <w:tr w:rsidR="003338F9" w:rsidRPr="00306F4D" w14:paraId="18F07944" w14:textId="77777777" w:rsidTr="006D016F">
        <w:trPr>
          <w:trHeight w:val="315"/>
        </w:trPr>
        <w:tc>
          <w:tcPr>
            <w:tcW w:w="9360" w:type="dxa"/>
            <w:gridSpan w:val="2"/>
            <w:hideMark/>
          </w:tcPr>
          <w:p w14:paraId="1F728A03" w14:textId="77777777" w:rsidR="003338F9" w:rsidRPr="00306F4D" w:rsidRDefault="003338F9" w:rsidP="003338F9">
            <w:pPr>
              <w:rPr>
                <w:rFonts w:ascii="Arial" w:hAnsi="Arial" w:cs="Arial"/>
                <w:b/>
                <w:bCs/>
                <w:sz w:val="20"/>
                <w:szCs w:val="20"/>
              </w:rPr>
            </w:pPr>
            <w:r w:rsidRPr="00306F4D">
              <w:rPr>
                <w:rFonts w:ascii="Arial" w:hAnsi="Arial" w:cs="Arial"/>
                <w:b/>
                <w:bCs/>
                <w:sz w:val="20"/>
                <w:szCs w:val="20"/>
              </w:rPr>
              <w:t>Total</w:t>
            </w:r>
          </w:p>
        </w:tc>
        <w:tc>
          <w:tcPr>
            <w:tcW w:w="2120" w:type="dxa"/>
            <w:vAlign w:val="center"/>
            <w:hideMark/>
          </w:tcPr>
          <w:p w14:paraId="082545B9" w14:textId="77777777" w:rsidR="003338F9" w:rsidRPr="00306F4D" w:rsidRDefault="003338F9" w:rsidP="006D016F">
            <w:pPr>
              <w:jc w:val="center"/>
              <w:rPr>
                <w:rFonts w:ascii="Arial" w:hAnsi="Arial" w:cs="Arial"/>
                <w:b/>
                <w:bCs/>
                <w:sz w:val="20"/>
                <w:szCs w:val="20"/>
              </w:rPr>
            </w:pPr>
            <w:r w:rsidRPr="00306F4D">
              <w:rPr>
                <w:rFonts w:ascii="Arial" w:hAnsi="Arial" w:cs="Arial"/>
                <w:b/>
                <w:bCs/>
                <w:sz w:val="20"/>
                <w:szCs w:val="20"/>
              </w:rPr>
              <w:t>454,545</w:t>
            </w:r>
          </w:p>
        </w:tc>
      </w:tr>
    </w:tbl>
    <w:p w14:paraId="6B1232E0" w14:textId="1E503F48" w:rsidR="00226721" w:rsidRPr="00306F4D" w:rsidRDefault="00226721" w:rsidP="510DAAAB">
      <w:pPr>
        <w:rPr>
          <w:rFonts w:ascii="Arial" w:hAnsi="Arial" w:cs="Arial"/>
          <w:sz w:val="20"/>
          <w:szCs w:val="20"/>
          <w:lang w:val="en-GB"/>
        </w:rPr>
      </w:pPr>
    </w:p>
    <w:p w14:paraId="4427705E" w14:textId="77777777" w:rsidR="009E4318" w:rsidRPr="00306F4D" w:rsidRDefault="009E4318" w:rsidP="510DAAAB">
      <w:pPr>
        <w:rPr>
          <w:rFonts w:ascii="Arial" w:hAnsi="Arial" w:cs="Arial"/>
          <w:sz w:val="20"/>
          <w:szCs w:val="20"/>
          <w:lang w:val="en-GB"/>
        </w:rPr>
      </w:pPr>
    </w:p>
    <w:p w14:paraId="54F32295" w14:textId="3E597543" w:rsidR="00DB4695" w:rsidRPr="00306F4D" w:rsidRDefault="00DB4695" w:rsidP="00DB4695">
      <w:pPr>
        <w:pStyle w:val="ListParagraph"/>
        <w:numPr>
          <w:ilvl w:val="0"/>
          <w:numId w:val="24"/>
        </w:numPr>
        <w:rPr>
          <w:rFonts w:ascii="Arial" w:hAnsi="Arial" w:cs="Arial"/>
          <w:color w:val="A6A6A6" w:themeColor="background1" w:themeShade="A6"/>
          <w:sz w:val="20"/>
          <w:szCs w:val="20"/>
          <w:lang w:val="en-GB"/>
        </w:rPr>
      </w:pPr>
      <w:r w:rsidRPr="00306F4D">
        <w:rPr>
          <w:rFonts w:ascii="Arial" w:eastAsia="Arial" w:hAnsi="Arial" w:cs="Arial"/>
          <w:color w:val="A6A6A6" w:themeColor="background1" w:themeShade="A6"/>
          <w:lang w:val="en-GB"/>
        </w:rPr>
        <w:t>Include a disbursement schedule with time-bound milestones.</w:t>
      </w:r>
    </w:p>
    <w:p w14:paraId="358CD640" w14:textId="4B2EB35E" w:rsidR="00666597" w:rsidRPr="00306F4D" w:rsidRDefault="1DEA0F86" w:rsidP="00347BDB">
      <w:pPr>
        <w:pStyle w:val="Heading2"/>
        <w:spacing w:line="276" w:lineRule="auto"/>
        <w:rPr>
          <w:rFonts w:ascii="Arial" w:eastAsia="Arial" w:hAnsi="Arial" w:cs="Arial"/>
          <w:sz w:val="20"/>
          <w:szCs w:val="20"/>
          <w:lang w:val="en-GB"/>
        </w:rPr>
      </w:pPr>
      <w:bookmarkStart w:id="213" w:name="_Toc1693526315"/>
      <w:bookmarkStart w:id="214" w:name="_Toc605180096"/>
      <w:bookmarkStart w:id="215" w:name="_Toc202165729"/>
      <w:bookmarkStart w:id="216" w:name="_Toc202893761"/>
      <w:r w:rsidRPr="00306F4D">
        <w:rPr>
          <w:rFonts w:ascii="Arial" w:eastAsia="Arial" w:hAnsi="Arial" w:cs="Arial"/>
          <w:sz w:val="20"/>
          <w:szCs w:val="20"/>
          <w:lang w:val="en-GB"/>
        </w:rPr>
        <w:t>Disbursement Schedule with Time-Bound Milestones</w:t>
      </w:r>
      <w:bookmarkEnd w:id="213"/>
      <w:bookmarkEnd w:id="214"/>
      <w:bookmarkEnd w:id="215"/>
      <w:bookmarkEnd w:id="216"/>
    </w:p>
    <w:tbl>
      <w:tblPr>
        <w:tblStyle w:val="TableGrid"/>
        <w:tblW w:w="0" w:type="auto"/>
        <w:tblLook w:val="04A0" w:firstRow="1" w:lastRow="0" w:firstColumn="1" w:lastColumn="0" w:noHBand="0" w:noVBand="1"/>
      </w:tblPr>
      <w:tblGrid>
        <w:gridCol w:w="1749"/>
        <w:gridCol w:w="1567"/>
        <w:gridCol w:w="1697"/>
        <w:gridCol w:w="1697"/>
        <w:gridCol w:w="1555"/>
        <w:gridCol w:w="1697"/>
      </w:tblGrid>
      <w:tr w:rsidR="00A04BE2" w:rsidRPr="00306F4D" w14:paraId="6FC56C6B" w14:textId="77777777" w:rsidTr="0031164B">
        <w:trPr>
          <w:trHeight w:val="345"/>
        </w:trPr>
        <w:tc>
          <w:tcPr>
            <w:tcW w:w="1749" w:type="dxa"/>
            <w:shd w:val="clear" w:color="auto" w:fill="FBE4D5" w:themeFill="accent2" w:themeFillTint="33"/>
            <w:hideMark/>
          </w:tcPr>
          <w:p w14:paraId="0145DF08" w14:textId="77777777" w:rsidR="00A04BE2" w:rsidRPr="00306F4D" w:rsidRDefault="00A04BE2" w:rsidP="00A04BE2">
            <w:pPr>
              <w:pStyle w:val="Footer"/>
              <w:rPr>
                <w:b/>
              </w:rPr>
            </w:pPr>
            <w:r w:rsidRPr="00306F4D">
              <w:rPr>
                <w:b/>
              </w:rPr>
              <w:t> </w:t>
            </w:r>
          </w:p>
        </w:tc>
        <w:tc>
          <w:tcPr>
            <w:tcW w:w="1567" w:type="dxa"/>
            <w:shd w:val="clear" w:color="auto" w:fill="FBE4D5" w:themeFill="accent2" w:themeFillTint="33"/>
            <w:hideMark/>
          </w:tcPr>
          <w:p w14:paraId="7089D41A" w14:textId="77777777" w:rsidR="00A04BE2" w:rsidRPr="00306F4D" w:rsidRDefault="00A04BE2" w:rsidP="00A04BE2">
            <w:pPr>
              <w:pStyle w:val="Footer"/>
              <w:rPr>
                <w:b/>
              </w:rPr>
            </w:pPr>
            <w:r w:rsidRPr="00306F4D">
              <w:rPr>
                <w:b/>
              </w:rPr>
              <w:t>Upon Agreement signature</w:t>
            </w:r>
          </w:p>
        </w:tc>
        <w:tc>
          <w:tcPr>
            <w:tcW w:w="1697" w:type="dxa"/>
            <w:shd w:val="clear" w:color="auto" w:fill="FBE4D5" w:themeFill="accent2" w:themeFillTint="33"/>
            <w:hideMark/>
          </w:tcPr>
          <w:p w14:paraId="729ACB00" w14:textId="50839168" w:rsidR="00A04BE2" w:rsidRPr="00306F4D" w:rsidRDefault="00A04BE2" w:rsidP="00A04BE2">
            <w:pPr>
              <w:pStyle w:val="Footer"/>
              <w:rPr>
                <w:b/>
              </w:rPr>
            </w:pPr>
            <w:r w:rsidRPr="00306F4D">
              <w:rPr>
                <w:b/>
              </w:rPr>
              <w:t>One Year after Project Start</w:t>
            </w:r>
          </w:p>
        </w:tc>
        <w:tc>
          <w:tcPr>
            <w:tcW w:w="1697" w:type="dxa"/>
            <w:shd w:val="clear" w:color="auto" w:fill="FBE4D5" w:themeFill="accent2" w:themeFillTint="33"/>
            <w:hideMark/>
          </w:tcPr>
          <w:p w14:paraId="376AB769" w14:textId="166AB573" w:rsidR="00A04BE2" w:rsidRPr="00306F4D" w:rsidRDefault="00A04BE2" w:rsidP="00A04BE2">
            <w:pPr>
              <w:pStyle w:val="Footer"/>
              <w:rPr>
                <w:b/>
              </w:rPr>
            </w:pPr>
            <w:r w:rsidRPr="00306F4D">
              <w:rPr>
                <w:b/>
              </w:rPr>
              <w:t>Year 2</w:t>
            </w:r>
          </w:p>
        </w:tc>
        <w:tc>
          <w:tcPr>
            <w:tcW w:w="1555" w:type="dxa"/>
            <w:shd w:val="clear" w:color="auto" w:fill="FBE4D5" w:themeFill="accent2" w:themeFillTint="33"/>
            <w:hideMark/>
          </w:tcPr>
          <w:p w14:paraId="140B0D17" w14:textId="77777777" w:rsidR="00A04BE2" w:rsidRPr="00306F4D" w:rsidRDefault="00A04BE2" w:rsidP="00A04BE2">
            <w:pPr>
              <w:pStyle w:val="Footer"/>
              <w:rPr>
                <w:b/>
              </w:rPr>
            </w:pPr>
            <w:r w:rsidRPr="00306F4D">
              <w:rPr>
                <w:b/>
              </w:rPr>
              <w:t>Year 3</w:t>
            </w:r>
          </w:p>
        </w:tc>
        <w:tc>
          <w:tcPr>
            <w:tcW w:w="1697" w:type="dxa"/>
            <w:shd w:val="clear" w:color="auto" w:fill="FBE4D5" w:themeFill="accent2" w:themeFillTint="33"/>
            <w:hideMark/>
          </w:tcPr>
          <w:p w14:paraId="0701EBF3" w14:textId="77777777" w:rsidR="00A04BE2" w:rsidRPr="00306F4D" w:rsidRDefault="00A04BE2" w:rsidP="00A04BE2">
            <w:pPr>
              <w:pStyle w:val="Footer"/>
              <w:rPr>
                <w:b/>
              </w:rPr>
            </w:pPr>
            <w:r w:rsidRPr="00306F4D">
              <w:rPr>
                <w:b/>
              </w:rPr>
              <w:t>Total</w:t>
            </w:r>
          </w:p>
        </w:tc>
      </w:tr>
      <w:tr w:rsidR="00080C4E" w:rsidRPr="00306F4D" w14:paraId="54C9B700" w14:textId="77777777" w:rsidTr="0031164B">
        <w:trPr>
          <w:trHeight w:val="330"/>
        </w:trPr>
        <w:tc>
          <w:tcPr>
            <w:tcW w:w="1749" w:type="dxa"/>
            <w:hideMark/>
          </w:tcPr>
          <w:p w14:paraId="03DD25FB" w14:textId="77777777" w:rsidR="00080C4E" w:rsidRPr="00306F4D" w:rsidRDefault="00080C4E" w:rsidP="00080C4E">
            <w:pPr>
              <w:pStyle w:val="Footer"/>
              <w:rPr>
                <w:b/>
              </w:rPr>
            </w:pPr>
            <w:r w:rsidRPr="00306F4D">
              <w:rPr>
                <w:b/>
              </w:rPr>
              <w:t>Scheduled Date</w:t>
            </w:r>
          </w:p>
        </w:tc>
        <w:tc>
          <w:tcPr>
            <w:tcW w:w="1567" w:type="dxa"/>
            <w:hideMark/>
          </w:tcPr>
          <w:p w14:paraId="5606D13E" w14:textId="3C28F022" w:rsidR="00080C4E" w:rsidRPr="00306F4D" w:rsidRDefault="00080C4E" w:rsidP="00080C4E">
            <w:pPr>
              <w:pStyle w:val="Footer"/>
            </w:pPr>
            <w:r w:rsidRPr="00306F4D">
              <w:t>4/1/2026</w:t>
            </w:r>
          </w:p>
        </w:tc>
        <w:tc>
          <w:tcPr>
            <w:tcW w:w="1697" w:type="dxa"/>
            <w:hideMark/>
          </w:tcPr>
          <w:p w14:paraId="5E96272A" w14:textId="1D94DD99" w:rsidR="00080C4E" w:rsidRPr="00306F4D" w:rsidRDefault="00080C4E" w:rsidP="00080C4E">
            <w:pPr>
              <w:pStyle w:val="Footer"/>
            </w:pPr>
            <w:r w:rsidRPr="00306F4D">
              <w:t>4/1/2027</w:t>
            </w:r>
          </w:p>
        </w:tc>
        <w:tc>
          <w:tcPr>
            <w:tcW w:w="1697" w:type="dxa"/>
            <w:hideMark/>
          </w:tcPr>
          <w:p w14:paraId="416968D3" w14:textId="48E4E599" w:rsidR="00080C4E" w:rsidRPr="00306F4D" w:rsidRDefault="00080C4E" w:rsidP="00080C4E">
            <w:pPr>
              <w:pStyle w:val="Footer"/>
            </w:pPr>
            <w:r w:rsidRPr="00306F4D">
              <w:t>4/1/2028</w:t>
            </w:r>
          </w:p>
        </w:tc>
        <w:tc>
          <w:tcPr>
            <w:tcW w:w="1555" w:type="dxa"/>
            <w:hideMark/>
          </w:tcPr>
          <w:p w14:paraId="03E73615" w14:textId="5B778D02" w:rsidR="00080C4E" w:rsidRPr="00306F4D" w:rsidRDefault="00080C4E" w:rsidP="00080C4E">
            <w:pPr>
              <w:pStyle w:val="Footer"/>
            </w:pPr>
            <w:r w:rsidRPr="00306F4D">
              <w:t>4/1/2029</w:t>
            </w:r>
          </w:p>
        </w:tc>
        <w:tc>
          <w:tcPr>
            <w:tcW w:w="1697" w:type="dxa"/>
            <w:hideMark/>
          </w:tcPr>
          <w:p w14:paraId="5812656C" w14:textId="1469639D" w:rsidR="00080C4E" w:rsidRPr="00306F4D" w:rsidRDefault="00080C4E" w:rsidP="00080C4E">
            <w:pPr>
              <w:pStyle w:val="Footer"/>
            </w:pPr>
          </w:p>
        </w:tc>
      </w:tr>
      <w:tr w:rsidR="003A78D7" w:rsidRPr="00306F4D" w14:paraId="1DE59C1F" w14:textId="77777777" w:rsidTr="0031164B">
        <w:trPr>
          <w:trHeight w:val="315"/>
        </w:trPr>
        <w:tc>
          <w:tcPr>
            <w:tcW w:w="1749" w:type="dxa"/>
            <w:hideMark/>
          </w:tcPr>
          <w:p w14:paraId="597E61E0" w14:textId="77777777" w:rsidR="003A78D7" w:rsidRPr="00306F4D" w:rsidRDefault="003A78D7" w:rsidP="003A78D7">
            <w:pPr>
              <w:pStyle w:val="Footer"/>
              <w:rPr>
                <w:b/>
              </w:rPr>
            </w:pPr>
            <w:r w:rsidRPr="00306F4D">
              <w:rPr>
                <w:b/>
              </w:rPr>
              <w:t>Project Funds</w:t>
            </w:r>
          </w:p>
        </w:tc>
        <w:tc>
          <w:tcPr>
            <w:tcW w:w="1567" w:type="dxa"/>
            <w:hideMark/>
          </w:tcPr>
          <w:p w14:paraId="607DB746" w14:textId="653A8610" w:rsidR="003A78D7" w:rsidRPr="00306F4D" w:rsidRDefault="003A78D7" w:rsidP="003A78D7">
            <w:pPr>
              <w:pStyle w:val="Footer"/>
            </w:pPr>
            <w:r w:rsidRPr="00306F4D">
              <w:t>642,089</w:t>
            </w:r>
          </w:p>
        </w:tc>
        <w:tc>
          <w:tcPr>
            <w:tcW w:w="1697" w:type="dxa"/>
            <w:hideMark/>
          </w:tcPr>
          <w:p w14:paraId="51ECDDA8" w14:textId="5D9D2952" w:rsidR="003A78D7" w:rsidRPr="00306F4D" w:rsidRDefault="003A78D7" w:rsidP="003A78D7">
            <w:pPr>
              <w:pStyle w:val="Footer"/>
            </w:pPr>
            <w:r w:rsidRPr="00306F4D">
              <w:t>2,256,544</w:t>
            </w:r>
          </w:p>
        </w:tc>
        <w:tc>
          <w:tcPr>
            <w:tcW w:w="1697" w:type="dxa"/>
            <w:hideMark/>
          </w:tcPr>
          <w:p w14:paraId="07005F16" w14:textId="4F05C46F" w:rsidR="003A78D7" w:rsidRPr="00306F4D" w:rsidRDefault="003A78D7" w:rsidP="003A78D7">
            <w:pPr>
              <w:pStyle w:val="Footer"/>
            </w:pPr>
            <w:r w:rsidRPr="00306F4D">
              <w:t>1,211,951</w:t>
            </w:r>
          </w:p>
        </w:tc>
        <w:tc>
          <w:tcPr>
            <w:tcW w:w="1555" w:type="dxa"/>
            <w:hideMark/>
          </w:tcPr>
          <w:p w14:paraId="344C756E" w14:textId="5E1B908D" w:rsidR="003A78D7" w:rsidRPr="00306F4D" w:rsidRDefault="003A78D7" w:rsidP="003A78D7">
            <w:pPr>
              <w:pStyle w:val="Footer"/>
            </w:pPr>
            <w:r w:rsidRPr="00306F4D">
              <w:t>434,871</w:t>
            </w:r>
          </w:p>
        </w:tc>
        <w:tc>
          <w:tcPr>
            <w:tcW w:w="1697" w:type="dxa"/>
            <w:hideMark/>
          </w:tcPr>
          <w:p w14:paraId="7441DDC4" w14:textId="3F7402D1" w:rsidR="003A78D7" w:rsidRPr="00306F4D" w:rsidRDefault="003A78D7" w:rsidP="003A78D7">
            <w:pPr>
              <w:pStyle w:val="Footer"/>
            </w:pPr>
            <w:r w:rsidRPr="00306F4D">
              <w:t xml:space="preserve"> 4,545,455 </w:t>
            </w:r>
          </w:p>
        </w:tc>
      </w:tr>
      <w:tr w:rsidR="00A54885" w:rsidRPr="00306F4D" w14:paraId="6DC90EB3" w14:textId="77777777" w:rsidTr="0031164B">
        <w:trPr>
          <w:trHeight w:val="315"/>
        </w:trPr>
        <w:tc>
          <w:tcPr>
            <w:tcW w:w="1749" w:type="dxa"/>
            <w:hideMark/>
          </w:tcPr>
          <w:p w14:paraId="0CA304BE" w14:textId="77777777" w:rsidR="00A54885" w:rsidRPr="00306F4D" w:rsidRDefault="00A54885" w:rsidP="00A54885">
            <w:pPr>
              <w:pStyle w:val="Footer"/>
              <w:rPr>
                <w:b/>
              </w:rPr>
            </w:pPr>
            <w:r w:rsidRPr="00306F4D">
              <w:rPr>
                <w:b/>
              </w:rPr>
              <w:t>Implementing Entity Fees</w:t>
            </w:r>
          </w:p>
        </w:tc>
        <w:tc>
          <w:tcPr>
            <w:tcW w:w="1567" w:type="dxa"/>
            <w:hideMark/>
          </w:tcPr>
          <w:p w14:paraId="64F99854" w14:textId="78173E5C" w:rsidR="00A54885" w:rsidRPr="00306F4D" w:rsidRDefault="00A54885" w:rsidP="00A54885">
            <w:pPr>
              <w:pStyle w:val="Footer"/>
            </w:pPr>
            <w:r w:rsidRPr="002A5C22">
              <w:t xml:space="preserve">220,344 </w:t>
            </w:r>
          </w:p>
        </w:tc>
        <w:tc>
          <w:tcPr>
            <w:tcW w:w="1697" w:type="dxa"/>
            <w:hideMark/>
          </w:tcPr>
          <w:p w14:paraId="5655CE44" w14:textId="226822B3" w:rsidR="00A54885" w:rsidRPr="00306F4D" w:rsidRDefault="00A54885" w:rsidP="00A54885">
            <w:pPr>
              <w:pStyle w:val="Footer"/>
            </w:pPr>
            <w:r w:rsidRPr="002A5C22">
              <w:t xml:space="preserve">135,392 </w:t>
            </w:r>
          </w:p>
        </w:tc>
        <w:tc>
          <w:tcPr>
            <w:tcW w:w="1697" w:type="dxa"/>
            <w:hideMark/>
          </w:tcPr>
          <w:p w14:paraId="34D6FB4B" w14:textId="784B4694" w:rsidR="00A54885" w:rsidRPr="00306F4D" w:rsidRDefault="00A54885" w:rsidP="00A54885">
            <w:pPr>
              <w:pStyle w:val="Footer"/>
            </w:pPr>
            <w:r w:rsidRPr="002A5C22">
              <w:t>72,717</w:t>
            </w:r>
          </w:p>
        </w:tc>
        <w:tc>
          <w:tcPr>
            <w:tcW w:w="1555" w:type="dxa"/>
            <w:hideMark/>
          </w:tcPr>
          <w:p w14:paraId="36733800" w14:textId="728F8B55" w:rsidR="00A54885" w:rsidRPr="00306F4D" w:rsidRDefault="00A54885" w:rsidP="00A54885">
            <w:pPr>
              <w:pStyle w:val="Footer"/>
            </w:pPr>
            <w:r w:rsidRPr="002A5C22">
              <w:t>26,092</w:t>
            </w:r>
          </w:p>
        </w:tc>
        <w:tc>
          <w:tcPr>
            <w:tcW w:w="1697" w:type="dxa"/>
            <w:hideMark/>
          </w:tcPr>
          <w:p w14:paraId="7D3823F9" w14:textId="5BC67EE3" w:rsidR="00A54885" w:rsidRPr="00306F4D" w:rsidRDefault="00A54885" w:rsidP="00A54885">
            <w:pPr>
              <w:pStyle w:val="Footer"/>
            </w:pPr>
            <w:r w:rsidRPr="00306F4D">
              <w:t xml:space="preserve"> 454,545 </w:t>
            </w:r>
          </w:p>
        </w:tc>
      </w:tr>
      <w:tr w:rsidR="007943AB" w:rsidRPr="00306F4D" w14:paraId="1D87771B" w14:textId="77777777" w:rsidTr="0031164B">
        <w:trPr>
          <w:trHeight w:val="315"/>
        </w:trPr>
        <w:tc>
          <w:tcPr>
            <w:tcW w:w="1749" w:type="dxa"/>
            <w:hideMark/>
          </w:tcPr>
          <w:p w14:paraId="5545E3FC" w14:textId="59DE9663" w:rsidR="007943AB" w:rsidRPr="00306F4D" w:rsidRDefault="007943AB" w:rsidP="007943AB">
            <w:pPr>
              <w:pStyle w:val="Footer"/>
              <w:rPr>
                <w:b/>
              </w:rPr>
            </w:pPr>
            <w:r w:rsidRPr="00306F4D">
              <w:rPr>
                <w:b/>
              </w:rPr>
              <w:t xml:space="preserve">Total </w:t>
            </w:r>
          </w:p>
        </w:tc>
        <w:tc>
          <w:tcPr>
            <w:tcW w:w="1567" w:type="dxa"/>
            <w:hideMark/>
          </w:tcPr>
          <w:p w14:paraId="7548173B" w14:textId="10E9468B" w:rsidR="007943AB" w:rsidRPr="007943AB" w:rsidRDefault="007943AB" w:rsidP="007943AB">
            <w:pPr>
              <w:pStyle w:val="Footer"/>
              <w:rPr>
                <w:b/>
                <w:bCs/>
              </w:rPr>
            </w:pPr>
            <w:r w:rsidRPr="007943AB">
              <w:rPr>
                <w:b/>
                <w:bCs/>
              </w:rPr>
              <w:t xml:space="preserve"> 862,433 </w:t>
            </w:r>
          </w:p>
        </w:tc>
        <w:tc>
          <w:tcPr>
            <w:tcW w:w="1697" w:type="dxa"/>
            <w:hideMark/>
          </w:tcPr>
          <w:p w14:paraId="69B026B8" w14:textId="0D534288" w:rsidR="007943AB" w:rsidRPr="007943AB" w:rsidRDefault="007943AB" w:rsidP="007943AB">
            <w:pPr>
              <w:pStyle w:val="Footer"/>
              <w:rPr>
                <w:b/>
                <w:bCs/>
              </w:rPr>
            </w:pPr>
            <w:r w:rsidRPr="007943AB">
              <w:rPr>
                <w:b/>
                <w:bCs/>
              </w:rPr>
              <w:t xml:space="preserve"> </w:t>
            </w:r>
            <w:r w:rsidRPr="00C21C8E">
              <w:rPr>
                <w:b/>
                <w:bCs/>
              </w:rPr>
              <w:t>2,</w:t>
            </w:r>
            <w:r w:rsidR="00796617" w:rsidRPr="00C21C8E">
              <w:rPr>
                <w:b/>
                <w:bCs/>
              </w:rPr>
              <w:t>391,936</w:t>
            </w:r>
            <w:r w:rsidRPr="007943AB">
              <w:rPr>
                <w:b/>
                <w:bCs/>
              </w:rPr>
              <w:t xml:space="preserve"> </w:t>
            </w:r>
          </w:p>
        </w:tc>
        <w:tc>
          <w:tcPr>
            <w:tcW w:w="1697" w:type="dxa"/>
            <w:hideMark/>
          </w:tcPr>
          <w:p w14:paraId="25CA5D74" w14:textId="629B6B6F" w:rsidR="007943AB" w:rsidRPr="007943AB" w:rsidRDefault="007943AB" w:rsidP="007943AB">
            <w:pPr>
              <w:pStyle w:val="Footer"/>
              <w:rPr>
                <w:b/>
                <w:bCs/>
              </w:rPr>
            </w:pPr>
            <w:r w:rsidRPr="007943AB">
              <w:rPr>
                <w:b/>
                <w:bCs/>
              </w:rPr>
              <w:t xml:space="preserve"> 1,284,668 </w:t>
            </w:r>
          </w:p>
        </w:tc>
        <w:tc>
          <w:tcPr>
            <w:tcW w:w="1555" w:type="dxa"/>
            <w:hideMark/>
          </w:tcPr>
          <w:p w14:paraId="5F6FE13D" w14:textId="57D7A228" w:rsidR="007943AB" w:rsidRPr="007943AB" w:rsidRDefault="007943AB" w:rsidP="007943AB">
            <w:pPr>
              <w:pStyle w:val="Footer"/>
              <w:rPr>
                <w:b/>
                <w:bCs/>
              </w:rPr>
            </w:pPr>
            <w:r w:rsidRPr="007943AB">
              <w:rPr>
                <w:b/>
                <w:bCs/>
              </w:rPr>
              <w:t xml:space="preserve"> 460,963 </w:t>
            </w:r>
          </w:p>
        </w:tc>
        <w:tc>
          <w:tcPr>
            <w:tcW w:w="1697" w:type="dxa"/>
            <w:hideMark/>
          </w:tcPr>
          <w:p w14:paraId="6220C08B" w14:textId="575BD5D4" w:rsidR="007943AB" w:rsidRPr="00306F4D" w:rsidRDefault="007943AB" w:rsidP="007943AB">
            <w:pPr>
              <w:pStyle w:val="Footer"/>
              <w:rPr>
                <w:b/>
                <w:bCs/>
              </w:rPr>
            </w:pPr>
            <w:r w:rsidRPr="00306F4D">
              <w:rPr>
                <w:b/>
              </w:rPr>
              <w:t xml:space="preserve"> 5,000,000</w:t>
            </w:r>
            <w:r w:rsidRPr="00306F4D">
              <w:rPr>
                <w:b/>
                <w:bCs/>
              </w:rPr>
              <w:t xml:space="preserve"> </w:t>
            </w:r>
          </w:p>
        </w:tc>
      </w:tr>
    </w:tbl>
    <w:p w14:paraId="3BAED085" w14:textId="77777777" w:rsidR="004E2500" w:rsidRPr="00306F4D" w:rsidRDefault="004E2500" w:rsidP="004E2500">
      <w:pPr>
        <w:pStyle w:val="Footer"/>
        <w:rPr>
          <w:lang w:val="en-GB"/>
        </w:rPr>
      </w:pPr>
    </w:p>
    <w:p w14:paraId="4C67695C" w14:textId="77777777" w:rsidR="004E2500" w:rsidRPr="00796617" w:rsidRDefault="004E2500" w:rsidP="004E2500">
      <w:pPr>
        <w:pStyle w:val="Footer"/>
      </w:pPr>
    </w:p>
    <w:p w14:paraId="25D19505" w14:textId="5459433F" w:rsidR="004E2500" w:rsidRPr="00306F4D" w:rsidRDefault="004E2500" w:rsidP="005D403C">
      <w:pPr>
        <w:pStyle w:val="Footer"/>
        <w:rPr>
          <w:rFonts w:ascii="Arial" w:hAnsi="Arial" w:cs="Arial"/>
          <w:b/>
          <w:bCs/>
          <w:lang w:val="en-GB"/>
        </w:rPr>
      </w:pPr>
    </w:p>
    <w:p w14:paraId="124440BB" w14:textId="77777777" w:rsidR="005D4FD3" w:rsidRPr="00306F4D" w:rsidRDefault="005D4FD3">
      <w:pPr>
        <w:rPr>
          <w:lang w:val="en-GB"/>
        </w:rPr>
        <w:sectPr w:rsidR="005D4FD3" w:rsidRPr="00306F4D" w:rsidSect="002D21DC">
          <w:pgSz w:w="12240" w:h="15840"/>
          <w:pgMar w:top="737" w:right="1134" w:bottom="1134" w:left="1134" w:header="726" w:footer="1038" w:gutter="0"/>
          <w:cols w:space="720"/>
          <w:docGrid w:linePitch="299"/>
        </w:sectPr>
      </w:pPr>
    </w:p>
    <w:p w14:paraId="0CF6E202" w14:textId="744EB170" w:rsidR="00DB4695" w:rsidRPr="00306F4D" w:rsidRDefault="00DB4695">
      <w:pPr>
        <w:rPr>
          <w:lang w:val="en-GB"/>
        </w:rPr>
      </w:pPr>
    </w:p>
    <w:p w14:paraId="54E9F76C" w14:textId="1D7FB45C" w:rsidR="12712766" w:rsidRPr="00306F4D" w:rsidRDefault="12712766" w:rsidP="00DB4695">
      <w:pPr>
        <w:ind w:left="-1134"/>
      </w:pPr>
      <w:r w:rsidRPr="00306F4D">
        <w:rPr>
          <w:noProof/>
        </w:rPr>
        <mc:AlternateContent>
          <mc:Choice Requires="wpg">
            <w:drawing>
              <wp:inline distT="0" distB="0" distL="0" distR="0" wp14:anchorId="0F7D9DC2" wp14:editId="114FB39C">
                <wp:extent cx="7932420" cy="688340"/>
                <wp:effectExtent l="0" t="0" r="0" b="0"/>
                <wp:docPr id="2088332091" name="Group 1"/>
                <wp:cNvGraphicFramePr/>
                <a:graphic xmlns:a="http://schemas.openxmlformats.org/drawingml/2006/main">
                  <a:graphicData uri="http://schemas.microsoft.com/office/word/2010/wordprocessingGroup">
                    <wpg:wgp>
                      <wpg:cNvGrpSpPr/>
                      <wpg:grpSpPr>
                        <a:xfrm>
                          <a:off x="0" y="0"/>
                          <a:ext cx="7932420" cy="688340"/>
                          <a:chOff x="0" y="0"/>
                          <a:chExt cx="6677025" cy="573765"/>
                        </a:xfrm>
                      </wpg:grpSpPr>
                      <pic:pic xmlns:pic="http://schemas.openxmlformats.org/drawingml/2006/picture">
                        <pic:nvPicPr>
                          <pic:cNvPr id="1269470340" name="Picture 1269470340" descr="Rectangle: Rounded Corners 23, Shape"/>
                          <pic:cNvPicPr>
                            <a:picLocks noChangeAspect="1"/>
                          </pic:cNvPicPr>
                        </pic:nvPicPr>
                        <pic:blipFill>
                          <a:blip r:embed="rId70"/>
                          <a:stretch>
                            <a:fillRect/>
                          </a:stretch>
                        </pic:blipFill>
                        <pic:spPr>
                          <a:xfrm>
                            <a:off x="0" y="0"/>
                            <a:ext cx="6677025" cy="522952"/>
                          </a:xfrm>
                          <a:prstGeom prst="rect">
                            <a:avLst/>
                          </a:prstGeom>
                        </pic:spPr>
                      </pic:pic>
                      <wps:wsp>
                        <wps:cNvPr id="1354824941" name="Rectangle 1354824941"/>
                        <wps:cNvSpPr/>
                        <wps:spPr>
                          <a:xfrm>
                            <a:off x="506099" y="101861"/>
                            <a:ext cx="5858500" cy="471904"/>
                          </a:xfrm>
                          <a:prstGeom prst="rect">
                            <a:avLst/>
                          </a:prstGeom>
                          <a:noFill/>
                          <a:ln>
                            <a:noFill/>
                          </a:ln>
                        </wps:spPr>
                        <wps:txbx>
                          <w:txbxContent>
                            <w:p w14:paraId="2919642C" w14:textId="77777777" w:rsidR="005B37F5" w:rsidRDefault="005B37F5" w:rsidP="005B37F5">
                              <w:pPr>
                                <w:rPr>
                                  <w:rFonts w:ascii="Arial" w:hAnsi="Arial" w:cs="Arial"/>
                                  <w:b/>
                                  <w:bCs/>
                                </w:rPr>
                              </w:pPr>
                              <w:r>
                                <w:rPr>
                                  <w:rFonts w:ascii="Arial" w:hAnsi="Arial" w:cs="Arial"/>
                                  <w:b/>
                                  <w:bCs/>
                                </w:rPr>
                                <w:t xml:space="preserve">PART IV: ENDORSEMENT BY GOVERNMENTS AND CERTIFICATION BY THE IMPLEMENTING ENTITY </w:t>
                              </w:r>
                            </w:p>
                          </w:txbxContent>
                        </wps:txbx>
                        <wps:bodyPr anchor="t"/>
                      </wps:wsp>
                    </wpg:wgp>
                  </a:graphicData>
                </a:graphic>
              </wp:inline>
            </w:drawing>
          </mc:Choice>
          <mc:Fallback>
            <w:pict>
              <v:group w14:anchorId="0F7D9DC2" id="_x0000_s1034" style="width:624.6pt;height:54.2pt;mso-position-horizontal-relative:char;mso-position-vertical-relative:line" coordsize="66770,5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">
                <v:shape id="Picture 1269470340" o:spid="_x0000_s1035" type="#_x0000_t75" alt="Rectangle: Rounded Corners 23, Shape" style="position:absolute;width:66770;height:5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">
                  <v:imagedata r:id="rId71" o:title=" Rounded Corners 23, Shape"/>
                </v:shape>
                <v:rect id="Rectangle 1354824941" o:spid="_x0000_s1036" style="position:absolute;left:5060;top:1018;width:58585;height:4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" filled="f" stroked="f">
                  <v:textbox>
                    <w:txbxContent>
                      <w:p w14:paraId="2919642C" w14:textId="77777777" w:rsidR="005B37F5" w:rsidRDefault="005B37F5" w:rsidP="005B37F5">
                        <w:pPr>
                          <w:rPr>
                            <w:rFonts w:ascii="Arial" w:hAnsi="Arial" w:cs="Arial"/>
                            <w:b/>
                            <w:bCs/>
                          </w:rPr>
                        </w:pPr>
                        <w:r>
                          <w:rPr>
                            <w:rFonts w:ascii="Arial" w:hAnsi="Arial" w:cs="Arial"/>
                            <w:b/>
                            <w:bCs/>
                          </w:rPr>
                          <w:t xml:space="preserve">PART IV: ENDORSEMENT BY GOVERNMENTS AND CERTIFICATION BY THE IMPLEMENTING ENTITY </w:t>
                        </w:r>
                      </w:p>
                    </w:txbxContent>
                  </v:textbox>
                </v:rect>
                <w10:anchorlock/>
              </v:group>
            </w:pict>
          </mc:Fallback>
        </mc:AlternateContent>
      </w:r>
    </w:p>
    <w:p w14:paraId="1DDBD37E" w14:textId="644CD935" w:rsidR="0BFF9074" w:rsidRPr="00306F4D" w:rsidRDefault="0BFF9074" w:rsidP="338C5E83">
      <w:pPr>
        <w:pStyle w:val="Heading1"/>
      </w:pPr>
      <w:bookmarkStart w:id="217" w:name="_Toc202893762"/>
      <w:r w:rsidRPr="00306F4D">
        <w:rPr>
          <w:lang w:val="en-GB"/>
        </w:rPr>
        <w:t>PART IV: ENDORSEMENT BY GOVERNMENTS AND CERTIFICATION BY THE IMPLEMENTING ENTITY</w:t>
      </w:r>
      <w:bookmarkEnd w:id="217"/>
    </w:p>
    <w:p w14:paraId="715C5DF9" w14:textId="3EAA9FA0" w:rsidR="338C5E83" w:rsidRPr="00306F4D" w:rsidRDefault="338C5E83" w:rsidP="338C5E83">
      <w:pPr>
        <w:pStyle w:val="BodyText"/>
        <w:spacing w:line="276" w:lineRule="auto"/>
        <w:rPr>
          <w:sz w:val="20"/>
          <w:szCs w:val="20"/>
          <w:lang w:val="en-GB"/>
        </w:rPr>
      </w:pPr>
    </w:p>
    <w:p w14:paraId="6EA04F64" w14:textId="66A10E18" w:rsidR="00F04FEE" w:rsidRPr="00306F4D" w:rsidRDefault="26A1A7A8" w:rsidP="00FC2E4E">
      <w:pPr>
        <w:numPr>
          <w:ilvl w:val="0"/>
          <w:numId w:val="22"/>
        </w:numPr>
        <w:spacing w:after="0" w:line="276" w:lineRule="auto"/>
        <w:rPr>
          <w:rFonts w:ascii="Arial" w:eastAsia="Arial" w:hAnsi="Arial" w:cs="Arial"/>
          <w:b/>
          <w:sz w:val="20"/>
          <w:szCs w:val="20"/>
          <w:lang w:val="en-GB"/>
        </w:rPr>
      </w:pPr>
      <w:r w:rsidRPr="00306F4D">
        <w:rPr>
          <w:rFonts w:ascii="Arial" w:eastAsia="Arial" w:hAnsi="Arial" w:cs="Arial"/>
          <w:b/>
          <w:bCs/>
          <w:sz w:val="20"/>
          <w:szCs w:val="20"/>
          <w:lang w:val="en-GB"/>
        </w:rPr>
        <w:t xml:space="preserve">Record of endorsement on behalf of the </w:t>
      </w:r>
      <w:r w:rsidR="2F0FDB05" w:rsidRPr="00306F4D">
        <w:rPr>
          <w:rFonts w:ascii="Arial" w:eastAsia="Arial" w:hAnsi="Arial" w:cs="Arial"/>
          <w:b/>
          <w:bCs/>
          <w:sz w:val="20"/>
          <w:szCs w:val="20"/>
          <w:lang w:val="en-GB"/>
        </w:rPr>
        <w:t>government</w:t>
      </w:r>
      <w:r w:rsidR="00F04FEE" w:rsidRPr="00306F4D">
        <w:rPr>
          <w:rStyle w:val="FootnoteReference"/>
          <w:rFonts w:ascii="Arial" w:eastAsia="Arial" w:hAnsi="Arial" w:cs="Arial"/>
          <w:b/>
          <w:bCs/>
          <w:smallCaps/>
          <w:sz w:val="20"/>
          <w:szCs w:val="20"/>
          <w:lang w:val="en-GB"/>
        </w:rPr>
        <w:footnoteReference w:id="143"/>
      </w:r>
      <w:r w:rsidR="00F04FEE" w:rsidRPr="00306F4D">
        <w:rPr>
          <w:rFonts w:ascii="Arial" w:hAnsi="Arial" w:cs="Arial"/>
          <w:b/>
          <w:bCs/>
          <w:smallCaps/>
          <w:sz w:val="20"/>
          <w:szCs w:val="20"/>
          <w:lang w:val="en-GB"/>
        </w:rPr>
        <w:tab/>
      </w:r>
    </w:p>
    <w:p w14:paraId="47708D0A" w14:textId="77777777" w:rsidR="00531418" w:rsidRPr="00306F4D" w:rsidRDefault="00531418" w:rsidP="00531418">
      <w:pPr>
        <w:spacing w:after="0" w:line="276" w:lineRule="auto"/>
        <w:ind w:left="375"/>
        <w:rPr>
          <w:rFonts w:ascii="Arial" w:eastAsia="Arial" w:hAnsi="Arial" w:cs="Arial"/>
          <w:b/>
          <w:sz w:val="20"/>
          <w:szCs w:val="20"/>
          <w:lang w:val="en-GB"/>
        </w:rPr>
      </w:pPr>
    </w:p>
    <w:tbl>
      <w:tblPr>
        <w:tblW w:w="8882"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06"/>
        <w:gridCol w:w="2976"/>
      </w:tblGrid>
      <w:tr w:rsidR="00F04FEE" w:rsidRPr="00306F4D" w14:paraId="5DD0E0BD" w14:textId="77777777" w:rsidTr="0025418E">
        <w:trPr>
          <w:trHeight w:val="300"/>
        </w:trPr>
        <w:tc>
          <w:tcPr>
            <w:tcW w:w="5906" w:type="dxa"/>
          </w:tcPr>
          <w:p w14:paraId="70E21D8A" w14:textId="23BB3A8B" w:rsidR="00F04FEE" w:rsidRPr="00306F4D" w:rsidRDefault="19899C0D" w:rsidP="02E2BB75">
            <w:pPr>
              <w:spacing w:line="276" w:lineRule="auto"/>
              <w:rPr>
                <w:rFonts w:ascii="Arial" w:eastAsia="Arial" w:hAnsi="Arial" w:cs="Arial"/>
                <w:i/>
                <w:iCs/>
                <w:sz w:val="18"/>
                <w:szCs w:val="18"/>
                <w:lang w:val="en-GB"/>
              </w:rPr>
            </w:pPr>
            <w:r w:rsidRPr="00306F4D">
              <w:rPr>
                <w:rFonts w:ascii="Arial" w:eastAsia="Arial" w:hAnsi="Arial" w:cs="Arial"/>
                <w:i/>
                <w:iCs/>
                <w:sz w:val="18"/>
                <w:szCs w:val="18"/>
                <w:lang w:val="en-GB"/>
              </w:rPr>
              <w:t>Bosnia and Herzegovina</w:t>
            </w:r>
          </w:p>
          <w:p w14:paraId="06C076A2" w14:textId="091CE04B" w:rsidR="00F04FEE" w:rsidRPr="00306F4D" w:rsidRDefault="19899C0D" w:rsidP="02E2BB75">
            <w:pPr>
              <w:spacing w:line="276" w:lineRule="auto"/>
              <w:rPr>
                <w:rFonts w:ascii="Arial" w:eastAsia="Arial" w:hAnsi="Arial" w:cs="Arial"/>
                <w:i/>
                <w:iCs/>
                <w:sz w:val="18"/>
                <w:szCs w:val="18"/>
                <w:lang w:val="en-GB"/>
              </w:rPr>
            </w:pPr>
            <w:r w:rsidRPr="00306F4D">
              <w:rPr>
                <w:rFonts w:ascii="Arial" w:eastAsia="Arial" w:hAnsi="Arial" w:cs="Arial"/>
                <w:i/>
                <w:iCs/>
                <w:sz w:val="18"/>
                <w:szCs w:val="18"/>
                <w:lang w:val="en-GB"/>
              </w:rPr>
              <w:t xml:space="preserve">H.E Srdan </w:t>
            </w:r>
            <w:proofErr w:type="spellStart"/>
            <w:r w:rsidRPr="00306F4D">
              <w:rPr>
                <w:rFonts w:ascii="Arial" w:eastAsia="Arial" w:hAnsi="Arial" w:cs="Arial"/>
                <w:i/>
                <w:iCs/>
                <w:sz w:val="18"/>
                <w:szCs w:val="18"/>
                <w:lang w:val="en-GB"/>
              </w:rPr>
              <w:t>Admizic</w:t>
            </w:r>
            <w:proofErr w:type="spellEnd"/>
            <w:r w:rsidRPr="00306F4D">
              <w:rPr>
                <w:rFonts w:ascii="Arial" w:eastAsia="Arial" w:hAnsi="Arial" w:cs="Arial"/>
                <w:i/>
                <w:iCs/>
                <w:sz w:val="18"/>
                <w:szCs w:val="18"/>
                <w:lang w:val="en-GB"/>
              </w:rPr>
              <w:t>, Minister, Ministry of Finance and Treasury B&amp;H</w:t>
            </w:r>
          </w:p>
          <w:p w14:paraId="1712A5CB" w14:textId="6A7B652C" w:rsidR="00F04FEE" w:rsidRPr="00306F4D" w:rsidRDefault="19899C0D" w:rsidP="02E2BB75">
            <w:pPr>
              <w:spacing w:line="276" w:lineRule="auto"/>
              <w:rPr>
                <w:rFonts w:ascii="Arial" w:eastAsia="Arial" w:hAnsi="Arial" w:cs="Arial"/>
                <w:i/>
                <w:iCs/>
                <w:sz w:val="18"/>
                <w:szCs w:val="18"/>
                <w:lang w:val="en-GB"/>
              </w:rPr>
            </w:pPr>
            <w:hyperlink r:id="rId72" w:history="1">
              <w:r w:rsidRPr="00306F4D">
                <w:rPr>
                  <w:rStyle w:val="Hyperlink"/>
                  <w:i/>
                  <w:iCs/>
                  <w:sz w:val="18"/>
                  <w:szCs w:val="18"/>
                </w:rPr>
                <w:t>trezorbih@mft.gov.ba</w:t>
              </w:r>
            </w:hyperlink>
            <w:r w:rsidRPr="00306F4D">
              <w:rPr>
                <w:rFonts w:ascii="Arial" w:eastAsia="Arial" w:hAnsi="Arial" w:cs="Arial"/>
                <w:i/>
                <w:iCs/>
                <w:sz w:val="18"/>
                <w:szCs w:val="18"/>
                <w:lang w:val="en-GB"/>
              </w:rPr>
              <w:t xml:space="preserve"> </w:t>
            </w:r>
          </w:p>
        </w:tc>
        <w:tc>
          <w:tcPr>
            <w:tcW w:w="2976" w:type="dxa"/>
          </w:tcPr>
          <w:p w14:paraId="416F16F7" w14:textId="20C2DA66" w:rsidR="00F04FEE" w:rsidRPr="00306F4D" w:rsidRDefault="00F04FEE" w:rsidP="00FC2E4E">
            <w:pPr>
              <w:spacing w:line="276" w:lineRule="auto"/>
              <w:rPr>
                <w:rFonts w:ascii="Arial" w:eastAsia="Arial" w:hAnsi="Arial" w:cs="Arial"/>
                <w:sz w:val="20"/>
                <w:szCs w:val="20"/>
                <w:lang w:val="en-GB"/>
              </w:rPr>
            </w:pPr>
            <w:r w:rsidRPr="00306F4D">
              <w:rPr>
                <w:rFonts w:ascii="Arial" w:eastAsia="Arial" w:hAnsi="Arial" w:cs="Arial"/>
                <w:sz w:val="20"/>
                <w:szCs w:val="20"/>
                <w:lang w:val="en-GB"/>
              </w:rPr>
              <w:t>Date</w:t>
            </w:r>
            <w:r w:rsidRPr="00306F4D">
              <w:rPr>
                <w:rFonts w:ascii="Arial" w:eastAsia="Arial" w:hAnsi="Arial" w:cs="Arial"/>
                <w:i/>
                <w:sz w:val="20"/>
                <w:szCs w:val="20"/>
                <w:lang w:val="en-GB"/>
              </w:rPr>
              <w:t xml:space="preserve">: </w:t>
            </w:r>
            <w:r w:rsidR="005F52CC" w:rsidRPr="00306F4D">
              <w:rPr>
                <w:rFonts w:ascii="Arial" w:eastAsia="Arial" w:hAnsi="Arial" w:cs="Arial"/>
                <w:i/>
                <w:iCs/>
                <w:sz w:val="20"/>
                <w:szCs w:val="20"/>
                <w:lang w:val="en-GB"/>
              </w:rPr>
              <w:t>July 16, 2025</w:t>
            </w:r>
          </w:p>
        </w:tc>
      </w:tr>
      <w:tr w:rsidR="00F04FEE" w:rsidRPr="00306F4D" w14:paraId="0BB33372" w14:textId="77777777" w:rsidTr="0025418E">
        <w:trPr>
          <w:trHeight w:val="300"/>
        </w:trPr>
        <w:tc>
          <w:tcPr>
            <w:tcW w:w="5906" w:type="dxa"/>
          </w:tcPr>
          <w:p w14:paraId="6EF93CCC" w14:textId="0A2A88C6" w:rsidR="00F04FEE" w:rsidRPr="00306F4D" w:rsidRDefault="466269A8" w:rsidP="02E2BB75">
            <w:pPr>
              <w:spacing w:line="276" w:lineRule="auto"/>
            </w:pPr>
            <w:r w:rsidRPr="00306F4D">
              <w:rPr>
                <w:rFonts w:ascii="Arial" w:eastAsia="Arial" w:hAnsi="Arial" w:cs="Arial"/>
                <w:i/>
                <w:iCs/>
                <w:color w:val="000000" w:themeColor="text1"/>
                <w:sz w:val="18"/>
                <w:szCs w:val="18"/>
                <w:lang w:val="en-GB"/>
              </w:rPr>
              <w:t>Montenegro</w:t>
            </w:r>
          </w:p>
          <w:p w14:paraId="2AFE4BE2" w14:textId="1C81897E" w:rsidR="00F04FEE" w:rsidRPr="00306F4D" w:rsidRDefault="466269A8" w:rsidP="02E2BB75">
            <w:pPr>
              <w:spacing w:line="276" w:lineRule="auto"/>
              <w:rPr>
                <w:rFonts w:ascii="Arial" w:eastAsia="Arial" w:hAnsi="Arial" w:cs="Arial"/>
                <w:i/>
                <w:iCs/>
                <w:color w:val="000000" w:themeColor="text1"/>
                <w:sz w:val="18"/>
                <w:szCs w:val="18"/>
                <w:lang w:val="en-GB"/>
              </w:rPr>
            </w:pPr>
            <w:r w:rsidRPr="00306F4D">
              <w:rPr>
                <w:rFonts w:ascii="Arial" w:eastAsia="Arial" w:hAnsi="Arial" w:cs="Arial"/>
                <w:i/>
                <w:iCs/>
                <w:color w:val="000000" w:themeColor="text1"/>
                <w:sz w:val="18"/>
                <w:szCs w:val="18"/>
                <w:lang w:val="en-GB"/>
              </w:rPr>
              <w:t xml:space="preserve">Zoran </w:t>
            </w:r>
            <w:proofErr w:type="spellStart"/>
            <w:r w:rsidRPr="00306F4D">
              <w:rPr>
                <w:rFonts w:ascii="Arial" w:eastAsia="Arial" w:hAnsi="Arial" w:cs="Arial"/>
                <w:i/>
                <w:iCs/>
                <w:color w:val="000000" w:themeColor="text1"/>
                <w:sz w:val="18"/>
                <w:szCs w:val="18"/>
                <w:lang w:val="en-GB"/>
              </w:rPr>
              <w:t>Dabetić</w:t>
            </w:r>
            <w:proofErr w:type="spellEnd"/>
            <w:r w:rsidRPr="00306F4D">
              <w:rPr>
                <w:rFonts w:ascii="Arial" w:eastAsia="Arial" w:hAnsi="Arial" w:cs="Arial"/>
                <w:i/>
                <w:iCs/>
                <w:color w:val="000000" w:themeColor="text1"/>
                <w:sz w:val="18"/>
                <w:szCs w:val="18"/>
                <w:lang w:val="en-GB"/>
              </w:rPr>
              <w:t>, State Secretary at the Ministry of Ecology, Sustainable Development and Northern Region Development</w:t>
            </w:r>
          </w:p>
          <w:p w14:paraId="314A98CA" w14:textId="12D1C182" w:rsidR="00F04FEE" w:rsidRPr="00306F4D" w:rsidRDefault="466269A8" w:rsidP="02E2BB75">
            <w:pPr>
              <w:spacing w:line="276" w:lineRule="auto"/>
              <w:rPr>
                <w:rFonts w:ascii="Arial" w:eastAsia="Arial" w:hAnsi="Arial" w:cs="Arial"/>
                <w:i/>
                <w:iCs/>
                <w:color w:val="000000" w:themeColor="text1"/>
                <w:sz w:val="18"/>
                <w:szCs w:val="18"/>
                <w:lang w:val="en-GB"/>
              </w:rPr>
            </w:pPr>
            <w:r w:rsidRPr="00306F4D">
              <w:rPr>
                <w:rFonts w:ascii="Arial" w:eastAsia="Arial" w:hAnsi="Arial" w:cs="Arial"/>
                <w:i/>
                <w:iCs/>
                <w:color w:val="000000" w:themeColor="text1"/>
                <w:sz w:val="18"/>
                <w:szCs w:val="18"/>
                <w:lang w:val="en-GB"/>
              </w:rPr>
              <w:t xml:space="preserve"> </w:t>
            </w:r>
            <w:hyperlink r:id="rId73" w:history="1">
              <w:r w:rsidRPr="00306F4D">
                <w:rPr>
                  <w:rStyle w:val="Hyperlink"/>
                  <w:rFonts w:ascii="Arial" w:eastAsia="Arial" w:hAnsi="Arial" w:cs="Arial"/>
                  <w:sz w:val="18"/>
                  <w:szCs w:val="18"/>
                </w:rPr>
                <w:t>zoran.dabetic@mers.gov.me</w:t>
              </w:r>
            </w:hyperlink>
            <w:r w:rsidRPr="00306F4D">
              <w:rPr>
                <w:rFonts w:ascii="Arial" w:eastAsia="Arial" w:hAnsi="Arial" w:cs="Arial"/>
                <w:sz w:val="18"/>
                <w:szCs w:val="18"/>
              </w:rPr>
              <w:t xml:space="preserve"> </w:t>
            </w:r>
          </w:p>
        </w:tc>
        <w:tc>
          <w:tcPr>
            <w:tcW w:w="2976" w:type="dxa"/>
          </w:tcPr>
          <w:p w14:paraId="15D446F7" w14:textId="7115C947" w:rsidR="00F04FEE" w:rsidRPr="00306F4D" w:rsidRDefault="00AB7B39" w:rsidP="00FC2E4E">
            <w:pPr>
              <w:spacing w:line="276" w:lineRule="auto"/>
              <w:rPr>
                <w:rFonts w:ascii="Arial" w:eastAsia="Arial" w:hAnsi="Arial" w:cs="Arial"/>
                <w:sz w:val="20"/>
                <w:szCs w:val="20"/>
                <w:lang w:val="en-GB"/>
              </w:rPr>
            </w:pPr>
            <w:r w:rsidRPr="00306F4D">
              <w:rPr>
                <w:rFonts w:ascii="Arial" w:eastAsia="Arial" w:hAnsi="Arial" w:cs="Arial"/>
                <w:sz w:val="20"/>
                <w:szCs w:val="20"/>
                <w:lang w:val="en-GB"/>
              </w:rPr>
              <w:t>Date</w:t>
            </w:r>
            <w:r w:rsidRPr="00306F4D">
              <w:rPr>
                <w:rFonts w:ascii="Arial" w:eastAsia="Arial" w:hAnsi="Arial" w:cs="Arial"/>
                <w:i/>
                <w:sz w:val="20"/>
                <w:szCs w:val="20"/>
                <w:lang w:val="en-GB"/>
              </w:rPr>
              <w:t xml:space="preserve">: </w:t>
            </w:r>
            <w:r w:rsidRPr="00306F4D">
              <w:rPr>
                <w:rFonts w:ascii="Arial" w:eastAsia="Arial" w:hAnsi="Arial" w:cs="Arial"/>
                <w:i/>
                <w:iCs/>
                <w:sz w:val="20"/>
                <w:szCs w:val="20"/>
                <w:lang w:val="en-GB"/>
              </w:rPr>
              <w:t xml:space="preserve">July 16, </w:t>
            </w:r>
            <w:proofErr w:type="gramStart"/>
            <w:r w:rsidRPr="00306F4D">
              <w:rPr>
                <w:rFonts w:ascii="Arial" w:eastAsia="Arial" w:hAnsi="Arial" w:cs="Arial"/>
                <w:i/>
                <w:iCs/>
                <w:sz w:val="20"/>
                <w:szCs w:val="20"/>
                <w:lang w:val="en-GB"/>
              </w:rPr>
              <w:t>2025</w:t>
            </w:r>
            <w:proofErr w:type="gramEnd"/>
            <w:r w:rsidRPr="00306F4D">
              <w:rPr>
                <w:rFonts w:ascii="Arial" w:eastAsia="Arial" w:hAnsi="Arial" w:cs="Arial"/>
                <w:i/>
                <w:iCs/>
                <w:sz w:val="20"/>
                <w:szCs w:val="20"/>
                <w:lang w:val="en-GB"/>
              </w:rPr>
              <w:t xml:space="preserve"> </w:t>
            </w:r>
          </w:p>
        </w:tc>
      </w:tr>
      <w:tr w:rsidR="00F04FEE" w:rsidRPr="00306F4D" w14:paraId="1F10E43D" w14:textId="77777777" w:rsidTr="0025418E">
        <w:trPr>
          <w:trHeight w:val="300"/>
        </w:trPr>
        <w:tc>
          <w:tcPr>
            <w:tcW w:w="5906" w:type="dxa"/>
          </w:tcPr>
          <w:p w14:paraId="634053B8" w14:textId="58F4B159" w:rsidR="00F04FEE" w:rsidRPr="00306F4D" w:rsidRDefault="4CEB4719" w:rsidP="02E2BB75">
            <w:pPr>
              <w:spacing w:line="276" w:lineRule="auto"/>
              <w:rPr>
                <w:rFonts w:ascii="Arial" w:eastAsia="Arial" w:hAnsi="Arial" w:cs="Arial"/>
                <w:i/>
                <w:iCs/>
                <w:sz w:val="18"/>
                <w:szCs w:val="18"/>
                <w:lang w:val="en-GB"/>
              </w:rPr>
            </w:pPr>
            <w:r w:rsidRPr="00306F4D">
              <w:rPr>
                <w:rFonts w:ascii="Arial" w:eastAsia="Arial" w:hAnsi="Arial" w:cs="Arial"/>
                <w:i/>
                <w:iCs/>
                <w:sz w:val="18"/>
                <w:szCs w:val="18"/>
                <w:lang w:val="en-GB"/>
              </w:rPr>
              <w:t xml:space="preserve">North Macedonia </w:t>
            </w:r>
          </w:p>
          <w:p w14:paraId="27B3A81E" w14:textId="2BCD2F26" w:rsidR="00F04FEE" w:rsidRPr="00306F4D" w:rsidRDefault="4CEB4719" w:rsidP="00FC2E4E">
            <w:pPr>
              <w:spacing w:line="276" w:lineRule="auto"/>
            </w:pPr>
            <w:r w:rsidRPr="00306F4D">
              <w:rPr>
                <w:rFonts w:ascii="Arial" w:eastAsia="Arial" w:hAnsi="Arial" w:cs="Arial"/>
                <w:i/>
                <w:iCs/>
                <w:sz w:val="18"/>
                <w:szCs w:val="18"/>
                <w:lang w:val="en-GB"/>
              </w:rPr>
              <w:t xml:space="preserve">H.E. Mr. Izet </w:t>
            </w:r>
            <w:proofErr w:type="spellStart"/>
            <w:r w:rsidRPr="00306F4D">
              <w:rPr>
                <w:rFonts w:ascii="Arial" w:eastAsia="Arial" w:hAnsi="Arial" w:cs="Arial"/>
                <w:i/>
                <w:iCs/>
                <w:sz w:val="18"/>
                <w:szCs w:val="18"/>
                <w:lang w:val="en-GB"/>
              </w:rPr>
              <w:t>Mexhiti</w:t>
            </w:r>
            <w:proofErr w:type="spellEnd"/>
            <w:r w:rsidR="40CEB34A" w:rsidRPr="00306F4D">
              <w:br/>
            </w:r>
            <w:r w:rsidRPr="00306F4D">
              <w:rPr>
                <w:rFonts w:ascii="Arial" w:eastAsia="Arial" w:hAnsi="Arial" w:cs="Arial"/>
                <w:i/>
                <w:iCs/>
                <w:sz w:val="18"/>
                <w:szCs w:val="18"/>
                <w:lang w:val="en-GB"/>
              </w:rPr>
              <w:t>Deputy Prime Minister and Minister</w:t>
            </w:r>
            <w:r w:rsidR="40CEB34A" w:rsidRPr="00306F4D">
              <w:br/>
            </w:r>
            <w:r w:rsidRPr="00306F4D">
              <w:rPr>
                <w:rFonts w:ascii="Arial" w:eastAsia="Arial" w:hAnsi="Arial" w:cs="Arial"/>
                <w:i/>
                <w:iCs/>
                <w:sz w:val="18"/>
                <w:szCs w:val="18"/>
                <w:lang w:val="en-GB"/>
              </w:rPr>
              <w:t>Ministry of Environment and Physical Planning</w:t>
            </w:r>
          </w:p>
          <w:p w14:paraId="74C95B5A" w14:textId="247B3C5F" w:rsidR="00F04FEE" w:rsidRPr="00306F4D" w:rsidRDefault="4CEB4719" w:rsidP="02E2BB75">
            <w:pPr>
              <w:spacing w:line="276" w:lineRule="auto"/>
              <w:rPr>
                <w:rFonts w:ascii="Arial" w:eastAsia="Arial" w:hAnsi="Arial" w:cs="Arial"/>
                <w:i/>
                <w:iCs/>
                <w:sz w:val="18"/>
                <w:szCs w:val="18"/>
                <w:lang w:val="en-GB"/>
              </w:rPr>
            </w:pPr>
            <w:hyperlink r:id="rId74" w:history="1">
              <w:r w:rsidRPr="00306F4D">
                <w:rPr>
                  <w:rStyle w:val="Hyperlink"/>
                  <w:rFonts w:ascii="Arial" w:eastAsia="Arial" w:hAnsi="Arial" w:cs="Arial"/>
                  <w:sz w:val="20"/>
                  <w:szCs w:val="20"/>
                  <w:lang w:val="en-GB"/>
                </w:rPr>
                <w:t>i.mexhiti@moepp.gov.mk</w:t>
              </w:r>
            </w:hyperlink>
          </w:p>
        </w:tc>
        <w:tc>
          <w:tcPr>
            <w:tcW w:w="2976" w:type="dxa"/>
          </w:tcPr>
          <w:p w14:paraId="6BC27BB6" w14:textId="69BCF626" w:rsidR="00F04FEE" w:rsidRPr="00306F4D" w:rsidRDefault="77EC1206" w:rsidP="02E2BB75">
            <w:pPr>
              <w:spacing w:line="276" w:lineRule="auto"/>
              <w:rPr>
                <w:rFonts w:ascii="Arial" w:hAnsi="Arial" w:cs="Arial"/>
                <w:i/>
                <w:iCs/>
                <w:sz w:val="20"/>
                <w:szCs w:val="20"/>
                <w:lang w:val="en-GB"/>
              </w:rPr>
            </w:pPr>
            <w:r w:rsidRPr="00306F4D">
              <w:rPr>
                <w:rFonts w:ascii="Arial" w:eastAsia="Arial" w:hAnsi="Arial" w:cs="Arial"/>
                <w:sz w:val="20"/>
                <w:szCs w:val="20"/>
                <w:lang w:val="en-GB"/>
              </w:rPr>
              <w:t>Date</w:t>
            </w:r>
            <w:r w:rsidRPr="00306F4D">
              <w:rPr>
                <w:rFonts w:ascii="Arial" w:eastAsia="Arial" w:hAnsi="Arial" w:cs="Arial"/>
                <w:i/>
                <w:iCs/>
                <w:sz w:val="20"/>
                <w:szCs w:val="20"/>
                <w:lang w:val="en-GB"/>
              </w:rPr>
              <w:t>:</w:t>
            </w:r>
            <w:r w:rsidR="7FF584FE" w:rsidRPr="00306F4D">
              <w:rPr>
                <w:rFonts w:ascii="Arial" w:eastAsia="Arial" w:hAnsi="Arial" w:cs="Arial"/>
                <w:i/>
                <w:iCs/>
                <w:sz w:val="20"/>
                <w:szCs w:val="20"/>
                <w:lang w:val="en-GB"/>
              </w:rPr>
              <w:t xml:space="preserve"> July 4, </w:t>
            </w:r>
            <w:proofErr w:type="gramStart"/>
            <w:r w:rsidR="7FF584FE" w:rsidRPr="00306F4D">
              <w:rPr>
                <w:rFonts w:ascii="Arial" w:eastAsia="Arial" w:hAnsi="Arial" w:cs="Arial"/>
                <w:i/>
                <w:iCs/>
                <w:sz w:val="20"/>
                <w:szCs w:val="20"/>
                <w:lang w:val="en-GB"/>
              </w:rPr>
              <w:t>2025</w:t>
            </w:r>
            <w:proofErr w:type="gramEnd"/>
            <w:r w:rsidRPr="00306F4D">
              <w:rPr>
                <w:rFonts w:ascii="Arial" w:eastAsia="Arial" w:hAnsi="Arial" w:cs="Arial"/>
                <w:i/>
                <w:iCs/>
                <w:sz w:val="20"/>
                <w:szCs w:val="20"/>
                <w:lang w:val="en-GB"/>
              </w:rPr>
              <w:t xml:space="preserve"> </w:t>
            </w:r>
          </w:p>
        </w:tc>
      </w:tr>
      <w:tr w:rsidR="4186447D" w:rsidRPr="00306F4D" w14:paraId="303BBBF8" w14:textId="77777777" w:rsidTr="0025418E">
        <w:trPr>
          <w:trHeight w:val="300"/>
        </w:trPr>
        <w:tc>
          <w:tcPr>
            <w:tcW w:w="5906" w:type="dxa"/>
          </w:tcPr>
          <w:p w14:paraId="099485B2" w14:textId="3F3F8DAB" w:rsidR="6D82145A" w:rsidRPr="00306F4D" w:rsidRDefault="6D82145A" w:rsidP="02E2BB75">
            <w:pPr>
              <w:rPr>
                <w:rFonts w:ascii="Arial" w:eastAsia="Arial" w:hAnsi="Arial" w:cs="Arial"/>
                <w:i/>
                <w:iCs/>
                <w:sz w:val="18"/>
                <w:szCs w:val="18"/>
                <w:lang w:val="en-GB"/>
              </w:rPr>
            </w:pPr>
            <w:r w:rsidRPr="00306F4D">
              <w:rPr>
                <w:rFonts w:ascii="Arial" w:eastAsia="Arial" w:hAnsi="Arial" w:cs="Arial"/>
                <w:i/>
                <w:iCs/>
                <w:sz w:val="18"/>
                <w:szCs w:val="18"/>
                <w:lang w:val="en-GB"/>
              </w:rPr>
              <w:t>Serbia</w:t>
            </w:r>
          </w:p>
          <w:p w14:paraId="6928AB98" w14:textId="1808AE73" w:rsidR="4186447D" w:rsidRPr="00306F4D" w:rsidRDefault="31386888" w:rsidP="00A40523">
            <w:pPr>
              <w:rPr>
                <w:rFonts w:ascii="Arial" w:eastAsia="Arial" w:hAnsi="Arial" w:cs="Arial"/>
                <w:i/>
                <w:iCs/>
                <w:sz w:val="18"/>
                <w:szCs w:val="18"/>
                <w:lang w:val="en-GB"/>
              </w:rPr>
            </w:pPr>
            <w:r w:rsidRPr="00306F4D">
              <w:rPr>
                <w:rFonts w:ascii="Arial" w:eastAsia="Arial" w:hAnsi="Arial" w:cs="Arial"/>
                <w:i/>
                <w:iCs/>
                <w:sz w:val="18"/>
                <w:szCs w:val="18"/>
                <w:lang w:val="en-GB"/>
              </w:rPr>
              <w:t xml:space="preserve">H.E </w:t>
            </w:r>
            <w:r w:rsidR="532FE31F" w:rsidRPr="00306F4D">
              <w:rPr>
                <w:rFonts w:ascii="Arial" w:eastAsia="Arial" w:hAnsi="Arial" w:cs="Arial"/>
                <w:i/>
                <w:iCs/>
                <w:sz w:val="18"/>
                <w:szCs w:val="18"/>
                <w:lang w:val="en-GB"/>
              </w:rPr>
              <w:t>Sara Pavkov, Minister, Ministry of Environmental Protection, Serbia</w:t>
            </w:r>
          </w:p>
        </w:tc>
        <w:tc>
          <w:tcPr>
            <w:tcW w:w="2976" w:type="dxa"/>
          </w:tcPr>
          <w:p w14:paraId="2FBB9064" w14:textId="4A845730" w:rsidR="4186447D" w:rsidRPr="00306F4D" w:rsidRDefault="4186447D" w:rsidP="4186447D">
            <w:pPr>
              <w:spacing w:line="276" w:lineRule="auto"/>
              <w:rPr>
                <w:rFonts w:ascii="Arial" w:eastAsia="Arial" w:hAnsi="Arial" w:cs="Arial"/>
                <w:sz w:val="20"/>
                <w:szCs w:val="20"/>
                <w:lang w:val="en-GB"/>
              </w:rPr>
            </w:pPr>
            <w:r w:rsidRPr="00306F4D">
              <w:rPr>
                <w:rFonts w:ascii="Arial" w:eastAsia="Arial" w:hAnsi="Arial" w:cs="Arial"/>
                <w:sz w:val="20"/>
                <w:szCs w:val="20"/>
                <w:lang w:val="en-GB"/>
              </w:rPr>
              <w:t>Date</w:t>
            </w:r>
            <w:r w:rsidRPr="00306F4D">
              <w:rPr>
                <w:rFonts w:ascii="Arial" w:eastAsia="Arial" w:hAnsi="Arial" w:cs="Arial"/>
                <w:i/>
                <w:iCs/>
                <w:sz w:val="20"/>
                <w:szCs w:val="20"/>
                <w:lang w:val="en-GB"/>
              </w:rPr>
              <w:t xml:space="preserve">: </w:t>
            </w:r>
            <w:r w:rsidR="00BA149B" w:rsidRPr="00306F4D">
              <w:rPr>
                <w:rFonts w:ascii="Arial" w:hAnsi="Arial" w:cs="Arial"/>
                <w:i/>
                <w:iCs/>
                <w:sz w:val="20"/>
                <w:szCs w:val="20"/>
                <w:lang w:val="en-GB"/>
              </w:rPr>
              <w:t>June 26, 2025</w:t>
            </w:r>
          </w:p>
        </w:tc>
      </w:tr>
    </w:tbl>
    <w:p w14:paraId="2ABD450F" w14:textId="25829967" w:rsidR="00F04FEE" w:rsidRPr="00306F4D" w:rsidRDefault="00F04FEE" w:rsidP="00FC2E4E">
      <w:pPr>
        <w:spacing w:line="276" w:lineRule="auto"/>
        <w:rPr>
          <w:rFonts w:ascii="Arial" w:eastAsia="Arial" w:hAnsi="Arial" w:cs="Arial"/>
          <w:sz w:val="20"/>
          <w:szCs w:val="20"/>
          <w:lang w:val="en-GB"/>
        </w:rPr>
      </w:pPr>
      <w:r w:rsidRPr="00306F4D">
        <w:rPr>
          <w:rFonts w:ascii="Arial" w:eastAsia="Arial" w:hAnsi="Arial" w:cs="Arial"/>
          <w:sz w:val="20"/>
          <w:szCs w:val="20"/>
          <w:lang w:val="en-GB"/>
        </w:rPr>
        <w:t xml:space="preserve">      </w:t>
      </w:r>
    </w:p>
    <w:p w14:paraId="37F526AD" w14:textId="4E3230ED" w:rsidR="00F04FEE" w:rsidRPr="00306F4D" w:rsidRDefault="7DEC9DEC" w:rsidP="338C5E83">
      <w:pPr>
        <w:spacing w:after="80" w:line="276" w:lineRule="auto"/>
        <w:rPr>
          <w:rFonts w:ascii="Arial" w:eastAsia="Arial" w:hAnsi="Arial" w:cs="Arial"/>
          <w:b/>
          <w:bCs/>
          <w:sz w:val="20"/>
          <w:szCs w:val="20"/>
          <w:lang w:val="en-GB"/>
        </w:rPr>
      </w:pPr>
      <w:r w:rsidRPr="00306F4D">
        <w:rPr>
          <w:rFonts w:ascii="Arial" w:eastAsia="Arial" w:hAnsi="Arial" w:cs="Arial"/>
          <w:b/>
          <w:bCs/>
          <w:smallCaps/>
          <w:sz w:val="20"/>
          <w:szCs w:val="20"/>
          <w:lang w:val="en-GB"/>
        </w:rPr>
        <w:t xml:space="preserve">B.  </w:t>
      </w:r>
      <w:r w:rsidRPr="00306F4D">
        <w:rPr>
          <w:rStyle w:val="Heading2Char"/>
          <w:rFonts w:ascii="Arial" w:eastAsia="Arial" w:hAnsi="Arial" w:cs="Arial"/>
          <w:sz w:val="20"/>
          <w:szCs w:val="20"/>
          <w:lang w:val="en-GB"/>
        </w:rPr>
        <w:t xml:space="preserve"> Implementing Entity certification</w:t>
      </w:r>
      <w:r w:rsidR="00F04FEE" w:rsidRPr="00306F4D">
        <w:tab/>
      </w:r>
    </w:p>
    <w:p w14:paraId="3A0F11DD" w14:textId="3082DAB7" w:rsidR="00F04FEE" w:rsidRPr="00306F4D" w:rsidRDefault="7DEC9DEC" w:rsidP="338C5E83">
      <w:pPr>
        <w:spacing w:after="80" w:line="276" w:lineRule="auto"/>
        <w:rPr>
          <w:rFonts w:ascii="Arial" w:eastAsia="Arial" w:hAnsi="Arial" w:cs="Arial"/>
          <w:b/>
          <w:bCs/>
          <w:smallCaps/>
          <w:sz w:val="20"/>
          <w:szCs w:val="20"/>
          <w:lang w:val="en-GB"/>
        </w:rPr>
      </w:pPr>
      <w:r w:rsidRPr="00306F4D">
        <w:rPr>
          <w:rFonts w:ascii="Arial" w:eastAsia="Arial" w:hAnsi="Arial" w:cs="Arial"/>
          <w:i/>
          <w:iCs/>
          <w:sz w:val="20"/>
          <w:szCs w:val="20"/>
          <w:lang w:val="en-GB"/>
        </w:rPr>
        <w:t>Provide the name and signature of the Implementing Entity Coordinator and the date of signature. Provide also the project/programme contact person’s name, telephone number and email address</w:t>
      </w:r>
      <w:r w:rsidR="00F04FEE" w:rsidRPr="00306F4D">
        <w:tab/>
      </w:r>
      <w:r w:rsidR="00F04FEE" w:rsidRPr="00306F4D">
        <w:tab/>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24"/>
        <w:gridCol w:w="4784"/>
      </w:tblGrid>
      <w:tr w:rsidR="00F04FEE" w:rsidRPr="00306F4D" w14:paraId="2F808A9F" w14:textId="77777777" w:rsidTr="0025418E">
        <w:trPr>
          <w:cantSplit/>
        </w:trPr>
        <w:tc>
          <w:tcPr>
            <w:tcW w:w="9108" w:type="dxa"/>
            <w:gridSpan w:val="2"/>
          </w:tcPr>
          <w:p w14:paraId="6F2D14B6" w14:textId="5E6D32A5" w:rsidR="00F04FEE" w:rsidRPr="00306F4D" w:rsidRDefault="77EC1206" w:rsidP="00FC2E4E">
            <w:pPr>
              <w:spacing w:line="276" w:lineRule="auto"/>
              <w:rPr>
                <w:rFonts w:ascii="Arial" w:eastAsia="Arial" w:hAnsi="Arial" w:cs="Arial"/>
                <w:sz w:val="20"/>
                <w:szCs w:val="20"/>
                <w:lang w:val="en-GB"/>
              </w:rPr>
            </w:pPr>
            <w:r w:rsidRPr="00306F4D">
              <w:rPr>
                <w:rFonts w:ascii="Arial" w:eastAsia="Arial" w:hAnsi="Arial" w:cs="Arial"/>
                <w:sz w:val="20"/>
                <w:szCs w:val="20"/>
                <w:lang w:val="en-GB"/>
              </w:rPr>
              <w:lastRenderedPageBreak/>
              <w:t xml:space="preserve">I certify that this proposal has been prepared in accordance with guidelines provided by the Adaptation Fund Board, and prevailing National Development and Adaptation Plans </w:t>
            </w:r>
            <w:r w:rsidR="72A05D0E" w:rsidRPr="00306F4D">
              <w:rPr>
                <w:rFonts w:ascii="Arial" w:hAnsi="Arial" w:cs="Arial"/>
                <w:sz w:val="20"/>
                <w:szCs w:val="20"/>
                <w:lang w:val="en-GB"/>
              </w:rPr>
              <w:t>(including National Communications to the UNFCCC, national adaptation strategies and plans, disaster risk reduction strategies and action plans etc.</w:t>
            </w:r>
            <w:r w:rsidRPr="00306F4D">
              <w:rPr>
                <w:rFonts w:ascii="Arial" w:eastAsia="Arial" w:hAnsi="Arial" w:cs="Arial"/>
                <w:sz w:val="20"/>
                <w:szCs w:val="20"/>
                <w:lang w:val="en-GB"/>
              </w:rPr>
              <w:t xml:space="preserve">) and subject to the approval by the Adaptation Fund Board, </w:t>
            </w:r>
            <w:r w:rsidRPr="00306F4D">
              <w:rPr>
                <w:rFonts w:ascii="Arial" w:eastAsia="Arial" w:hAnsi="Arial" w:cs="Arial"/>
                <w:sz w:val="20"/>
                <w:szCs w:val="20"/>
                <w:u w:val="single"/>
                <w:lang w:val="en-GB"/>
              </w:rPr>
              <w:t>commit to implementing the project/programme in compliance with the Environmental and Social Policy of the Adaptation Fund</w:t>
            </w:r>
            <w:r w:rsidRPr="00306F4D">
              <w:rPr>
                <w:rFonts w:ascii="Arial" w:eastAsia="Arial" w:hAnsi="Arial" w:cs="Arial"/>
                <w:sz w:val="20"/>
                <w:szCs w:val="20"/>
                <w:lang w:val="en-GB"/>
              </w:rPr>
              <w:t xml:space="preserve"> and on the understanding that the Implementing Entity will be fully (legally and financially) responsible for the implementation of this project/programme. </w:t>
            </w:r>
          </w:p>
        </w:tc>
      </w:tr>
      <w:tr w:rsidR="00F04FEE" w:rsidRPr="00306F4D" w14:paraId="69BFF6B7" w14:textId="77777777" w:rsidTr="0025418E">
        <w:trPr>
          <w:trHeight w:val="764"/>
        </w:trPr>
        <w:tc>
          <w:tcPr>
            <w:tcW w:w="9108" w:type="dxa"/>
            <w:gridSpan w:val="2"/>
          </w:tcPr>
          <w:p w14:paraId="0C8A8282" w14:textId="77777777" w:rsidR="0043072A" w:rsidRPr="00306F4D" w:rsidRDefault="322223E8" w:rsidP="02E2BB75">
            <w:pPr>
              <w:pStyle w:val="TableParagraph"/>
              <w:spacing w:line="276" w:lineRule="auto"/>
              <w:ind w:left="0"/>
              <w:rPr>
                <w:sz w:val="20"/>
                <w:szCs w:val="20"/>
              </w:rPr>
            </w:pPr>
            <w:r w:rsidRPr="00306F4D">
              <w:rPr>
                <w:sz w:val="20"/>
                <w:szCs w:val="20"/>
              </w:rPr>
              <w:t xml:space="preserve">Nancy Bennet </w:t>
            </w:r>
          </w:p>
          <w:p w14:paraId="523131B4" w14:textId="22BB752A" w:rsidR="00DC2FD1" w:rsidRPr="00306F4D" w:rsidRDefault="322223E8" w:rsidP="02E2BB75">
            <w:pPr>
              <w:pStyle w:val="TableParagraph"/>
              <w:spacing w:line="276" w:lineRule="auto"/>
              <w:ind w:left="0"/>
              <w:rPr>
                <w:sz w:val="20"/>
                <w:szCs w:val="20"/>
              </w:rPr>
            </w:pPr>
            <w:r w:rsidRPr="00306F4D">
              <w:rPr>
                <w:sz w:val="20"/>
                <w:szCs w:val="20"/>
              </w:rPr>
              <w:t xml:space="preserve">Executive Coordinator, </w:t>
            </w:r>
          </w:p>
          <w:p w14:paraId="444CBAE7" w14:textId="77777777" w:rsidR="00DC2FD1" w:rsidRPr="00306F4D" w:rsidRDefault="345D344A" w:rsidP="02E2BB75">
            <w:pPr>
              <w:pStyle w:val="TableParagraph"/>
              <w:spacing w:line="276" w:lineRule="auto"/>
              <w:ind w:left="0"/>
              <w:rPr>
                <w:sz w:val="20"/>
                <w:szCs w:val="20"/>
              </w:rPr>
            </w:pPr>
            <w:r w:rsidRPr="00306F4D">
              <w:rPr>
                <w:sz w:val="20"/>
                <w:szCs w:val="20"/>
              </w:rPr>
              <w:t xml:space="preserve">Vertical Fund Programme Support, Oversight and Compliance Unit </w:t>
            </w:r>
          </w:p>
          <w:p w14:paraId="4EAB1B11" w14:textId="77777777" w:rsidR="00DC2FD1" w:rsidRPr="00306F4D" w:rsidRDefault="345D344A" w:rsidP="02E2BB75">
            <w:pPr>
              <w:pStyle w:val="TableParagraph"/>
              <w:spacing w:line="276" w:lineRule="auto"/>
              <w:ind w:left="0"/>
              <w:rPr>
                <w:sz w:val="20"/>
                <w:szCs w:val="20"/>
              </w:rPr>
            </w:pPr>
            <w:r w:rsidRPr="00306F4D">
              <w:rPr>
                <w:sz w:val="20"/>
                <w:szCs w:val="20"/>
              </w:rPr>
              <w:t xml:space="preserve">Bureau for Policy and Programme Support </w:t>
            </w:r>
          </w:p>
          <w:p w14:paraId="153A2B47" w14:textId="77777777" w:rsidR="00DC2FD1" w:rsidRPr="00306F4D" w:rsidRDefault="345D344A" w:rsidP="02E2BB75">
            <w:pPr>
              <w:pStyle w:val="TableParagraph"/>
              <w:spacing w:line="276" w:lineRule="auto"/>
              <w:ind w:left="0"/>
              <w:rPr>
                <w:sz w:val="20"/>
                <w:szCs w:val="20"/>
              </w:rPr>
            </w:pPr>
            <w:r w:rsidRPr="00306F4D">
              <w:rPr>
                <w:sz w:val="20"/>
                <w:szCs w:val="20"/>
              </w:rPr>
              <w:t>United Nations Development Programme</w:t>
            </w:r>
          </w:p>
          <w:p w14:paraId="6042B83F" w14:textId="77777777" w:rsidR="003B5D91" w:rsidRPr="00306F4D" w:rsidRDefault="003B5D91" w:rsidP="00FC2E4E">
            <w:pPr>
              <w:spacing w:line="276" w:lineRule="auto"/>
              <w:rPr>
                <w:rFonts w:ascii="Arial" w:eastAsia="Arial" w:hAnsi="Arial" w:cs="Arial"/>
                <w:i/>
                <w:sz w:val="20"/>
                <w:szCs w:val="20"/>
                <w:lang w:val="en-GB"/>
              </w:rPr>
            </w:pPr>
          </w:p>
          <w:p w14:paraId="2FAF0E2F" w14:textId="1520DA4F" w:rsidR="00F04FEE" w:rsidRPr="00306F4D" w:rsidRDefault="5AC7EEE4" w:rsidP="338C5E83">
            <w:pPr>
              <w:spacing w:line="276" w:lineRule="auto"/>
              <w:rPr>
                <w:rFonts w:ascii="Arial" w:eastAsia="Arial" w:hAnsi="Arial" w:cs="Arial"/>
                <w:sz w:val="20"/>
                <w:szCs w:val="20"/>
                <w:lang w:val="en-GB"/>
              </w:rPr>
            </w:pPr>
            <w:r w:rsidRPr="00306F4D">
              <w:rPr>
                <w:rFonts w:ascii="Arial" w:eastAsia="Arial" w:hAnsi="Arial" w:cs="Arial"/>
                <w:sz w:val="20"/>
                <w:szCs w:val="20"/>
                <w:lang w:val="en-GB"/>
              </w:rPr>
              <w:t>Implementing Entity Coordinator</w:t>
            </w:r>
          </w:p>
        </w:tc>
      </w:tr>
      <w:tr w:rsidR="00F04FEE" w:rsidRPr="00306F4D" w14:paraId="712066D0" w14:textId="77777777" w:rsidTr="0025418E">
        <w:tc>
          <w:tcPr>
            <w:tcW w:w="4324" w:type="dxa"/>
          </w:tcPr>
          <w:p w14:paraId="0468BBED" w14:textId="77777777" w:rsidR="00F04FEE" w:rsidRPr="00306F4D" w:rsidRDefault="00F04FEE" w:rsidP="00FC2E4E">
            <w:pPr>
              <w:spacing w:line="276" w:lineRule="auto"/>
              <w:rPr>
                <w:rFonts w:ascii="Arial" w:eastAsia="Arial" w:hAnsi="Arial" w:cs="Arial"/>
                <w:sz w:val="20"/>
                <w:szCs w:val="20"/>
                <w:lang w:val="en-GB"/>
              </w:rPr>
            </w:pPr>
            <w:r w:rsidRPr="00306F4D">
              <w:rPr>
                <w:rFonts w:ascii="Arial" w:eastAsia="Arial" w:hAnsi="Arial" w:cs="Arial"/>
                <w:sz w:val="20"/>
                <w:szCs w:val="20"/>
                <w:lang w:val="en-GB"/>
              </w:rPr>
              <w:t xml:space="preserve">Date: </w:t>
            </w:r>
            <w:r w:rsidRPr="00306F4D">
              <w:rPr>
                <w:rFonts w:ascii="Arial" w:hAnsi="Arial" w:cs="Arial"/>
                <w:i/>
                <w:sz w:val="20"/>
                <w:szCs w:val="20"/>
                <w:lang w:val="en-GB"/>
              </w:rPr>
              <w:fldChar w:fldCharType="begin">
                <w:ffData>
                  <w:name w:val="Text34"/>
                  <w:enabled/>
                  <w:calcOnExit w:val="0"/>
                  <w:helpText w:type="text" w:val="Date of approval."/>
                  <w:statusText w:type="text" w:val="Date of approval."/>
                  <w:textInput>
                    <w:default w:val="(Month, Day, Year)"/>
                  </w:textInput>
                </w:ffData>
              </w:fldChar>
            </w:r>
            <w:r w:rsidRPr="00306F4D">
              <w:rPr>
                <w:rFonts w:ascii="Arial" w:hAnsi="Arial" w:cs="Arial"/>
                <w:i/>
                <w:sz w:val="20"/>
                <w:szCs w:val="20"/>
                <w:lang w:val="en-GB"/>
              </w:rPr>
              <w:instrText xml:space="preserve"> FORMTEXT </w:instrText>
            </w:r>
            <w:r w:rsidRPr="00306F4D">
              <w:rPr>
                <w:rFonts w:ascii="Arial" w:hAnsi="Arial" w:cs="Arial"/>
                <w:i/>
                <w:sz w:val="20"/>
                <w:szCs w:val="20"/>
                <w:lang w:val="en-GB"/>
              </w:rPr>
            </w:r>
            <w:r w:rsidRPr="00306F4D">
              <w:rPr>
                <w:rFonts w:ascii="Arial" w:hAnsi="Arial" w:cs="Arial"/>
                <w:i/>
                <w:sz w:val="20"/>
                <w:szCs w:val="20"/>
                <w:lang w:val="en-GB"/>
              </w:rPr>
              <w:fldChar w:fldCharType="separate"/>
            </w:r>
            <w:r w:rsidRPr="00306F4D">
              <w:rPr>
                <w:rFonts w:ascii="Arial" w:hAnsi="Arial" w:cs="Arial"/>
                <w:i/>
                <w:sz w:val="20"/>
                <w:szCs w:val="20"/>
                <w:lang w:val="en-GB"/>
              </w:rPr>
              <w:t>(Month, Day, Year)</w:t>
            </w:r>
            <w:r w:rsidRPr="00306F4D">
              <w:rPr>
                <w:rFonts w:ascii="Arial" w:hAnsi="Arial" w:cs="Arial"/>
                <w:i/>
                <w:sz w:val="20"/>
                <w:szCs w:val="20"/>
                <w:lang w:val="en-GB"/>
              </w:rPr>
              <w:fldChar w:fldCharType="end"/>
            </w:r>
          </w:p>
        </w:tc>
        <w:tc>
          <w:tcPr>
            <w:tcW w:w="4784" w:type="dxa"/>
          </w:tcPr>
          <w:p w14:paraId="40FE26B9" w14:textId="2868B1C7" w:rsidR="00F04FEE" w:rsidRPr="00306F4D" w:rsidRDefault="77EC1206" w:rsidP="00FC2E4E">
            <w:pPr>
              <w:spacing w:line="276" w:lineRule="auto"/>
              <w:rPr>
                <w:rFonts w:ascii="Arial" w:eastAsia="Arial" w:hAnsi="Arial" w:cs="Arial"/>
                <w:sz w:val="20"/>
                <w:szCs w:val="20"/>
                <w:lang w:val="en-GB"/>
              </w:rPr>
            </w:pPr>
            <w:r w:rsidRPr="00306F4D">
              <w:rPr>
                <w:rFonts w:ascii="Arial" w:eastAsia="Arial" w:hAnsi="Arial" w:cs="Arial"/>
                <w:sz w:val="20"/>
                <w:szCs w:val="20"/>
                <w:lang w:val="en-GB"/>
              </w:rPr>
              <w:t>Tel. and email</w:t>
            </w:r>
            <w:r w:rsidR="79CC22E1" w:rsidRPr="00306F4D">
              <w:rPr>
                <w:rFonts w:ascii="Arial" w:eastAsia="Arial" w:hAnsi="Arial" w:cs="Arial"/>
                <w:sz w:val="20"/>
                <w:szCs w:val="20"/>
                <w:lang w:val="en-GB"/>
              </w:rPr>
              <w:t>:</w:t>
            </w:r>
            <w:r w:rsidR="282BB80A" w:rsidRPr="00306F4D">
              <w:rPr>
                <w:rFonts w:ascii="Arial" w:eastAsia="Arial" w:hAnsi="Arial" w:cs="Arial"/>
                <w:sz w:val="20"/>
                <w:szCs w:val="20"/>
                <w:lang w:val="en-GB"/>
              </w:rPr>
              <w:t xml:space="preserve"> </w:t>
            </w:r>
            <w:r w:rsidR="79CC22E1" w:rsidRPr="00306F4D">
              <w:rPr>
                <w:rFonts w:ascii="Arial" w:hAnsi="Arial" w:cs="Arial"/>
                <w:sz w:val="20"/>
                <w:szCs w:val="20"/>
                <w:lang w:val="en-GB"/>
              </w:rPr>
              <w:t>Nancy.Ben</w:t>
            </w:r>
            <w:r w:rsidR="1CDA5B55" w:rsidRPr="00306F4D">
              <w:rPr>
                <w:rFonts w:ascii="Arial" w:hAnsi="Arial" w:cs="Arial"/>
                <w:sz w:val="20"/>
                <w:szCs w:val="20"/>
                <w:lang w:val="en-GB"/>
              </w:rPr>
              <w:t>n</w:t>
            </w:r>
            <w:r w:rsidR="79CC22E1" w:rsidRPr="00306F4D">
              <w:rPr>
                <w:rFonts w:ascii="Arial" w:hAnsi="Arial" w:cs="Arial"/>
                <w:sz w:val="20"/>
                <w:szCs w:val="20"/>
                <w:lang w:val="en-GB"/>
              </w:rPr>
              <w:t xml:space="preserve">et@undp.org </w:t>
            </w:r>
          </w:p>
        </w:tc>
      </w:tr>
      <w:tr w:rsidR="00F04FEE" w:rsidRPr="00306F4D" w14:paraId="5F0874F3" w14:textId="77777777" w:rsidTr="0025418E">
        <w:trPr>
          <w:trHeight w:val="255"/>
        </w:trPr>
        <w:tc>
          <w:tcPr>
            <w:tcW w:w="9108" w:type="dxa"/>
            <w:gridSpan w:val="2"/>
          </w:tcPr>
          <w:p w14:paraId="03153114" w14:textId="208385E1" w:rsidR="00F04FEE" w:rsidRPr="00306F4D" w:rsidRDefault="5AC7EEE4" w:rsidP="00FC2E4E">
            <w:pPr>
              <w:spacing w:line="276" w:lineRule="auto"/>
              <w:rPr>
                <w:rFonts w:ascii="Arial" w:eastAsia="Arial" w:hAnsi="Arial" w:cs="Arial"/>
                <w:sz w:val="20"/>
                <w:szCs w:val="20"/>
                <w:lang w:val="en-GB"/>
              </w:rPr>
            </w:pPr>
            <w:r w:rsidRPr="00306F4D">
              <w:rPr>
                <w:rFonts w:ascii="Arial" w:eastAsia="Arial" w:hAnsi="Arial" w:cs="Arial"/>
                <w:sz w:val="20"/>
                <w:szCs w:val="20"/>
                <w:lang w:val="en-GB"/>
              </w:rPr>
              <w:t>Project Contact Person:</w:t>
            </w:r>
            <w:r w:rsidR="120C26D0" w:rsidRPr="00306F4D">
              <w:rPr>
                <w:rFonts w:ascii="Arial" w:hAnsi="Arial" w:cs="Arial"/>
                <w:sz w:val="20"/>
                <w:szCs w:val="20"/>
                <w:lang w:val="en-GB"/>
              </w:rPr>
              <w:t xml:space="preserve"> Natalia Olofinskaya, Regional Technical Advisor, UNDP IRH</w:t>
            </w:r>
          </w:p>
        </w:tc>
      </w:tr>
      <w:tr w:rsidR="00F04FEE" w:rsidRPr="00306F4D" w14:paraId="36F6A5CD" w14:textId="77777777" w:rsidTr="0025418E">
        <w:trPr>
          <w:trHeight w:val="255"/>
        </w:trPr>
        <w:tc>
          <w:tcPr>
            <w:tcW w:w="9108" w:type="dxa"/>
            <w:gridSpan w:val="2"/>
          </w:tcPr>
          <w:p w14:paraId="627B8052" w14:textId="695B419B" w:rsidR="00F04FEE" w:rsidRPr="00306F4D" w:rsidRDefault="77EC1206" w:rsidP="00FC2E4E">
            <w:pPr>
              <w:spacing w:line="276" w:lineRule="auto"/>
              <w:rPr>
                <w:rFonts w:ascii="Arial" w:eastAsia="Arial" w:hAnsi="Arial" w:cs="Arial"/>
                <w:sz w:val="20"/>
                <w:szCs w:val="20"/>
                <w:lang w:val="en-GB"/>
              </w:rPr>
            </w:pPr>
            <w:r w:rsidRPr="00306F4D">
              <w:rPr>
                <w:rFonts w:ascii="Arial" w:eastAsia="Arial" w:hAnsi="Arial" w:cs="Arial"/>
                <w:sz w:val="20"/>
                <w:szCs w:val="20"/>
                <w:lang w:val="en-GB"/>
              </w:rPr>
              <w:t>Tel. And Email:</w:t>
            </w:r>
            <w:r w:rsidR="1F1A8B3C" w:rsidRPr="00306F4D">
              <w:t xml:space="preserve"> </w:t>
            </w:r>
            <w:hyperlink r:id="rId75">
              <w:r w:rsidR="1F1A8B3C" w:rsidRPr="00306F4D">
                <w:rPr>
                  <w:rStyle w:val="Hyperlink"/>
                  <w:rFonts w:ascii="Arial" w:hAnsi="Arial" w:cs="Arial"/>
                  <w:sz w:val="20"/>
                  <w:szCs w:val="20"/>
                  <w:lang w:val="en-GB"/>
                </w:rPr>
                <w:t>nataly.olofinskaya@undp.org</w:t>
              </w:r>
            </w:hyperlink>
            <w:r w:rsidR="1F1A8B3C" w:rsidRPr="00306F4D">
              <w:rPr>
                <w:rFonts w:ascii="Arial" w:hAnsi="Arial" w:cs="Arial"/>
                <w:sz w:val="20"/>
                <w:szCs w:val="20"/>
                <w:lang w:val="en-GB"/>
              </w:rPr>
              <w:t>; +90 (543) 532-3046</w:t>
            </w:r>
          </w:p>
        </w:tc>
      </w:tr>
    </w:tbl>
    <w:p w14:paraId="157BBE13" w14:textId="77777777" w:rsidR="00F238A7" w:rsidRPr="00306F4D" w:rsidRDefault="00F238A7" w:rsidP="00FC2E4E">
      <w:pPr>
        <w:spacing w:line="276" w:lineRule="auto"/>
        <w:rPr>
          <w:rFonts w:ascii="Arial" w:eastAsia="Arial" w:hAnsi="Arial" w:cs="Arial"/>
          <w:b/>
          <w:sz w:val="20"/>
          <w:szCs w:val="20"/>
          <w:lang w:val="en-GB"/>
        </w:rPr>
      </w:pPr>
    </w:p>
    <w:p w14:paraId="7A4D93FC" w14:textId="4AA52681" w:rsidR="00B9780A" w:rsidRPr="00306F4D" w:rsidRDefault="00F238A7" w:rsidP="00CE5B04">
      <w:pPr>
        <w:tabs>
          <w:tab w:val="left" w:pos="90"/>
        </w:tabs>
        <w:spacing w:line="276" w:lineRule="auto"/>
        <w:ind w:left="-1134"/>
      </w:pPr>
      <w:r w:rsidRPr="00306F4D">
        <w:rPr>
          <w:noProof/>
        </w:rPr>
        <mc:AlternateContent>
          <mc:Choice Requires="wpg">
            <w:drawing>
              <wp:inline distT="0" distB="0" distL="0" distR="0" wp14:anchorId="5ABA34BE" wp14:editId="385C1E62">
                <wp:extent cx="7833360" cy="403860"/>
                <wp:effectExtent l="0" t="0" r="0" b="0"/>
                <wp:docPr id="1177252938" name="Group 1"/>
                <wp:cNvGraphicFramePr/>
                <a:graphic xmlns:a="http://schemas.openxmlformats.org/drawingml/2006/main">
                  <a:graphicData uri="http://schemas.microsoft.com/office/word/2010/wordprocessingGroup">
                    <wpg:wgp>
                      <wpg:cNvGrpSpPr/>
                      <wpg:grpSpPr>
                        <a:xfrm>
                          <a:off x="0" y="0"/>
                          <a:ext cx="7833360" cy="403860"/>
                          <a:chOff x="0" y="0"/>
                          <a:chExt cx="6479018" cy="493395"/>
                        </a:xfrm>
                      </wpg:grpSpPr>
                      <pic:pic xmlns:pic="http://schemas.openxmlformats.org/drawingml/2006/picture">
                        <pic:nvPicPr>
                          <pic:cNvPr id="1754078649" name="Picture 1754078649" descr="Rectangle: Rounded Corners 23, Shape"/>
                          <pic:cNvPicPr>
                            <a:picLocks noChangeAspect="1"/>
                          </pic:cNvPicPr>
                        </pic:nvPicPr>
                        <pic:blipFill>
                          <a:blip r:embed="rId70"/>
                          <a:stretch>
                            <a:fillRect/>
                          </a:stretch>
                        </pic:blipFill>
                        <pic:spPr>
                          <a:xfrm>
                            <a:off x="0" y="0"/>
                            <a:ext cx="6479018" cy="493395"/>
                          </a:xfrm>
                          <a:prstGeom prst="rect">
                            <a:avLst/>
                          </a:prstGeom>
                        </pic:spPr>
                      </pic:pic>
                      <wps:wsp>
                        <wps:cNvPr id="211637063" name="Rectangle 211637063"/>
                        <wps:cNvSpPr/>
                        <wps:spPr>
                          <a:xfrm>
                            <a:off x="118055" y="1"/>
                            <a:ext cx="4382924" cy="312420"/>
                          </a:xfrm>
                          <a:prstGeom prst="rect">
                            <a:avLst/>
                          </a:prstGeom>
                          <a:noFill/>
                          <a:ln>
                            <a:noFill/>
                          </a:ln>
                        </wps:spPr>
                        <wps:txbx>
                          <w:txbxContent>
                            <w:p w14:paraId="6E838476" w14:textId="77777777" w:rsidR="005B37F5" w:rsidRDefault="005B37F5" w:rsidP="003A18A8">
                              <w:pPr>
                                <w:spacing w:line="276" w:lineRule="auto"/>
                                <w:ind w:left="720"/>
                                <w:rPr>
                                  <w:rFonts w:ascii="Arial" w:hAnsi="Arial" w:cs="Arial"/>
                                  <w:b/>
                                  <w:bCs/>
                                </w:rPr>
                              </w:pPr>
                              <w:r>
                                <w:rPr>
                                  <w:rFonts w:ascii="Arial" w:hAnsi="Arial" w:cs="Arial"/>
                                  <w:b/>
                                  <w:bCs/>
                                </w:rPr>
                                <w:t xml:space="preserve">PART V: ANNEXES </w:t>
                              </w:r>
                            </w:p>
                            <w:p w14:paraId="29D6B04F" w14:textId="77777777" w:rsidR="005B37F5" w:rsidRDefault="005B37F5" w:rsidP="005B37F5">
                              <w:pPr>
                                <w:spacing w:line="276" w:lineRule="auto"/>
                                <w:rPr>
                                  <w:rFonts w:ascii="Arial" w:hAnsi="Arial" w:cs="Arial"/>
                                  <w:b/>
                                  <w:bCs/>
                                </w:rPr>
                              </w:pPr>
                              <w:r>
                                <w:rPr>
                                  <w:rFonts w:ascii="Arial" w:hAnsi="Arial" w:cs="Arial"/>
                                  <w:b/>
                                  <w:bCs/>
                                </w:rPr>
                                <w:t xml:space="preserve"> </w:t>
                              </w:r>
                            </w:p>
                            <w:p w14:paraId="0A6959E7" w14:textId="77777777" w:rsidR="005B37F5" w:rsidRDefault="005B37F5" w:rsidP="005B37F5">
                              <w:pPr>
                                <w:spacing w:line="276" w:lineRule="auto"/>
                                <w:rPr>
                                  <w:rFonts w:ascii="Arial" w:hAnsi="Arial" w:cs="Arial"/>
                                  <w:b/>
                                  <w:bCs/>
                                </w:rPr>
                              </w:pPr>
                              <w:r>
                                <w:rPr>
                                  <w:rFonts w:ascii="Arial" w:hAnsi="Arial" w:cs="Arial"/>
                                  <w:b/>
                                  <w:bCs/>
                                </w:rPr>
                                <w:t xml:space="preserve"> </w:t>
                              </w:r>
                            </w:p>
                            <w:p w14:paraId="46D898C1" w14:textId="77777777" w:rsidR="005B37F5" w:rsidRDefault="005B37F5" w:rsidP="005B37F5">
                              <w:pPr>
                                <w:spacing w:line="276" w:lineRule="auto"/>
                                <w:rPr>
                                  <w:rFonts w:ascii="Arial" w:hAnsi="Arial" w:cs="Arial"/>
                                  <w:b/>
                                  <w:bCs/>
                                </w:rPr>
                              </w:pPr>
                              <w:r>
                                <w:rPr>
                                  <w:rFonts w:ascii="Arial" w:hAnsi="Arial" w:cs="Arial"/>
                                  <w:b/>
                                  <w:bCs/>
                                </w:rPr>
                                <w:t xml:space="preserve">Rectangle: Rounded Corners 110150740, ShapePART V: ANNEXES </w:t>
                              </w:r>
                            </w:p>
                          </w:txbxContent>
                        </wps:txbx>
                        <wps:bodyPr anchor="t"/>
                      </wps:wsp>
                    </wpg:wgp>
                  </a:graphicData>
                </a:graphic>
              </wp:inline>
            </w:drawing>
          </mc:Choice>
          <mc:Fallback>
            <w:pict>
              <v:group w14:anchorId="5ABA34BE" id="_x0000_s1037" style="width:616.8pt;height:31.8pt;mso-position-horizontal-relative:char;mso-position-vertical-relative:line" coordsize="64790,49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">
                <v:shape id="Picture 1754078649" o:spid="_x0000_s1038" type="#_x0000_t75" alt="Rectangle: Rounded Corners 23, Shape" style="position:absolute;width:64790;height:4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">
                  <v:imagedata r:id="rId71" o:title=" Rounded Corners 23, Shape"/>
                </v:shape>
                <v:rect id="Rectangle 211637063" o:spid="_x0000_s1039" style="position:absolute;left:1180;width:43829;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" filled="f" stroked="f">
                  <v:textbox>
                    <w:txbxContent>
                      <w:p w14:paraId="6E838476" w14:textId="77777777" w:rsidR="005B37F5" w:rsidRDefault="005B37F5" w:rsidP="003A18A8">
                        <w:pPr>
                          <w:spacing w:line="276" w:lineRule="auto"/>
                          <w:ind w:left="720"/>
                          <w:rPr>
                            <w:rFonts w:ascii="Arial" w:hAnsi="Arial" w:cs="Arial"/>
                            <w:b/>
                            <w:bCs/>
                          </w:rPr>
                        </w:pPr>
                        <w:r>
                          <w:rPr>
                            <w:rFonts w:ascii="Arial" w:hAnsi="Arial" w:cs="Arial"/>
                            <w:b/>
                            <w:bCs/>
                          </w:rPr>
                          <w:t xml:space="preserve">PART V: ANNEXES </w:t>
                        </w:r>
                      </w:p>
                      <w:p w14:paraId="29D6B04F" w14:textId="77777777" w:rsidR="005B37F5" w:rsidRDefault="005B37F5" w:rsidP="005B37F5">
                        <w:pPr>
                          <w:spacing w:line="276" w:lineRule="auto"/>
                          <w:rPr>
                            <w:rFonts w:ascii="Arial" w:hAnsi="Arial" w:cs="Arial"/>
                            <w:b/>
                            <w:bCs/>
                          </w:rPr>
                        </w:pPr>
                        <w:r>
                          <w:rPr>
                            <w:rFonts w:ascii="Arial" w:hAnsi="Arial" w:cs="Arial"/>
                            <w:b/>
                            <w:bCs/>
                          </w:rPr>
                          <w:t xml:space="preserve"> </w:t>
                        </w:r>
                      </w:p>
                      <w:p w14:paraId="0A6959E7" w14:textId="77777777" w:rsidR="005B37F5" w:rsidRDefault="005B37F5" w:rsidP="005B37F5">
                        <w:pPr>
                          <w:spacing w:line="276" w:lineRule="auto"/>
                          <w:rPr>
                            <w:rFonts w:ascii="Arial" w:hAnsi="Arial" w:cs="Arial"/>
                            <w:b/>
                            <w:bCs/>
                          </w:rPr>
                        </w:pPr>
                        <w:r>
                          <w:rPr>
                            <w:rFonts w:ascii="Arial" w:hAnsi="Arial" w:cs="Arial"/>
                            <w:b/>
                            <w:bCs/>
                          </w:rPr>
                          <w:t xml:space="preserve"> </w:t>
                        </w:r>
                      </w:p>
                      <w:p w14:paraId="46D898C1" w14:textId="77777777" w:rsidR="005B37F5" w:rsidRDefault="005B37F5" w:rsidP="005B37F5">
                        <w:pPr>
                          <w:spacing w:line="276" w:lineRule="auto"/>
                          <w:rPr>
                            <w:rFonts w:ascii="Arial" w:hAnsi="Arial" w:cs="Arial"/>
                            <w:b/>
                            <w:bCs/>
                          </w:rPr>
                        </w:pPr>
                        <w:r>
                          <w:rPr>
                            <w:rFonts w:ascii="Arial" w:hAnsi="Arial" w:cs="Arial"/>
                            <w:b/>
                            <w:bCs/>
                          </w:rPr>
                          <w:t xml:space="preserve">Rectangle: Rounded Corners 110150740, ShapePART V: ANNEXES </w:t>
                        </w:r>
                      </w:p>
                    </w:txbxContent>
                  </v:textbox>
                </v:rect>
                <w10:anchorlock/>
              </v:group>
            </w:pict>
          </mc:Fallback>
        </mc:AlternateContent>
      </w:r>
    </w:p>
    <w:p w14:paraId="7E04A49E" w14:textId="7A1B7265" w:rsidR="00B9780A" w:rsidRPr="00306F4D" w:rsidRDefault="009F74D3" w:rsidP="00CC5D6B">
      <w:pPr>
        <w:pStyle w:val="Heading1"/>
        <w:rPr>
          <w:sz w:val="20"/>
          <w:szCs w:val="20"/>
          <w:lang w:val="en-GB"/>
        </w:rPr>
      </w:pPr>
      <w:bookmarkStart w:id="218" w:name="_Toc202893763"/>
      <w:r w:rsidRPr="00306F4D">
        <w:rPr>
          <w:lang w:val="en-GB"/>
        </w:rPr>
        <w:t xml:space="preserve">PART V: </w:t>
      </w:r>
      <w:r w:rsidR="00B9780A" w:rsidRPr="00306F4D">
        <w:rPr>
          <w:sz w:val="20"/>
          <w:szCs w:val="20"/>
          <w:lang w:val="en-GB"/>
        </w:rPr>
        <w:t>Annex</w:t>
      </w:r>
      <w:r w:rsidRPr="00306F4D">
        <w:rPr>
          <w:sz w:val="20"/>
          <w:szCs w:val="20"/>
          <w:lang w:val="en-GB"/>
        </w:rPr>
        <w:t>es</w:t>
      </w:r>
      <w:bookmarkEnd w:id="218"/>
    </w:p>
    <w:p w14:paraId="1C3175EF" w14:textId="77777777" w:rsidR="00C51EA3" w:rsidRPr="00306F4D" w:rsidRDefault="00C51EA3" w:rsidP="00FC2E4E">
      <w:pPr>
        <w:spacing w:after="0" w:line="276" w:lineRule="auto"/>
        <w:rPr>
          <w:rFonts w:ascii="Arial" w:eastAsia="Arial" w:hAnsi="Arial" w:cs="Arial"/>
          <w:b/>
          <w:sz w:val="20"/>
          <w:szCs w:val="20"/>
          <w:lang w:val="en-GB"/>
        </w:rPr>
      </w:pPr>
    </w:p>
    <w:p w14:paraId="00D71765" w14:textId="3099DEC9" w:rsidR="000C0D59" w:rsidRPr="00306F4D" w:rsidRDefault="00C51EA3" w:rsidP="00FC2E4E">
      <w:pPr>
        <w:spacing w:after="0" w:line="276" w:lineRule="auto"/>
        <w:rPr>
          <w:rFonts w:ascii="Arial" w:eastAsia="Arial" w:hAnsi="Arial" w:cs="Arial"/>
          <w:sz w:val="20"/>
          <w:szCs w:val="20"/>
        </w:rPr>
      </w:pPr>
      <w:r w:rsidRPr="00306F4D">
        <w:rPr>
          <w:rFonts w:ascii="Arial" w:eastAsia="Arial" w:hAnsi="Arial" w:cs="Arial"/>
          <w:b/>
          <w:sz w:val="20"/>
          <w:szCs w:val="20"/>
          <w:lang w:val="en-GB"/>
        </w:rPr>
        <w:t>Annex 1</w:t>
      </w:r>
      <w:r w:rsidR="007451B1" w:rsidRPr="00306F4D">
        <w:rPr>
          <w:rFonts w:ascii="Arial" w:eastAsia="Arial" w:hAnsi="Arial" w:cs="Arial"/>
          <w:b/>
          <w:sz w:val="20"/>
          <w:szCs w:val="20"/>
          <w:lang w:val="en-GB"/>
        </w:rPr>
        <w:t>:</w:t>
      </w:r>
      <w:r w:rsidRPr="00306F4D">
        <w:rPr>
          <w:rFonts w:ascii="Arial" w:eastAsia="Arial" w:hAnsi="Arial" w:cs="Arial"/>
          <w:b/>
          <w:sz w:val="20"/>
          <w:szCs w:val="20"/>
          <w:lang w:val="en-GB"/>
        </w:rPr>
        <w:t xml:space="preserve"> </w:t>
      </w:r>
      <w:r w:rsidR="00F238A7" w:rsidRPr="00306F4D">
        <w:rPr>
          <w:rFonts w:ascii="Arial" w:eastAsia="Arial" w:hAnsi="Arial" w:cs="Arial"/>
          <w:b/>
          <w:sz w:val="20"/>
          <w:szCs w:val="20"/>
          <w:lang w:val="en-GB"/>
        </w:rPr>
        <w:t>Letters of endorsement</w:t>
      </w:r>
      <w:r w:rsidR="000C0D59" w:rsidRPr="00306F4D">
        <w:rPr>
          <w:rFonts w:ascii="Arial" w:eastAsia="Arial" w:hAnsi="Arial" w:cs="Arial"/>
          <w:b/>
          <w:sz w:val="20"/>
          <w:szCs w:val="20"/>
          <w:lang w:val="en-GB"/>
        </w:rPr>
        <w:t xml:space="preserve"> </w:t>
      </w:r>
      <w:r w:rsidR="00E26A09" w:rsidRPr="00306F4D">
        <w:rPr>
          <w:rFonts w:ascii="Arial" w:eastAsia="Arial" w:hAnsi="Arial" w:cs="Arial"/>
          <w:b/>
          <w:sz w:val="20"/>
          <w:szCs w:val="20"/>
          <w:lang w:val="en-GB"/>
        </w:rPr>
        <w:t>from</w:t>
      </w:r>
      <w:r w:rsidR="000C0D59" w:rsidRPr="00306F4D">
        <w:rPr>
          <w:rFonts w:ascii="Arial" w:eastAsia="Arial" w:hAnsi="Arial" w:cs="Arial"/>
          <w:b/>
          <w:sz w:val="20"/>
          <w:szCs w:val="20"/>
          <w:lang w:val="en-GB"/>
        </w:rPr>
        <w:t xml:space="preserve"> the government</w:t>
      </w:r>
      <w:r w:rsidR="00F238A7" w:rsidRPr="00306F4D">
        <w:rPr>
          <w:rFonts w:ascii="Arial" w:eastAsia="Arial" w:hAnsi="Arial" w:cs="Arial"/>
          <w:sz w:val="20"/>
          <w:szCs w:val="20"/>
        </w:rPr>
        <w:t>s</w:t>
      </w:r>
    </w:p>
    <w:p w14:paraId="0CE5AD0C" w14:textId="61780DB0" w:rsidR="006409E6" w:rsidRPr="00306F4D" w:rsidRDefault="006409E6" w:rsidP="006409E6">
      <w:pPr>
        <w:spacing w:after="0" w:line="276" w:lineRule="auto"/>
        <w:rPr>
          <w:rFonts w:ascii="Arial" w:eastAsia="Arial" w:hAnsi="Arial" w:cs="Arial"/>
          <w:sz w:val="20"/>
          <w:szCs w:val="20"/>
          <w:lang w:val="en-GB"/>
        </w:rPr>
      </w:pPr>
      <w:r w:rsidRPr="00306F4D">
        <w:rPr>
          <w:rFonts w:ascii="Arial" w:eastAsia="Arial" w:hAnsi="Arial" w:cs="Arial"/>
          <w:sz w:val="20"/>
          <w:szCs w:val="20"/>
          <w:lang w:val="en-GB"/>
        </w:rPr>
        <w:t>Included as a separate file in this proposal.</w:t>
      </w:r>
    </w:p>
    <w:p w14:paraId="58CC70EE" w14:textId="77777777" w:rsidR="0035534C" w:rsidRPr="00306F4D" w:rsidRDefault="0035534C" w:rsidP="4186447D">
      <w:pPr>
        <w:spacing w:after="0" w:line="276" w:lineRule="auto"/>
        <w:rPr>
          <w:rFonts w:ascii="Arial" w:eastAsia="Arial" w:hAnsi="Arial" w:cs="Arial"/>
          <w:b/>
          <w:bCs/>
          <w:sz w:val="16"/>
          <w:szCs w:val="16"/>
          <w:lang w:val="en-GB"/>
        </w:rPr>
      </w:pPr>
    </w:p>
    <w:p w14:paraId="6DD5E7E4" w14:textId="60FCAED8" w:rsidR="6257527B" w:rsidRPr="00306F4D" w:rsidRDefault="15709CF8" w:rsidP="4186447D">
      <w:pPr>
        <w:spacing w:after="0" w:line="276" w:lineRule="auto"/>
        <w:rPr>
          <w:rFonts w:ascii="Arial" w:eastAsia="Arial" w:hAnsi="Arial" w:cs="Arial"/>
          <w:sz w:val="20"/>
          <w:szCs w:val="20"/>
        </w:rPr>
      </w:pPr>
      <w:r w:rsidRPr="00306F4D">
        <w:rPr>
          <w:rFonts w:ascii="Arial" w:eastAsia="Arial" w:hAnsi="Arial" w:cs="Arial"/>
          <w:b/>
          <w:bCs/>
          <w:sz w:val="20"/>
          <w:szCs w:val="20"/>
          <w:lang w:val="en-GB"/>
        </w:rPr>
        <w:t>Annex 2: Grant Application Format and Evaluation Criteria</w:t>
      </w:r>
      <w:r w:rsidR="6257527B" w:rsidRPr="00306F4D">
        <w:rPr>
          <w:rFonts w:ascii="Arial" w:hAnsi="Arial" w:cs="Arial"/>
          <w:sz w:val="20"/>
          <w:szCs w:val="20"/>
        </w:rPr>
        <w:tab/>
      </w:r>
    </w:p>
    <w:p w14:paraId="45DF78AB" w14:textId="2DF26917" w:rsidR="6257527B" w:rsidRPr="00306F4D" w:rsidRDefault="12C66865" w:rsidP="4186447D">
      <w:pPr>
        <w:spacing w:after="0" w:line="276" w:lineRule="auto"/>
        <w:rPr>
          <w:rFonts w:ascii="Arial" w:eastAsia="Arial" w:hAnsi="Arial" w:cs="Arial"/>
          <w:sz w:val="20"/>
          <w:szCs w:val="20"/>
          <w:lang w:val="en-GB"/>
        </w:rPr>
      </w:pPr>
      <w:r w:rsidRPr="00306F4D">
        <w:rPr>
          <w:rFonts w:ascii="Arial" w:eastAsia="Arial" w:hAnsi="Arial" w:cs="Arial"/>
          <w:sz w:val="20"/>
          <w:szCs w:val="20"/>
          <w:lang w:val="en-GB"/>
        </w:rPr>
        <w:t>Included as a separate file in this proposal.</w:t>
      </w:r>
    </w:p>
    <w:p w14:paraId="24E48040" w14:textId="76C724EF" w:rsidR="6257527B" w:rsidRPr="00306F4D" w:rsidRDefault="6257527B" w:rsidP="4186447D">
      <w:pPr>
        <w:spacing w:after="0" w:line="276" w:lineRule="auto"/>
        <w:rPr>
          <w:rFonts w:ascii="Arial" w:eastAsia="Arial" w:hAnsi="Arial" w:cs="Arial"/>
          <w:b/>
          <w:bCs/>
          <w:sz w:val="16"/>
          <w:szCs w:val="16"/>
          <w:lang w:val="en-GB"/>
        </w:rPr>
      </w:pPr>
    </w:p>
    <w:p w14:paraId="2DD80BCD" w14:textId="00279930" w:rsidR="6257527B" w:rsidRPr="00306F4D" w:rsidRDefault="6257527B" w:rsidP="643609CA">
      <w:pPr>
        <w:spacing w:after="0" w:line="276" w:lineRule="auto"/>
        <w:rPr>
          <w:rFonts w:ascii="Arial" w:eastAsia="Arial" w:hAnsi="Arial" w:cs="Arial"/>
          <w:b/>
          <w:sz w:val="20"/>
          <w:szCs w:val="20"/>
          <w:lang w:val="en-GB"/>
        </w:rPr>
      </w:pPr>
      <w:r w:rsidRPr="00306F4D">
        <w:rPr>
          <w:rFonts w:ascii="Arial" w:eastAsia="Arial" w:hAnsi="Arial" w:cs="Arial"/>
          <w:b/>
          <w:sz w:val="20"/>
          <w:szCs w:val="20"/>
          <w:lang w:val="en-GB"/>
        </w:rPr>
        <w:t>Annex 3: Social and Environmental Screening Procedure (SESP)</w:t>
      </w:r>
    </w:p>
    <w:p w14:paraId="24EB79F2" w14:textId="0A2687BF" w:rsidR="6257527B" w:rsidRPr="00306F4D" w:rsidRDefault="6257527B" w:rsidP="643609CA">
      <w:pPr>
        <w:spacing w:after="0" w:line="276" w:lineRule="auto"/>
        <w:rPr>
          <w:rFonts w:ascii="Arial" w:eastAsia="Arial" w:hAnsi="Arial" w:cs="Arial"/>
          <w:sz w:val="20"/>
          <w:szCs w:val="20"/>
          <w:lang w:val="en-GB"/>
        </w:rPr>
      </w:pPr>
      <w:r w:rsidRPr="00306F4D">
        <w:rPr>
          <w:rFonts w:ascii="Arial" w:eastAsia="Arial" w:hAnsi="Arial" w:cs="Arial"/>
          <w:sz w:val="20"/>
          <w:szCs w:val="20"/>
          <w:lang w:val="en-GB"/>
        </w:rPr>
        <w:t>Included as a separate file in this proposal.</w:t>
      </w:r>
    </w:p>
    <w:p w14:paraId="66C75D7D" w14:textId="31CD6EAE" w:rsidR="643609CA" w:rsidRPr="00306F4D" w:rsidRDefault="643609CA" w:rsidP="643609CA">
      <w:pPr>
        <w:spacing w:after="0" w:line="276" w:lineRule="auto"/>
        <w:rPr>
          <w:rFonts w:ascii="Arial" w:eastAsia="Arial" w:hAnsi="Arial" w:cs="Arial"/>
          <w:sz w:val="16"/>
          <w:szCs w:val="16"/>
          <w:lang w:val="en-GB"/>
        </w:rPr>
      </w:pPr>
    </w:p>
    <w:p w14:paraId="1BB9613A" w14:textId="634C7454" w:rsidR="6257527B" w:rsidRPr="00306F4D" w:rsidRDefault="6257527B" w:rsidP="643609CA">
      <w:pPr>
        <w:spacing w:after="0" w:line="276" w:lineRule="auto"/>
        <w:rPr>
          <w:rFonts w:ascii="Arial" w:eastAsia="Arial" w:hAnsi="Arial" w:cs="Arial"/>
          <w:b/>
          <w:sz w:val="20"/>
          <w:szCs w:val="20"/>
          <w:lang w:val="en-GB"/>
        </w:rPr>
      </w:pPr>
      <w:r w:rsidRPr="00306F4D">
        <w:rPr>
          <w:rFonts w:ascii="Arial" w:eastAsia="Arial" w:hAnsi="Arial" w:cs="Arial"/>
          <w:b/>
          <w:sz w:val="20"/>
          <w:szCs w:val="20"/>
          <w:lang w:val="en-GB"/>
        </w:rPr>
        <w:t>Annex 4. Social and Environmental Management Framework (ESFM)</w:t>
      </w:r>
    </w:p>
    <w:p w14:paraId="5BA1C9CE" w14:textId="472D5B7C" w:rsidR="6257527B" w:rsidRPr="00306F4D" w:rsidRDefault="6257527B" w:rsidP="643609CA">
      <w:pPr>
        <w:spacing w:after="0" w:line="276" w:lineRule="auto"/>
        <w:rPr>
          <w:rFonts w:ascii="Arial" w:eastAsia="Arial" w:hAnsi="Arial" w:cs="Arial"/>
          <w:sz w:val="20"/>
          <w:szCs w:val="20"/>
          <w:lang w:val="en-GB"/>
        </w:rPr>
      </w:pPr>
      <w:r w:rsidRPr="00306F4D">
        <w:rPr>
          <w:rFonts w:ascii="Arial" w:eastAsia="Arial" w:hAnsi="Arial" w:cs="Arial"/>
          <w:sz w:val="20"/>
          <w:szCs w:val="20"/>
          <w:lang w:val="en-GB"/>
        </w:rPr>
        <w:t>Included as a separate file in this proposal.</w:t>
      </w:r>
    </w:p>
    <w:p w14:paraId="084B435F" w14:textId="77777777" w:rsidR="0035534C" w:rsidRPr="00306F4D" w:rsidRDefault="0035534C" w:rsidP="643609CA">
      <w:pPr>
        <w:spacing w:after="0" w:line="276" w:lineRule="auto"/>
        <w:rPr>
          <w:rFonts w:ascii="Arial" w:eastAsia="Arial" w:hAnsi="Arial" w:cs="Arial"/>
          <w:sz w:val="20"/>
          <w:szCs w:val="20"/>
          <w:lang w:val="en-GB"/>
        </w:rPr>
      </w:pPr>
    </w:p>
    <w:p w14:paraId="4C735CB7" w14:textId="224D3DDE" w:rsidR="6257527B" w:rsidRPr="00306F4D" w:rsidRDefault="6257527B" w:rsidP="643609CA">
      <w:pPr>
        <w:spacing w:after="0" w:line="276" w:lineRule="auto"/>
        <w:rPr>
          <w:rFonts w:ascii="Arial" w:eastAsia="Arial" w:hAnsi="Arial" w:cs="Arial"/>
          <w:b/>
          <w:sz w:val="20"/>
          <w:szCs w:val="20"/>
          <w:lang w:val="en-GB"/>
        </w:rPr>
      </w:pPr>
      <w:r w:rsidRPr="00306F4D">
        <w:rPr>
          <w:rFonts w:ascii="Arial" w:eastAsia="Arial" w:hAnsi="Arial" w:cs="Arial"/>
          <w:b/>
          <w:sz w:val="20"/>
          <w:szCs w:val="20"/>
          <w:lang w:val="en-GB"/>
        </w:rPr>
        <w:t xml:space="preserve">Annex 5: Gender Assessment and Action Plan </w:t>
      </w:r>
    </w:p>
    <w:p w14:paraId="42492387" w14:textId="35C94521" w:rsidR="6257527B" w:rsidRPr="00306F4D" w:rsidRDefault="6257527B" w:rsidP="643609CA">
      <w:pPr>
        <w:spacing w:after="0" w:line="276" w:lineRule="auto"/>
        <w:rPr>
          <w:rFonts w:ascii="Arial" w:eastAsia="Arial" w:hAnsi="Arial" w:cs="Arial"/>
          <w:sz w:val="20"/>
          <w:szCs w:val="20"/>
          <w:lang w:val="en-GB"/>
        </w:rPr>
      </w:pPr>
      <w:r w:rsidRPr="00306F4D">
        <w:rPr>
          <w:rFonts w:ascii="Arial" w:eastAsia="Arial" w:hAnsi="Arial" w:cs="Arial"/>
          <w:sz w:val="20"/>
          <w:szCs w:val="20"/>
          <w:lang w:val="en-GB"/>
        </w:rPr>
        <w:t>Included as a separate file in this proposal.</w:t>
      </w:r>
    </w:p>
    <w:p w14:paraId="7730C340" w14:textId="77777777" w:rsidR="0035534C" w:rsidRPr="00306F4D" w:rsidRDefault="0035534C" w:rsidP="643609CA">
      <w:pPr>
        <w:spacing w:after="0" w:line="276" w:lineRule="auto"/>
        <w:rPr>
          <w:rFonts w:ascii="Arial" w:eastAsia="Arial" w:hAnsi="Arial" w:cs="Arial"/>
          <w:sz w:val="20"/>
          <w:szCs w:val="20"/>
          <w:lang w:val="en-GB"/>
        </w:rPr>
      </w:pPr>
    </w:p>
    <w:p w14:paraId="194F75EC" w14:textId="198AA6E1" w:rsidR="6257527B" w:rsidRPr="00306F4D" w:rsidRDefault="6257527B" w:rsidP="643609CA">
      <w:pPr>
        <w:spacing w:after="0" w:line="276" w:lineRule="auto"/>
        <w:rPr>
          <w:rFonts w:ascii="Arial" w:eastAsia="Arial" w:hAnsi="Arial" w:cs="Arial"/>
          <w:b/>
          <w:sz w:val="20"/>
          <w:szCs w:val="20"/>
          <w:lang w:val="en-GB"/>
        </w:rPr>
      </w:pPr>
      <w:r w:rsidRPr="00306F4D">
        <w:rPr>
          <w:rFonts w:ascii="Arial" w:eastAsia="Arial" w:hAnsi="Arial" w:cs="Arial"/>
          <w:b/>
          <w:sz w:val="20"/>
          <w:szCs w:val="20"/>
          <w:lang w:val="en-GB"/>
        </w:rPr>
        <w:t>Annex 6: Stakeholder Mapping Matrixes</w:t>
      </w:r>
    </w:p>
    <w:p w14:paraId="7E8CEC4A" w14:textId="667521E2" w:rsidR="6257527B" w:rsidRPr="00306F4D" w:rsidRDefault="6257527B" w:rsidP="643609CA">
      <w:pPr>
        <w:spacing w:after="0" w:line="276" w:lineRule="auto"/>
        <w:rPr>
          <w:rFonts w:ascii="Arial" w:eastAsia="Arial" w:hAnsi="Arial" w:cs="Arial"/>
          <w:sz w:val="20"/>
          <w:szCs w:val="20"/>
          <w:lang w:val="en-GB"/>
        </w:rPr>
      </w:pPr>
      <w:r w:rsidRPr="00306F4D">
        <w:rPr>
          <w:rFonts w:ascii="Arial" w:eastAsia="Arial" w:hAnsi="Arial" w:cs="Arial"/>
          <w:sz w:val="20"/>
          <w:szCs w:val="20"/>
          <w:lang w:val="en-GB"/>
        </w:rPr>
        <w:t>Included as a separate file in this proposal.</w:t>
      </w:r>
    </w:p>
    <w:p w14:paraId="4DF70E38" w14:textId="77777777" w:rsidR="0035534C" w:rsidRPr="00306F4D" w:rsidRDefault="0035534C" w:rsidP="643609CA">
      <w:pPr>
        <w:spacing w:after="0" w:line="276" w:lineRule="auto"/>
        <w:rPr>
          <w:rFonts w:ascii="Arial" w:eastAsia="Arial" w:hAnsi="Arial" w:cs="Arial"/>
          <w:sz w:val="20"/>
          <w:szCs w:val="20"/>
          <w:lang w:val="en-GB"/>
        </w:rPr>
      </w:pPr>
    </w:p>
    <w:p w14:paraId="14A2981C" w14:textId="318B743D" w:rsidR="6257527B" w:rsidRPr="00306F4D" w:rsidRDefault="6257527B" w:rsidP="643609CA">
      <w:pPr>
        <w:spacing w:after="0" w:line="276" w:lineRule="auto"/>
        <w:rPr>
          <w:rFonts w:ascii="Arial" w:eastAsia="Arial" w:hAnsi="Arial" w:cs="Arial"/>
          <w:b/>
          <w:sz w:val="20"/>
          <w:szCs w:val="20"/>
          <w:lang w:val="en-GB"/>
        </w:rPr>
      </w:pPr>
      <w:r w:rsidRPr="00306F4D">
        <w:rPr>
          <w:rFonts w:ascii="Arial" w:eastAsia="Arial" w:hAnsi="Arial" w:cs="Arial"/>
          <w:b/>
          <w:sz w:val="20"/>
          <w:szCs w:val="20"/>
          <w:lang w:val="en-GB"/>
        </w:rPr>
        <w:t>Annex 7: Stakeholder Consultations and Engagement</w:t>
      </w:r>
    </w:p>
    <w:p w14:paraId="69E3650D" w14:textId="35C94521" w:rsidR="6257527B" w:rsidRPr="00306F4D" w:rsidRDefault="0DC3AB79" w:rsidP="4186447D">
      <w:pPr>
        <w:spacing w:after="0" w:line="276" w:lineRule="auto"/>
        <w:rPr>
          <w:rFonts w:ascii="Arial" w:eastAsia="Arial" w:hAnsi="Arial" w:cs="Arial"/>
          <w:sz w:val="20"/>
          <w:szCs w:val="20"/>
          <w:lang w:val="en-GB"/>
        </w:rPr>
      </w:pPr>
      <w:r w:rsidRPr="00306F4D">
        <w:rPr>
          <w:rFonts w:ascii="Arial" w:eastAsia="Arial" w:hAnsi="Arial" w:cs="Arial"/>
          <w:sz w:val="20"/>
          <w:szCs w:val="20"/>
          <w:lang w:val="en-GB"/>
        </w:rPr>
        <w:t>Included as a separate file in this proposal.</w:t>
      </w:r>
    </w:p>
    <w:p w14:paraId="3E5ED198" w14:textId="65828C54" w:rsidR="643609CA" w:rsidRPr="00306F4D" w:rsidRDefault="643609CA" w:rsidP="643609CA">
      <w:pPr>
        <w:spacing w:after="0" w:line="276" w:lineRule="auto"/>
        <w:rPr>
          <w:rFonts w:ascii="Arial" w:eastAsia="Arial" w:hAnsi="Arial" w:cs="Arial"/>
          <w:b/>
          <w:sz w:val="20"/>
          <w:szCs w:val="20"/>
          <w:lang w:val="en-GB"/>
        </w:rPr>
      </w:pPr>
    </w:p>
    <w:p w14:paraId="2B7FEEBD" w14:textId="7B02601B" w:rsidR="6257527B" w:rsidRPr="00306F4D" w:rsidRDefault="6257527B" w:rsidP="643609CA">
      <w:pPr>
        <w:spacing w:after="0" w:line="276" w:lineRule="auto"/>
        <w:rPr>
          <w:rFonts w:ascii="Arial" w:eastAsia="Arial" w:hAnsi="Arial" w:cs="Arial"/>
          <w:b/>
          <w:sz w:val="20"/>
          <w:szCs w:val="20"/>
          <w:lang w:val="en-GB"/>
        </w:rPr>
      </w:pPr>
      <w:r w:rsidRPr="00306F4D">
        <w:rPr>
          <w:rFonts w:ascii="Arial" w:eastAsia="Arial" w:hAnsi="Arial" w:cs="Arial"/>
          <w:b/>
          <w:sz w:val="20"/>
          <w:szCs w:val="20"/>
          <w:lang w:val="en-GB"/>
        </w:rPr>
        <w:lastRenderedPageBreak/>
        <w:t xml:space="preserve">Annex 8: </w:t>
      </w:r>
      <w:r w:rsidR="00E03630" w:rsidRPr="00306F4D">
        <w:rPr>
          <w:rFonts w:ascii="Arial" w:eastAsia="Arial" w:hAnsi="Arial" w:cs="Arial"/>
          <w:b/>
          <w:sz w:val="20"/>
          <w:szCs w:val="20"/>
          <w:lang w:val="en-GB"/>
        </w:rPr>
        <w:t xml:space="preserve">Detailed Budget and Breakdown of the IE Management Fee </w:t>
      </w:r>
    </w:p>
    <w:p w14:paraId="7B4C0AC2" w14:textId="35C94521" w:rsidR="6257527B" w:rsidRPr="00306F4D" w:rsidRDefault="6839DAEF" w:rsidP="4186447D">
      <w:pPr>
        <w:spacing w:after="0" w:line="276" w:lineRule="auto"/>
        <w:rPr>
          <w:rFonts w:ascii="Arial" w:eastAsia="Arial" w:hAnsi="Arial" w:cs="Arial"/>
          <w:sz w:val="20"/>
          <w:szCs w:val="20"/>
          <w:lang w:val="en-GB"/>
        </w:rPr>
      </w:pPr>
      <w:r w:rsidRPr="00306F4D">
        <w:rPr>
          <w:rFonts w:ascii="Arial" w:eastAsia="Arial" w:hAnsi="Arial" w:cs="Arial"/>
          <w:sz w:val="20"/>
          <w:szCs w:val="20"/>
          <w:lang w:val="en-GB"/>
        </w:rPr>
        <w:t>Included as a separate file in this proposal.</w:t>
      </w:r>
    </w:p>
    <w:p w14:paraId="5F049AB3" w14:textId="77777777" w:rsidR="643609CA" w:rsidRPr="00306F4D" w:rsidRDefault="643609CA" w:rsidP="643609CA">
      <w:pPr>
        <w:spacing w:after="0" w:line="276" w:lineRule="auto"/>
        <w:rPr>
          <w:rFonts w:ascii="Arial" w:eastAsia="Arial" w:hAnsi="Arial" w:cs="Arial"/>
          <w:sz w:val="20"/>
          <w:szCs w:val="20"/>
          <w:lang w:val="en-GB"/>
        </w:rPr>
      </w:pPr>
    </w:p>
    <w:p w14:paraId="6EACA5CC" w14:textId="4B1DDA0B" w:rsidR="6257527B" w:rsidRPr="00306F4D" w:rsidRDefault="6257527B" w:rsidP="643609CA">
      <w:pPr>
        <w:spacing w:after="0" w:line="276" w:lineRule="auto"/>
        <w:rPr>
          <w:rFonts w:ascii="Arial" w:eastAsia="Arial" w:hAnsi="Arial" w:cs="Arial"/>
          <w:b/>
          <w:sz w:val="20"/>
          <w:szCs w:val="20"/>
          <w:lang w:val="en-GB"/>
        </w:rPr>
      </w:pPr>
      <w:r w:rsidRPr="00306F4D">
        <w:rPr>
          <w:rFonts w:ascii="Arial" w:eastAsia="Arial" w:hAnsi="Arial" w:cs="Arial"/>
          <w:b/>
          <w:sz w:val="20"/>
          <w:szCs w:val="20"/>
          <w:lang w:val="en-GB"/>
        </w:rPr>
        <w:t xml:space="preserve">Annex 9: Detailed </w:t>
      </w:r>
      <w:r w:rsidR="3FAFC593" w:rsidRPr="00306F4D">
        <w:rPr>
          <w:rFonts w:ascii="Arial" w:eastAsia="Arial" w:hAnsi="Arial" w:cs="Arial"/>
          <w:b/>
          <w:bCs/>
          <w:sz w:val="20"/>
          <w:szCs w:val="20"/>
          <w:lang w:val="en-GB"/>
        </w:rPr>
        <w:t xml:space="preserve">Multi </w:t>
      </w:r>
      <w:r w:rsidR="63E3B7F1" w:rsidRPr="00306F4D">
        <w:rPr>
          <w:rFonts w:ascii="Arial" w:eastAsia="Arial" w:hAnsi="Arial" w:cs="Arial"/>
          <w:b/>
          <w:bCs/>
          <w:sz w:val="20"/>
          <w:szCs w:val="20"/>
          <w:lang w:val="en-GB"/>
        </w:rPr>
        <w:t>Annual</w:t>
      </w:r>
      <w:r w:rsidR="3FAFC593" w:rsidRPr="00306F4D">
        <w:rPr>
          <w:rFonts w:ascii="Arial" w:eastAsia="Arial" w:hAnsi="Arial" w:cs="Arial"/>
          <w:b/>
          <w:bCs/>
          <w:sz w:val="20"/>
          <w:szCs w:val="20"/>
          <w:lang w:val="en-GB"/>
        </w:rPr>
        <w:t xml:space="preserve"> Workplan</w:t>
      </w:r>
    </w:p>
    <w:p w14:paraId="4399D3D8" w14:textId="2A918073" w:rsidR="79D2B3C3" w:rsidRPr="00306F4D" w:rsidRDefault="79D2B3C3" w:rsidP="4186447D">
      <w:pPr>
        <w:spacing w:after="0" w:line="276" w:lineRule="auto"/>
        <w:rPr>
          <w:rFonts w:ascii="Arial" w:eastAsia="Arial" w:hAnsi="Arial" w:cs="Arial"/>
          <w:sz w:val="20"/>
          <w:szCs w:val="20"/>
          <w:lang w:val="en-GB"/>
        </w:rPr>
      </w:pPr>
      <w:r w:rsidRPr="00306F4D">
        <w:rPr>
          <w:rFonts w:ascii="Arial" w:eastAsia="Arial" w:hAnsi="Arial" w:cs="Arial"/>
          <w:sz w:val="20"/>
          <w:szCs w:val="20"/>
          <w:lang w:val="en-GB"/>
        </w:rPr>
        <w:t>Included as a separate file in this proposal.</w:t>
      </w:r>
    </w:p>
    <w:p w14:paraId="31DB4170" w14:textId="77777777" w:rsidR="006125BD" w:rsidRPr="00306F4D" w:rsidRDefault="006125BD" w:rsidP="02E2BB75">
      <w:pPr>
        <w:spacing w:after="0" w:line="276" w:lineRule="auto"/>
        <w:rPr>
          <w:rFonts w:ascii="Arial" w:eastAsia="Arial" w:hAnsi="Arial" w:cs="Arial"/>
          <w:b/>
          <w:bCs/>
          <w:sz w:val="20"/>
          <w:szCs w:val="20"/>
          <w:lang w:val="en-GB"/>
        </w:rPr>
      </w:pPr>
    </w:p>
    <w:p w14:paraId="7BE66139" w14:textId="6F3F17F0" w:rsidR="006125BD" w:rsidRPr="00306F4D" w:rsidRDefault="64F4E8ED" w:rsidP="02E2BB75">
      <w:pPr>
        <w:spacing w:after="0" w:line="276" w:lineRule="auto"/>
        <w:rPr>
          <w:rFonts w:ascii="Arial" w:eastAsia="Arial" w:hAnsi="Arial" w:cs="Arial"/>
          <w:b/>
          <w:bCs/>
          <w:sz w:val="20"/>
          <w:szCs w:val="20"/>
          <w:lang w:val="en-GB"/>
        </w:rPr>
      </w:pPr>
      <w:r w:rsidRPr="00306F4D">
        <w:rPr>
          <w:rFonts w:ascii="Arial" w:eastAsia="Arial" w:hAnsi="Arial" w:cs="Arial"/>
          <w:b/>
          <w:bCs/>
          <w:sz w:val="20"/>
          <w:szCs w:val="20"/>
          <w:lang w:val="en-GB"/>
        </w:rPr>
        <w:t xml:space="preserve">Annex 10: Climate </w:t>
      </w:r>
      <w:r w:rsidR="4B5A2397" w:rsidRPr="00306F4D">
        <w:rPr>
          <w:rFonts w:ascii="Arial" w:eastAsia="Arial" w:hAnsi="Arial" w:cs="Arial"/>
          <w:b/>
          <w:bCs/>
          <w:sz w:val="20"/>
          <w:szCs w:val="20"/>
          <w:lang w:val="en-GB"/>
        </w:rPr>
        <w:t>C</w:t>
      </w:r>
      <w:r w:rsidRPr="00306F4D">
        <w:rPr>
          <w:rFonts w:ascii="Arial" w:eastAsia="Arial" w:hAnsi="Arial" w:cs="Arial"/>
          <w:b/>
          <w:bCs/>
          <w:sz w:val="20"/>
          <w:szCs w:val="20"/>
          <w:lang w:val="en-GB"/>
        </w:rPr>
        <w:t xml:space="preserve">hange </w:t>
      </w:r>
      <w:r w:rsidR="4B5A2397" w:rsidRPr="00306F4D">
        <w:rPr>
          <w:rFonts w:ascii="Arial" w:eastAsia="Arial" w:hAnsi="Arial" w:cs="Arial"/>
          <w:b/>
          <w:bCs/>
          <w:sz w:val="20"/>
          <w:szCs w:val="20"/>
          <w:lang w:val="en-GB"/>
        </w:rPr>
        <w:t>A</w:t>
      </w:r>
      <w:r w:rsidRPr="00306F4D">
        <w:rPr>
          <w:rFonts w:ascii="Arial" w:eastAsia="Arial" w:hAnsi="Arial" w:cs="Arial"/>
          <w:b/>
          <w:bCs/>
          <w:sz w:val="20"/>
          <w:szCs w:val="20"/>
          <w:lang w:val="en-GB"/>
        </w:rPr>
        <w:t>nalysis</w:t>
      </w:r>
    </w:p>
    <w:p w14:paraId="51359746" w14:textId="580F7FC3" w:rsidR="00AC40D7" w:rsidRPr="00306F4D" w:rsidRDefault="64F4E8ED" w:rsidP="02E2BB75">
      <w:pPr>
        <w:widowControl w:val="0"/>
        <w:autoSpaceDE w:val="0"/>
        <w:autoSpaceDN w:val="0"/>
        <w:spacing w:before="81" w:after="0" w:line="276" w:lineRule="auto"/>
        <w:rPr>
          <w:rFonts w:ascii="Arial" w:eastAsia="Arial" w:hAnsi="Arial" w:cs="Arial"/>
          <w:sz w:val="20"/>
          <w:szCs w:val="20"/>
          <w:lang w:val="en-GB"/>
        </w:rPr>
      </w:pPr>
      <w:r w:rsidRPr="00306F4D">
        <w:rPr>
          <w:rFonts w:ascii="Arial" w:eastAsia="Arial" w:hAnsi="Arial" w:cs="Arial"/>
          <w:sz w:val="20"/>
          <w:szCs w:val="20"/>
          <w:lang w:val="en-GB"/>
        </w:rPr>
        <w:t>Included as a separate file in this proposal.</w:t>
      </w:r>
    </w:p>
    <w:p w14:paraId="0A06D394" w14:textId="6005F6AA" w:rsidR="00F0119D" w:rsidRPr="00306F4D" w:rsidRDefault="00F0119D" w:rsidP="02E2BB75">
      <w:pPr>
        <w:widowControl w:val="0"/>
        <w:autoSpaceDE w:val="0"/>
        <w:autoSpaceDN w:val="0"/>
        <w:spacing w:before="81" w:after="0" w:line="276" w:lineRule="auto"/>
        <w:rPr>
          <w:rFonts w:ascii="Arial" w:eastAsia="Arial" w:hAnsi="Arial" w:cs="Arial"/>
          <w:b/>
          <w:sz w:val="20"/>
          <w:szCs w:val="20"/>
        </w:rPr>
      </w:pPr>
      <w:r w:rsidRPr="00306F4D">
        <w:rPr>
          <w:rFonts w:ascii="Arial" w:eastAsia="Arial" w:hAnsi="Arial" w:cs="Arial"/>
          <w:b/>
          <w:sz w:val="20"/>
          <w:szCs w:val="20"/>
          <w:lang w:val="en-GB"/>
        </w:rPr>
        <w:t xml:space="preserve">Annex 11: </w:t>
      </w:r>
      <w:r w:rsidR="00550C60" w:rsidRPr="00306F4D">
        <w:rPr>
          <w:rFonts w:ascii="Arial" w:eastAsia="Arial" w:hAnsi="Arial" w:cs="Arial"/>
          <w:b/>
          <w:sz w:val="20"/>
          <w:szCs w:val="20"/>
          <w:lang w:val="en-GB"/>
        </w:rPr>
        <w:t xml:space="preserve">Letter </w:t>
      </w:r>
      <w:r w:rsidR="006D09C6" w:rsidRPr="00306F4D">
        <w:rPr>
          <w:rFonts w:ascii="Arial" w:eastAsia="Arial" w:hAnsi="Arial" w:cs="Arial"/>
          <w:b/>
          <w:sz w:val="20"/>
          <w:szCs w:val="20"/>
          <w:lang w:val="en-GB"/>
        </w:rPr>
        <w:t xml:space="preserve">of justification for the </w:t>
      </w:r>
      <w:r w:rsidR="006D09C6" w:rsidRPr="00306F4D">
        <w:rPr>
          <w:rFonts w:ascii="Arial" w:eastAsia="Arial" w:hAnsi="Arial" w:cs="Arial"/>
          <w:b/>
          <w:sz w:val="20"/>
          <w:szCs w:val="20"/>
        </w:rPr>
        <w:t>proposed</w:t>
      </w:r>
      <w:r w:rsidR="0006485D" w:rsidRPr="00306F4D">
        <w:rPr>
          <w:rFonts w:ascii="Arial" w:eastAsia="Arial" w:hAnsi="Arial" w:cs="Arial"/>
          <w:b/>
          <w:sz w:val="20"/>
          <w:szCs w:val="20"/>
        </w:rPr>
        <w:t xml:space="preserve"> management arrangements and PMC </w:t>
      </w:r>
    </w:p>
    <w:p w14:paraId="23530457" w14:textId="77777777" w:rsidR="0006485D" w:rsidRDefault="0006485D" w:rsidP="0006485D">
      <w:pPr>
        <w:widowControl w:val="0"/>
        <w:autoSpaceDE w:val="0"/>
        <w:autoSpaceDN w:val="0"/>
        <w:spacing w:before="81" w:after="0" w:line="276" w:lineRule="auto"/>
        <w:rPr>
          <w:rFonts w:ascii="Arial" w:eastAsia="Arial" w:hAnsi="Arial" w:cs="Arial"/>
          <w:sz w:val="20"/>
          <w:szCs w:val="20"/>
          <w:lang w:val="en-GB"/>
        </w:rPr>
      </w:pPr>
      <w:r w:rsidRPr="00306F4D">
        <w:rPr>
          <w:rFonts w:ascii="Arial" w:eastAsia="Arial" w:hAnsi="Arial" w:cs="Arial"/>
          <w:sz w:val="20"/>
          <w:szCs w:val="20"/>
          <w:lang w:val="en-GB"/>
        </w:rPr>
        <w:t>Included as a separate file in this proposal.</w:t>
      </w:r>
    </w:p>
    <w:p w14:paraId="44E86AB9" w14:textId="77777777" w:rsidR="0006485D" w:rsidRPr="00FB1A29" w:rsidRDefault="0006485D" w:rsidP="02E2BB75">
      <w:pPr>
        <w:widowControl w:val="0"/>
        <w:autoSpaceDE w:val="0"/>
        <w:autoSpaceDN w:val="0"/>
        <w:spacing w:before="81" w:after="0" w:line="276" w:lineRule="auto"/>
        <w:rPr>
          <w:rFonts w:ascii="Arial" w:eastAsia="Arial" w:hAnsi="Arial" w:cs="Arial"/>
          <w:sz w:val="20"/>
          <w:szCs w:val="20"/>
          <w:lang w:val="en-GB"/>
        </w:rPr>
      </w:pPr>
    </w:p>
    <w:sectPr w:rsidR="0006485D" w:rsidRPr="00FB1A29" w:rsidSect="002D21DC">
      <w:pgSz w:w="12240" w:h="15840"/>
      <w:pgMar w:top="737" w:right="1134" w:bottom="1134" w:left="1134" w:header="726" w:footer="103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504D1F" w14:textId="77777777" w:rsidR="000F6DDC" w:rsidRDefault="000F6DDC">
      <w:pPr>
        <w:spacing w:after="0" w:line="240" w:lineRule="auto"/>
      </w:pPr>
      <w:r>
        <w:separator/>
      </w:r>
    </w:p>
  </w:endnote>
  <w:endnote w:type="continuationSeparator" w:id="0">
    <w:p w14:paraId="7C2ACC95" w14:textId="77777777" w:rsidR="000F6DDC" w:rsidRDefault="000F6DDC">
      <w:pPr>
        <w:spacing w:after="0" w:line="240" w:lineRule="auto"/>
      </w:pPr>
      <w:r>
        <w:continuationSeparator/>
      </w:r>
    </w:p>
  </w:endnote>
  <w:endnote w:type="continuationNotice" w:id="1">
    <w:p w14:paraId="01608A40" w14:textId="77777777" w:rsidR="000F6DDC" w:rsidRDefault="000F6DD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Aptos Narrow">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15104471"/>
      <w:docPartObj>
        <w:docPartGallery w:val="Page Numbers (Bottom of Page)"/>
        <w:docPartUnique/>
      </w:docPartObj>
    </w:sdtPr>
    <w:sdtEndPr>
      <w:rPr>
        <w:rStyle w:val="PageNumber"/>
      </w:rPr>
    </w:sdtEndPr>
    <w:sdtContent>
      <w:p w14:paraId="7E1FD07B" w14:textId="50EE7970" w:rsidR="00FD28B5" w:rsidRDefault="00FD28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3EC5FB0" w14:textId="77777777" w:rsidR="00FD28B5" w:rsidRDefault="00FD28B5" w:rsidP="00724D9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54615047"/>
      <w:docPartObj>
        <w:docPartGallery w:val="Page Numbers (Bottom of Page)"/>
        <w:docPartUnique/>
      </w:docPartObj>
    </w:sdtPr>
    <w:sdtEndPr>
      <w:rPr>
        <w:rStyle w:val="PageNumber"/>
      </w:rPr>
    </w:sdtEndPr>
    <w:sdtContent>
      <w:p w14:paraId="1F60CE59" w14:textId="39DD3678" w:rsidR="00724D99" w:rsidRDefault="00724D9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w:t>
        </w:r>
        <w:r>
          <w:rPr>
            <w:rStyle w:val="PageNumber"/>
          </w:rPr>
          <w:fldChar w:fldCharType="end"/>
        </w:r>
      </w:p>
    </w:sdtContent>
  </w:sdt>
  <w:tbl>
    <w:tblPr>
      <w:tblW w:w="0" w:type="auto"/>
      <w:tblLayout w:type="fixed"/>
      <w:tblLook w:val="06A0" w:firstRow="1" w:lastRow="0" w:firstColumn="1" w:lastColumn="0" w:noHBand="1" w:noVBand="1"/>
    </w:tblPr>
    <w:tblGrid>
      <w:gridCol w:w="3120"/>
      <w:gridCol w:w="3120"/>
      <w:gridCol w:w="3120"/>
    </w:tblGrid>
    <w:tr w:rsidR="02E2BB75" w14:paraId="1214B525" w14:textId="77777777" w:rsidTr="02E2BB75">
      <w:trPr>
        <w:trHeight w:val="300"/>
      </w:trPr>
      <w:tc>
        <w:tcPr>
          <w:tcW w:w="3120" w:type="dxa"/>
        </w:tcPr>
        <w:p w14:paraId="0DD3D75E" w14:textId="5F016A81" w:rsidR="02E2BB75" w:rsidRDefault="02E2BB75" w:rsidP="00724D99">
          <w:pPr>
            <w:pStyle w:val="Header"/>
            <w:ind w:left="-115" w:right="360"/>
          </w:pPr>
        </w:p>
      </w:tc>
      <w:tc>
        <w:tcPr>
          <w:tcW w:w="3120" w:type="dxa"/>
        </w:tcPr>
        <w:p w14:paraId="568DF964" w14:textId="47452153" w:rsidR="02E2BB75" w:rsidRDefault="02E2BB75" w:rsidP="02E2BB75">
          <w:pPr>
            <w:pStyle w:val="Header"/>
            <w:jc w:val="center"/>
          </w:pPr>
        </w:p>
      </w:tc>
      <w:tc>
        <w:tcPr>
          <w:tcW w:w="3120" w:type="dxa"/>
        </w:tcPr>
        <w:p w14:paraId="4BDB6D96" w14:textId="172E1A37" w:rsidR="02E2BB75" w:rsidRDefault="02E2BB75" w:rsidP="02E2BB75">
          <w:pPr>
            <w:pStyle w:val="Header"/>
            <w:ind w:right="-115"/>
            <w:jc w:val="right"/>
          </w:pPr>
        </w:p>
      </w:tc>
    </w:tr>
  </w:tbl>
  <w:p w14:paraId="5874E47B" w14:textId="111ABA82" w:rsidR="02E2BB75" w:rsidRDefault="02E2BB75" w:rsidP="02E2BB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46F23532" w14:paraId="0995CDF9" w14:textId="77777777" w:rsidTr="46F23532">
      <w:trPr>
        <w:trHeight w:val="300"/>
      </w:trPr>
      <w:tc>
        <w:tcPr>
          <w:tcW w:w="3120" w:type="dxa"/>
        </w:tcPr>
        <w:p w14:paraId="73BAFF3C" w14:textId="560DD73C" w:rsidR="46F23532" w:rsidRDefault="46F23532" w:rsidP="46F23532">
          <w:pPr>
            <w:pStyle w:val="Header"/>
            <w:ind w:left="-115"/>
          </w:pPr>
        </w:p>
      </w:tc>
      <w:tc>
        <w:tcPr>
          <w:tcW w:w="3120" w:type="dxa"/>
        </w:tcPr>
        <w:p w14:paraId="4C31EC4D" w14:textId="26B4BC16" w:rsidR="46F23532" w:rsidRDefault="46F23532" w:rsidP="46F23532">
          <w:pPr>
            <w:pStyle w:val="Header"/>
            <w:jc w:val="center"/>
          </w:pPr>
        </w:p>
      </w:tc>
      <w:tc>
        <w:tcPr>
          <w:tcW w:w="3120" w:type="dxa"/>
        </w:tcPr>
        <w:p w14:paraId="77492FB3" w14:textId="6A46C499" w:rsidR="46F23532" w:rsidRDefault="46F23532" w:rsidP="46F23532">
          <w:pPr>
            <w:pStyle w:val="Header"/>
            <w:ind w:right="-115"/>
            <w:jc w:val="right"/>
          </w:pPr>
        </w:p>
      </w:tc>
    </w:tr>
  </w:tbl>
  <w:p w14:paraId="661A71A7" w14:textId="3E814093" w:rsidR="00AA0875" w:rsidRDefault="00AA087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70657491"/>
      <w:docPartObj>
        <w:docPartGallery w:val="Page Numbers (Bottom of Page)"/>
        <w:docPartUnique/>
      </w:docPartObj>
    </w:sdtPr>
    <w:sdtEndPr>
      <w:rPr>
        <w:rStyle w:val="PageNumber"/>
      </w:rPr>
    </w:sdtEndPr>
    <w:sdtContent>
      <w:p w14:paraId="03012B84" w14:textId="0FCF5778" w:rsidR="001F4CA2" w:rsidRDefault="001F4CA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33</w:t>
        </w:r>
        <w:r>
          <w:rPr>
            <w:rStyle w:val="PageNumber"/>
          </w:rPr>
          <w:fldChar w:fldCharType="end"/>
        </w:r>
      </w:p>
    </w:sdtContent>
  </w:sdt>
  <w:tbl>
    <w:tblPr>
      <w:tblW w:w="0" w:type="auto"/>
      <w:tblLayout w:type="fixed"/>
      <w:tblLook w:val="06A0" w:firstRow="1" w:lastRow="0" w:firstColumn="1" w:lastColumn="0" w:noHBand="1" w:noVBand="1"/>
    </w:tblPr>
    <w:tblGrid>
      <w:gridCol w:w="3120"/>
      <w:gridCol w:w="3120"/>
      <w:gridCol w:w="3120"/>
    </w:tblGrid>
    <w:tr w:rsidR="02E2BB75" w14:paraId="34A91AB6" w14:textId="77777777" w:rsidTr="02E2BB75">
      <w:trPr>
        <w:trHeight w:val="300"/>
      </w:trPr>
      <w:tc>
        <w:tcPr>
          <w:tcW w:w="3120" w:type="dxa"/>
        </w:tcPr>
        <w:p w14:paraId="0F4E058B" w14:textId="7A1A3C84" w:rsidR="02E2BB75" w:rsidRDefault="02E2BB75" w:rsidP="001F4CA2">
          <w:pPr>
            <w:pStyle w:val="Header"/>
            <w:ind w:left="-115" w:right="360"/>
          </w:pPr>
        </w:p>
      </w:tc>
      <w:tc>
        <w:tcPr>
          <w:tcW w:w="3120" w:type="dxa"/>
        </w:tcPr>
        <w:p w14:paraId="266A2BF8" w14:textId="0A4CA418" w:rsidR="02E2BB75" w:rsidRDefault="02E2BB75" w:rsidP="02E2BB75">
          <w:pPr>
            <w:pStyle w:val="Header"/>
            <w:jc w:val="center"/>
          </w:pPr>
        </w:p>
      </w:tc>
      <w:tc>
        <w:tcPr>
          <w:tcW w:w="3120" w:type="dxa"/>
        </w:tcPr>
        <w:p w14:paraId="16A7D6E2" w14:textId="14B75EE0" w:rsidR="02E2BB75" w:rsidRDefault="02E2BB75" w:rsidP="02E2BB75">
          <w:pPr>
            <w:pStyle w:val="Header"/>
            <w:ind w:right="-115"/>
            <w:jc w:val="right"/>
          </w:pPr>
        </w:p>
      </w:tc>
    </w:tr>
  </w:tbl>
  <w:p w14:paraId="7B6023B4" w14:textId="6E96B740" w:rsidR="02E2BB75" w:rsidRDefault="02E2BB75" w:rsidP="02E2BB7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46F23532" w14:paraId="663BC7C6" w14:textId="77777777" w:rsidTr="46F23532">
      <w:trPr>
        <w:trHeight w:val="300"/>
      </w:trPr>
      <w:tc>
        <w:tcPr>
          <w:tcW w:w="3120" w:type="dxa"/>
        </w:tcPr>
        <w:p w14:paraId="03F6EDE1" w14:textId="01EBB11F" w:rsidR="46F23532" w:rsidRDefault="46F23532" w:rsidP="46F23532">
          <w:pPr>
            <w:pStyle w:val="Header"/>
            <w:ind w:left="-115"/>
          </w:pPr>
        </w:p>
      </w:tc>
      <w:tc>
        <w:tcPr>
          <w:tcW w:w="3120" w:type="dxa"/>
        </w:tcPr>
        <w:p w14:paraId="7B25C06E" w14:textId="1029361D" w:rsidR="46F23532" w:rsidRDefault="46F23532" w:rsidP="46F23532">
          <w:pPr>
            <w:pStyle w:val="Header"/>
            <w:jc w:val="center"/>
          </w:pPr>
        </w:p>
      </w:tc>
      <w:tc>
        <w:tcPr>
          <w:tcW w:w="3120" w:type="dxa"/>
        </w:tcPr>
        <w:p w14:paraId="3B375C01" w14:textId="51034A40" w:rsidR="46F23532" w:rsidRDefault="46F23532" w:rsidP="46F23532">
          <w:pPr>
            <w:pStyle w:val="Header"/>
            <w:ind w:right="-115"/>
            <w:jc w:val="right"/>
          </w:pPr>
        </w:p>
      </w:tc>
    </w:tr>
  </w:tbl>
  <w:p w14:paraId="644548D8" w14:textId="46DA51A5" w:rsidR="00AA0875" w:rsidRDefault="00AA087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23866782"/>
      <w:docPartObj>
        <w:docPartGallery w:val="Page Numbers (Bottom of Page)"/>
        <w:docPartUnique/>
      </w:docPartObj>
    </w:sdtPr>
    <w:sdtEndPr>
      <w:rPr>
        <w:rStyle w:val="PageNumber"/>
      </w:rPr>
    </w:sdtEndPr>
    <w:sdtContent>
      <w:p w14:paraId="488018CC" w14:textId="51E33063" w:rsidR="008B631B" w:rsidRDefault="00FD28B5" w:rsidP="00413459">
        <w:pPr>
          <w:pStyle w:val="Footer"/>
          <w:framePr w:wrap="none" w:vAnchor="text" w:hAnchor="margin" w:xAlign="right" w:y="1"/>
          <w:jc w:val="right"/>
          <w:rPr>
            <w:rStyle w:val="PageNumber"/>
          </w:rPr>
        </w:pPr>
        <w:r>
          <w:rPr>
            <w:rStyle w:val="PageNumber"/>
          </w:rPr>
          <w:fldChar w:fldCharType="begin"/>
        </w:r>
        <w:r>
          <w:rPr>
            <w:rStyle w:val="PageNumber"/>
          </w:rPr>
          <w:instrText xml:space="preserve"> PAGE </w:instrText>
        </w:r>
        <w:r>
          <w:rPr>
            <w:rStyle w:val="PageNumber"/>
          </w:rPr>
          <w:fldChar w:fldCharType="separate"/>
        </w:r>
        <w:r w:rsidR="008B631B">
          <w:rPr>
            <w:rStyle w:val="PageNumber"/>
            <w:noProof/>
          </w:rPr>
          <w:t>99</w:t>
        </w:r>
        <w:r>
          <w:rPr>
            <w:rStyle w:val="PageNumber"/>
          </w:rPr>
          <w:fldChar w:fldCharType="end"/>
        </w:r>
      </w:p>
    </w:sdtContent>
  </w:sdt>
  <w:p w14:paraId="31218808" w14:textId="6BEEB0BB" w:rsidR="00FD28B5" w:rsidRDefault="00FD28B5" w:rsidP="008B631B">
    <w:pPr>
      <w:pStyle w:val="Footer"/>
      <w:framePr w:wrap="none" w:vAnchor="text" w:hAnchor="margin" w:xAlign="right" w:y="1"/>
      <w:ind w:right="360"/>
      <w:rPr>
        <w:rStyle w:val="PageNumber"/>
      </w:rPr>
    </w:pPr>
  </w:p>
  <w:tbl>
    <w:tblPr>
      <w:tblW w:w="9360" w:type="dxa"/>
      <w:tblInd w:w="627" w:type="dxa"/>
      <w:tblLayout w:type="fixed"/>
      <w:tblLook w:val="06A0" w:firstRow="1" w:lastRow="0" w:firstColumn="1" w:lastColumn="0" w:noHBand="1" w:noVBand="1"/>
    </w:tblPr>
    <w:tblGrid>
      <w:gridCol w:w="3120"/>
      <w:gridCol w:w="3120"/>
      <w:gridCol w:w="3120"/>
    </w:tblGrid>
    <w:tr w:rsidR="02E2BB75" w14:paraId="044E9850" w14:textId="77777777" w:rsidTr="00464ECE">
      <w:trPr>
        <w:trHeight w:val="300"/>
      </w:trPr>
      <w:tc>
        <w:tcPr>
          <w:tcW w:w="3120" w:type="dxa"/>
        </w:tcPr>
        <w:p w14:paraId="0146AF91" w14:textId="7BCE3BFD" w:rsidR="02E2BB75" w:rsidRDefault="02E2BB75" w:rsidP="00FD28B5">
          <w:pPr>
            <w:pStyle w:val="Header"/>
            <w:ind w:left="-115" w:right="360"/>
          </w:pPr>
        </w:p>
      </w:tc>
      <w:tc>
        <w:tcPr>
          <w:tcW w:w="3120" w:type="dxa"/>
        </w:tcPr>
        <w:p w14:paraId="5478D042" w14:textId="76114159" w:rsidR="02E2BB75" w:rsidRDefault="02E2BB75" w:rsidP="02E2BB75">
          <w:pPr>
            <w:pStyle w:val="Header"/>
            <w:jc w:val="center"/>
          </w:pPr>
        </w:p>
      </w:tc>
      <w:tc>
        <w:tcPr>
          <w:tcW w:w="3120" w:type="dxa"/>
        </w:tcPr>
        <w:p w14:paraId="38961617" w14:textId="037C0BFE" w:rsidR="02E2BB75" w:rsidRDefault="02E2BB75" w:rsidP="02E2BB75">
          <w:pPr>
            <w:pStyle w:val="Header"/>
            <w:ind w:right="-115"/>
            <w:jc w:val="right"/>
          </w:pPr>
        </w:p>
      </w:tc>
    </w:tr>
  </w:tbl>
  <w:p w14:paraId="26912365" w14:textId="6170C7A1" w:rsidR="02E2BB75" w:rsidRDefault="02E2BB75" w:rsidP="02E2BB7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46F23532" w14:paraId="171040CF" w14:textId="77777777" w:rsidTr="46F23532">
      <w:trPr>
        <w:trHeight w:val="300"/>
      </w:trPr>
      <w:tc>
        <w:tcPr>
          <w:tcW w:w="3120" w:type="dxa"/>
        </w:tcPr>
        <w:p w14:paraId="34192A0C" w14:textId="252F5446" w:rsidR="46F23532" w:rsidRDefault="46F23532" w:rsidP="46F23532">
          <w:pPr>
            <w:pStyle w:val="Header"/>
            <w:ind w:left="-115"/>
          </w:pPr>
        </w:p>
      </w:tc>
      <w:tc>
        <w:tcPr>
          <w:tcW w:w="3120" w:type="dxa"/>
        </w:tcPr>
        <w:p w14:paraId="2FC5CA85" w14:textId="53D90868" w:rsidR="46F23532" w:rsidRDefault="46F23532" w:rsidP="46F23532">
          <w:pPr>
            <w:pStyle w:val="Header"/>
            <w:jc w:val="center"/>
          </w:pPr>
        </w:p>
      </w:tc>
      <w:tc>
        <w:tcPr>
          <w:tcW w:w="3120" w:type="dxa"/>
        </w:tcPr>
        <w:p w14:paraId="216B6682" w14:textId="379BDED8" w:rsidR="46F23532" w:rsidRDefault="46F23532" w:rsidP="46F23532">
          <w:pPr>
            <w:pStyle w:val="Header"/>
            <w:ind w:right="-115"/>
            <w:jc w:val="right"/>
          </w:pPr>
        </w:p>
      </w:tc>
    </w:tr>
  </w:tbl>
  <w:p w14:paraId="694D5635" w14:textId="512D21B0" w:rsidR="00AA0875" w:rsidRDefault="00AA08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89F777" w14:textId="77777777" w:rsidR="000F6DDC" w:rsidRDefault="000F6DDC">
      <w:pPr>
        <w:spacing w:after="0" w:line="263" w:lineRule="auto"/>
        <w:ind w:left="29"/>
        <w:jc w:val="both"/>
      </w:pPr>
      <w:r>
        <w:separator/>
      </w:r>
    </w:p>
  </w:footnote>
  <w:footnote w:type="continuationSeparator" w:id="0">
    <w:p w14:paraId="51E4CC59" w14:textId="77777777" w:rsidR="000F6DDC" w:rsidRDefault="000F6DDC">
      <w:pPr>
        <w:spacing w:after="0" w:line="263" w:lineRule="auto"/>
        <w:ind w:left="29"/>
        <w:jc w:val="both"/>
      </w:pPr>
      <w:r>
        <w:continuationSeparator/>
      </w:r>
    </w:p>
  </w:footnote>
  <w:footnote w:type="continuationNotice" w:id="1">
    <w:p w14:paraId="423922AF" w14:textId="77777777" w:rsidR="000F6DDC" w:rsidRDefault="000F6DDC">
      <w:pPr>
        <w:spacing w:after="0" w:line="240" w:lineRule="auto"/>
      </w:pPr>
    </w:p>
  </w:footnote>
  <w:footnote w:id="2">
    <w:p w14:paraId="14B2B926" w14:textId="632EAE76" w:rsidR="378F2AB5" w:rsidRPr="00BC3363" w:rsidRDefault="378F2AB5" w:rsidP="00622F32">
      <w:pPr>
        <w:pStyle w:val="paragraph"/>
        <w:spacing w:before="0" w:beforeAutospacing="0" w:after="0" w:afterAutospacing="0"/>
        <w:contextualSpacing/>
        <w:jc w:val="both"/>
        <w:rPr>
          <w:rFonts w:ascii="Arial" w:eastAsiaTheme="minorEastAsia" w:hAnsi="Arial" w:cs="Arial"/>
          <w:color w:val="000000" w:themeColor="text1"/>
          <w:sz w:val="15"/>
          <w:szCs w:val="15"/>
        </w:rPr>
      </w:pPr>
      <w:r w:rsidRPr="00BC3363">
        <w:rPr>
          <w:rStyle w:val="FootnoteReference"/>
          <w:rFonts w:ascii="Arial" w:eastAsia="Arial" w:hAnsi="Arial" w:cs="Arial"/>
          <w:sz w:val="15"/>
          <w:szCs w:val="15"/>
        </w:rPr>
        <w:footnoteRef/>
      </w:r>
      <w:r w:rsidR="338C5E83" w:rsidRPr="00BC3363">
        <w:rPr>
          <w:rFonts w:ascii="Arial" w:eastAsia="Arial" w:hAnsi="Arial" w:cs="Arial"/>
          <w:sz w:val="15"/>
          <w:szCs w:val="15"/>
        </w:rPr>
        <w:t xml:space="preserve"> Thematic areas are: Agriculture, Coastal Zone Management, </w:t>
      </w:r>
      <w:r w:rsidR="338C5E83" w:rsidRPr="00BC3363">
        <w:rPr>
          <w:rStyle w:val="normaltextrun"/>
          <w:rFonts w:ascii="Arial" w:eastAsia="Arial" w:hAnsi="Arial" w:cs="Arial"/>
          <w:color w:val="000000" w:themeColor="text1"/>
          <w:sz w:val="15"/>
          <w:szCs w:val="15"/>
        </w:rPr>
        <w:t>Disaster risk reduction</w:t>
      </w:r>
      <w:r w:rsidR="338C5E83" w:rsidRPr="00BC3363">
        <w:rPr>
          <w:rStyle w:val="eop"/>
          <w:rFonts w:ascii="Arial" w:eastAsia="Arial" w:hAnsi="Arial" w:cs="Arial"/>
          <w:color w:val="000000" w:themeColor="text1"/>
          <w:sz w:val="15"/>
          <w:szCs w:val="15"/>
        </w:rPr>
        <w:t xml:space="preserve">, </w:t>
      </w:r>
      <w:r w:rsidR="338C5E83" w:rsidRPr="00BC3363">
        <w:rPr>
          <w:rStyle w:val="normaltextrun"/>
          <w:rFonts w:ascii="Arial" w:eastAsia="Arial" w:hAnsi="Arial" w:cs="Arial"/>
          <w:color w:val="000000" w:themeColor="text1"/>
          <w:sz w:val="15"/>
          <w:szCs w:val="15"/>
        </w:rPr>
        <w:t>Food security</w:t>
      </w:r>
      <w:r w:rsidR="338C5E83" w:rsidRPr="00BC3363">
        <w:rPr>
          <w:rStyle w:val="eop"/>
          <w:rFonts w:ascii="Arial" w:eastAsia="Arial" w:hAnsi="Arial" w:cs="Arial"/>
          <w:color w:val="000000" w:themeColor="text1"/>
          <w:sz w:val="15"/>
          <w:szCs w:val="15"/>
        </w:rPr>
        <w:t xml:space="preserve">, Forests, Human health, </w:t>
      </w:r>
      <w:r w:rsidR="338C5E83" w:rsidRPr="00BC3363">
        <w:rPr>
          <w:rStyle w:val="normaltextrun"/>
          <w:rFonts w:ascii="Arial" w:eastAsia="Arial" w:hAnsi="Arial" w:cs="Arial"/>
          <w:color w:val="000000" w:themeColor="text1"/>
          <w:sz w:val="15"/>
          <w:szCs w:val="15"/>
        </w:rPr>
        <w:t xml:space="preserve">Innovative climate </w:t>
      </w:r>
      <w:proofErr w:type="gramStart"/>
      <w:r w:rsidR="338C5E83" w:rsidRPr="00BC3363">
        <w:rPr>
          <w:rStyle w:val="normaltextrun"/>
          <w:rFonts w:ascii="Arial" w:eastAsia="Arial" w:hAnsi="Arial" w:cs="Arial"/>
          <w:color w:val="000000" w:themeColor="text1"/>
          <w:sz w:val="15"/>
          <w:szCs w:val="15"/>
        </w:rPr>
        <w:t>finance</w:t>
      </w:r>
      <w:r w:rsidR="338C5E83" w:rsidRPr="00BC3363">
        <w:rPr>
          <w:rStyle w:val="eop"/>
          <w:rFonts w:ascii="Arial" w:eastAsia="Arial" w:hAnsi="Arial" w:cs="Arial"/>
          <w:color w:val="000000" w:themeColor="text1"/>
          <w:sz w:val="15"/>
          <w:szCs w:val="15"/>
        </w:rPr>
        <w:t> </w:t>
      </w:r>
      <w:r w:rsidR="338C5E83" w:rsidRPr="00BC3363">
        <w:rPr>
          <w:rFonts w:ascii="Arial" w:eastAsia="Arial" w:hAnsi="Arial" w:cs="Arial"/>
          <w:color w:val="000000" w:themeColor="text1"/>
          <w:sz w:val="15"/>
          <w:szCs w:val="15"/>
        </w:rPr>
        <w:t>,</w:t>
      </w:r>
      <w:proofErr w:type="gramEnd"/>
      <w:r w:rsidR="338C5E83" w:rsidRPr="00BC3363">
        <w:rPr>
          <w:rFonts w:ascii="Arial" w:eastAsia="Arial" w:hAnsi="Arial" w:cs="Arial"/>
          <w:color w:val="000000" w:themeColor="text1"/>
          <w:sz w:val="15"/>
          <w:szCs w:val="15"/>
        </w:rPr>
        <w:t xml:space="preserve"> Marine and Fisheries, </w:t>
      </w:r>
      <w:r w:rsidR="338C5E83" w:rsidRPr="00BC3363">
        <w:rPr>
          <w:rStyle w:val="normaltextrun"/>
          <w:rFonts w:ascii="Arial" w:eastAsia="Arial" w:hAnsi="Arial" w:cs="Arial"/>
          <w:color w:val="000000" w:themeColor="text1"/>
          <w:sz w:val="15"/>
          <w:szCs w:val="15"/>
        </w:rPr>
        <w:t>Nature-based solutions and ecosystem based adaptation</w:t>
      </w:r>
      <w:r w:rsidR="338C5E83" w:rsidRPr="00BC3363">
        <w:rPr>
          <w:rStyle w:val="eop"/>
          <w:rFonts w:ascii="Arial" w:eastAsia="Arial" w:hAnsi="Arial" w:cs="Arial"/>
          <w:color w:val="000000" w:themeColor="text1"/>
          <w:sz w:val="15"/>
          <w:szCs w:val="15"/>
        </w:rPr>
        <w:t xml:space="preserve">, </w:t>
      </w:r>
      <w:r w:rsidR="338C5E83" w:rsidRPr="00BC3363">
        <w:rPr>
          <w:rStyle w:val="normaltextrun"/>
          <w:rFonts w:ascii="Arial" w:eastAsia="Arial" w:hAnsi="Arial" w:cs="Arial"/>
          <w:color w:val="000000" w:themeColor="text1"/>
          <w:sz w:val="15"/>
          <w:szCs w:val="15"/>
        </w:rPr>
        <w:t>Protection and enhancement of cultural heritage</w:t>
      </w:r>
      <w:r w:rsidR="338C5E83" w:rsidRPr="00BC3363">
        <w:rPr>
          <w:rStyle w:val="eop"/>
          <w:rFonts w:ascii="Arial" w:eastAsia="Arial" w:hAnsi="Arial" w:cs="Arial"/>
          <w:color w:val="000000" w:themeColor="text1"/>
          <w:sz w:val="15"/>
          <w:szCs w:val="15"/>
        </w:rPr>
        <w:t xml:space="preserve">, </w:t>
      </w:r>
      <w:r w:rsidR="338C5E83" w:rsidRPr="00BC3363">
        <w:rPr>
          <w:rStyle w:val="normaltextrun"/>
          <w:rFonts w:ascii="Arial" w:eastAsia="Arial" w:hAnsi="Arial" w:cs="Arial"/>
          <w:color w:val="000000" w:themeColor="text1"/>
          <w:sz w:val="15"/>
          <w:szCs w:val="15"/>
        </w:rPr>
        <w:t>Social innovation</w:t>
      </w:r>
      <w:r w:rsidR="338C5E83" w:rsidRPr="00BC3363">
        <w:rPr>
          <w:rStyle w:val="eop"/>
          <w:rFonts w:ascii="Arial" w:eastAsia="Arial" w:hAnsi="Arial" w:cs="Arial"/>
          <w:color w:val="000000" w:themeColor="text1"/>
          <w:sz w:val="15"/>
          <w:szCs w:val="15"/>
        </w:rPr>
        <w:t xml:space="preserve">,  Rural development, </w:t>
      </w:r>
      <w:r w:rsidR="338C5E83" w:rsidRPr="00BC3363">
        <w:rPr>
          <w:rStyle w:val="normaltextrun"/>
          <w:rFonts w:ascii="Arial" w:eastAsia="Arial" w:hAnsi="Arial" w:cs="Arial"/>
          <w:color w:val="000000" w:themeColor="text1"/>
          <w:sz w:val="15"/>
          <w:szCs w:val="15"/>
        </w:rPr>
        <w:t>Urban adaptation</w:t>
      </w:r>
      <w:r w:rsidR="338C5E83" w:rsidRPr="00BC3363">
        <w:rPr>
          <w:rStyle w:val="eop"/>
          <w:rFonts w:ascii="Arial" w:eastAsia="Arial" w:hAnsi="Arial" w:cs="Arial"/>
          <w:color w:val="000000" w:themeColor="text1"/>
          <w:sz w:val="15"/>
          <w:szCs w:val="15"/>
        </w:rPr>
        <w:t xml:space="preserve">, </w:t>
      </w:r>
      <w:r w:rsidR="338C5E83" w:rsidRPr="00BC3363">
        <w:rPr>
          <w:rStyle w:val="normaltextrun"/>
          <w:rFonts w:ascii="Arial" w:eastAsia="Arial" w:hAnsi="Arial" w:cs="Arial"/>
          <w:color w:val="000000" w:themeColor="text1"/>
          <w:sz w:val="15"/>
          <w:szCs w:val="15"/>
        </w:rPr>
        <w:t>Water management, Wildfire Management.</w:t>
      </w:r>
      <w:r w:rsidR="338C5E83" w:rsidRPr="00BC3363">
        <w:rPr>
          <w:rStyle w:val="eop"/>
          <w:rFonts w:ascii="Arial" w:eastAsia="Arial" w:hAnsi="Arial" w:cs="Arial"/>
          <w:color w:val="000000" w:themeColor="text1"/>
          <w:sz w:val="15"/>
          <w:szCs w:val="15"/>
        </w:rPr>
        <w:t> </w:t>
      </w:r>
    </w:p>
    <w:p w14:paraId="2CBA8811" w14:textId="0B7014CA" w:rsidR="378F2AB5" w:rsidRPr="00BC3363" w:rsidRDefault="378F2AB5" w:rsidP="00622F32">
      <w:pPr>
        <w:pStyle w:val="FootnoteText"/>
        <w:contextualSpacing/>
        <w:rPr>
          <w:rFonts w:ascii="Arial" w:hAnsi="Arial" w:cs="Arial"/>
          <w:sz w:val="15"/>
          <w:szCs w:val="15"/>
        </w:rPr>
      </w:pPr>
    </w:p>
  </w:footnote>
  <w:footnote w:id="3">
    <w:p w14:paraId="2AF9D625" w14:textId="73D79002" w:rsidR="00D7067C" w:rsidRPr="00BC3363" w:rsidRDefault="00D7067C" w:rsidP="00622F32">
      <w:pPr>
        <w:pStyle w:val="FootnoteText"/>
        <w:rPr>
          <w:rFonts w:ascii="Arial" w:hAnsi="Arial" w:cs="Arial"/>
          <w:sz w:val="15"/>
          <w:szCs w:val="15"/>
        </w:rPr>
      </w:pPr>
      <w:r w:rsidRPr="00BC3363">
        <w:rPr>
          <w:rStyle w:val="FootnoteReference"/>
          <w:rFonts w:ascii="Arial" w:eastAsia="Arial" w:hAnsi="Arial" w:cs="Arial"/>
          <w:sz w:val="15"/>
          <w:szCs w:val="15"/>
        </w:rPr>
        <w:footnoteRef/>
      </w:r>
      <w:r w:rsidR="338C5E83" w:rsidRPr="00BC3363">
        <w:rPr>
          <w:rFonts w:ascii="Arial" w:eastAsia="Arial" w:hAnsi="Arial" w:cs="Arial"/>
          <w:sz w:val="15"/>
          <w:szCs w:val="15"/>
        </w:rPr>
        <w:t xml:space="preserve"> All references to Kosovo shall be understood to be in the context of the Security Council Resolution 1244 (1999).</w:t>
      </w:r>
    </w:p>
  </w:footnote>
  <w:footnote w:id="4">
    <w:p w14:paraId="6C38BC30" w14:textId="6A4AE8B6" w:rsidR="02E2BB75" w:rsidRPr="00BC3363" w:rsidRDefault="02E2BB75" w:rsidP="00622F32">
      <w:pPr>
        <w:spacing w:after="0" w:line="240" w:lineRule="auto"/>
        <w:rPr>
          <w:rFonts w:ascii="Arial" w:eastAsia="Arial" w:hAnsi="Arial" w:cs="Arial"/>
          <w:sz w:val="15"/>
          <w:szCs w:val="15"/>
        </w:rPr>
      </w:pPr>
      <w:r w:rsidRPr="00BC3363">
        <w:rPr>
          <w:rFonts w:ascii="Arial" w:eastAsia="Arial" w:hAnsi="Arial" w:cs="Arial"/>
          <w:sz w:val="15"/>
          <w:szCs w:val="15"/>
        </w:rPr>
        <w:footnoteRef/>
      </w:r>
      <w:r w:rsidR="338C5E83" w:rsidRPr="00BC3363">
        <w:rPr>
          <w:rFonts w:ascii="Arial" w:eastAsia="Arial" w:hAnsi="Arial" w:cs="Arial"/>
          <w:sz w:val="15"/>
          <w:szCs w:val="15"/>
        </w:rPr>
        <w:t xml:space="preserve"> </w:t>
      </w:r>
      <w:proofErr w:type="spellStart"/>
      <w:r w:rsidR="338C5E83" w:rsidRPr="00BC3363">
        <w:rPr>
          <w:rFonts w:ascii="Arial" w:eastAsia="Arial" w:hAnsi="Arial" w:cs="Arial"/>
          <w:sz w:val="15"/>
          <w:szCs w:val="15"/>
        </w:rPr>
        <w:t>Worldometer</w:t>
      </w:r>
      <w:proofErr w:type="spellEnd"/>
      <w:r w:rsidR="338C5E83" w:rsidRPr="00BC3363">
        <w:rPr>
          <w:rFonts w:ascii="Arial" w:eastAsia="Arial" w:hAnsi="Arial" w:cs="Arial"/>
          <w:sz w:val="15"/>
          <w:szCs w:val="15"/>
        </w:rPr>
        <w:t xml:space="preserve"> (2025, July 7). Montenegro Population Live. </w:t>
      </w:r>
      <w:hyperlink r:id="rId1">
        <w:r w:rsidR="338C5E83" w:rsidRPr="00BC3363">
          <w:rPr>
            <w:rStyle w:val="Hyperlink"/>
            <w:rFonts w:ascii="Arial" w:eastAsia="Arial" w:hAnsi="Arial" w:cs="Arial"/>
            <w:sz w:val="15"/>
            <w:szCs w:val="15"/>
          </w:rPr>
          <w:t>https://www.worldometers.info/world-population/montenegro-population/</w:t>
        </w:r>
      </w:hyperlink>
    </w:p>
  </w:footnote>
  <w:footnote w:id="5">
    <w:p w14:paraId="78A7FE29" w14:textId="19D3EB31" w:rsidR="02E2BB75" w:rsidRPr="00BC3363" w:rsidRDefault="02E2BB75" w:rsidP="00622F32">
      <w:pPr>
        <w:spacing w:after="0" w:line="240" w:lineRule="auto"/>
        <w:rPr>
          <w:rFonts w:ascii="Arial" w:eastAsia="Arial" w:hAnsi="Arial" w:cs="Arial"/>
          <w:sz w:val="15"/>
          <w:szCs w:val="15"/>
        </w:rPr>
      </w:pPr>
      <w:r w:rsidRPr="00BC3363">
        <w:rPr>
          <w:rFonts w:ascii="Arial" w:eastAsia="Arial" w:hAnsi="Arial" w:cs="Arial"/>
          <w:sz w:val="15"/>
          <w:szCs w:val="15"/>
        </w:rPr>
        <w:footnoteRef/>
      </w:r>
      <w:r w:rsidR="338C5E83" w:rsidRPr="00BC3363">
        <w:rPr>
          <w:rFonts w:ascii="Arial" w:eastAsia="Arial" w:hAnsi="Arial" w:cs="Arial"/>
          <w:sz w:val="15"/>
          <w:szCs w:val="15"/>
        </w:rPr>
        <w:t xml:space="preserve"> </w:t>
      </w:r>
      <w:proofErr w:type="spellStart"/>
      <w:r w:rsidR="338C5E83" w:rsidRPr="00BC3363">
        <w:rPr>
          <w:rFonts w:ascii="Arial" w:eastAsia="Arial" w:hAnsi="Arial" w:cs="Arial"/>
          <w:sz w:val="15"/>
          <w:szCs w:val="15"/>
        </w:rPr>
        <w:t>Worldometer</w:t>
      </w:r>
      <w:proofErr w:type="spellEnd"/>
      <w:r w:rsidR="338C5E83" w:rsidRPr="00BC3363">
        <w:rPr>
          <w:rFonts w:ascii="Arial" w:eastAsia="Arial" w:hAnsi="Arial" w:cs="Arial"/>
          <w:sz w:val="15"/>
          <w:szCs w:val="15"/>
        </w:rPr>
        <w:t xml:space="preserve"> (2025, July 7). North Macedonia Population Live. </w:t>
      </w:r>
      <w:hyperlink r:id="rId2" w:anchor=":~:text=The%20current%20population%20of%20the%20Republic%20of,elaboration%20of%20the%20latest%20United%20Nations%20data1">
        <w:r w:rsidR="338C5E83" w:rsidRPr="00BC3363">
          <w:rPr>
            <w:rStyle w:val="Hyperlink"/>
            <w:rFonts w:ascii="Arial" w:eastAsia="Arial" w:hAnsi="Arial" w:cs="Arial"/>
            <w:sz w:val="15"/>
            <w:szCs w:val="15"/>
          </w:rPr>
          <w:t>https://www.worldometers.info/world-population/north-macedonia-population/#:~:text=The%20current%20population%20of%20the%20Republic%20of,elaboration%20of%20the%20latest%20United%20Nations%20data1</w:t>
        </w:r>
      </w:hyperlink>
      <w:r w:rsidR="338C5E83" w:rsidRPr="00BC3363">
        <w:rPr>
          <w:rFonts w:ascii="Arial" w:eastAsia="Arial" w:hAnsi="Arial" w:cs="Arial"/>
          <w:sz w:val="15"/>
          <w:szCs w:val="15"/>
        </w:rPr>
        <w:t xml:space="preserve">. </w:t>
      </w:r>
    </w:p>
  </w:footnote>
  <w:footnote w:id="6">
    <w:p w14:paraId="477D8D4C" w14:textId="6159B81D" w:rsidR="02E2BB75" w:rsidRPr="00BC3363" w:rsidRDefault="02E2BB75" w:rsidP="00622F32">
      <w:pPr>
        <w:spacing w:after="0" w:line="240" w:lineRule="auto"/>
        <w:rPr>
          <w:rFonts w:ascii="Arial" w:eastAsia="Arial" w:hAnsi="Arial" w:cs="Arial"/>
          <w:sz w:val="15"/>
          <w:szCs w:val="15"/>
        </w:rPr>
      </w:pPr>
      <w:r w:rsidRPr="00BC3363">
        <w:rPr>
          <w:rFonts w:ascii="Arial" w:eastAsia="Arial" w:hAnsi="Arial" w:cs="Arial"/>
          <w:sz w:val="15"/>
          <w:szCs w:val="15"/>
        </w:rPr>
        <w:footnoteRef/>
      </w:r>
      <w:r w:rsidR="338C5E83" w:rsidRPr="00BC3363">
        <w:rPr>
          <w:rFonts w:ascii="Arial" w:eastAsia="Arial" w:hAnsi="Arial" w:cs="Arial"/>
          <w:sz w:val="15"/>
          <w:szCs w:val="15"/>
        </w:rPr>
        <w:t xml:space="preserve">  </w:t>
      </w:r>
      <w:proofErr w:type="spellStart"/>
      <w:r w:rsidR="338C5E83" w:rsidRPr="00BC3363">
        <w:rPr>
          <w:rFonts w:ascii="Arial" w:eastAsia="Arial" w:hAnsi="Arial" w:cs="Arial"/>
          <w:sz w:val="15"/>
          <w:szCs w:val="15"/>
        </w:rPr>
        <w:t>Worldometer</w:t>
      </w:r>
      <w:proofErr w:type="spellEnd"/>
      <w:r w:rsidR="338C5E83" w:rsidRPr="00BC3363">
        <w:rPr>
          <w:rFonts w:ascii="Arial" w:eastAsia="Arial" w:hAnsi="Arial" w:cs="Arial"/>
          <w:sz w:val="15"/>
          <w:szCs w:val="15"/>
        </w:rPr>
        <w:t xml:space="preserve"> (2025, July 7). Bosnia and Herzegovina Population Live. </w:t>
      </w:r>
      <w:hyperlink r:id="rId3">
        <w:r w:rsidR="338C5E83" w:rsidRPr="00BC3363">
          <w:rPr>
            <w:rStyle w:val="Hyperlink"/>
            <w:rFonts w:ascii="Arial" w:eastAsia="Arial" w:hAnsi="Arial" w:cs="Arial"/>
            <w:sz w:val="15"/>
            <w:szCs w:val="15"/>
          </w:rPr>
          <w:t>https://www.worldometers.info/world-population/bosnia-and-herzegovina-population/</w:t>
        </w:r>
      </w:hyperlink>
      <w:r w:rsidR="338C5E83" w:rsidRPr="00BC3363">
        <w:rPr>
          <w:rFonts w:ascii="Arial" w:eastAsia="Arial" w:hAnsi="Arial" w:cs="Arial"/>
          <w:sz w:val="15"/>
          <w:szCs w:val="15"/>
        </w:rPr>
        <w:t xml:space="preserve"> </w:t>
      </w:r>
    </w:p>
  </w:footnote>
  <w:footnote w:id="7">
    <w:p w14:paraId="4E908364" w14:textId="4622ED8E" w:rsidR="02E2BB75" w:rsidRPr="00BC3363" w:rsidRDefault="02E2BB75" w:rsidP="00622F32">
      <w:pPr>
        <w:spacing w:after="0" w:line="240" w:lineRule="auto"/>
        <w:rPr>
          <w:rFonts w:ascii="Arial" w:eastAsia="Arial" w:hAnsi="Arial" w:cs="Arial"/>
          <w:sz w:val="15"/>
          <w:szCs w:val="15"/>
        </w:rPr>
      </w:pPr>
      <w:r w:rsidRPr="00BC3363">
        <w:rPr>
          <w:rFonts w:ascii="Arial" w:eastAsia="Arial" w:hAnsi="Arial" w:cs="Arial"/>
          <w:sz w:val="15"/>
          <w:szCs w:val="15"/>
        </w:rPr>
        <w:footnoteRef/>
      </w:r>
      <w:r w:rsidR="338C5E83" w:rsidRPr="00BC3363">
        <w:rPr>
          <w:rFonts w:ascii="Arial" w:eastAsia="Arial" w:hAnsi="Arial" w:cs="Arial"/>
          <w:sz w:val="15"/>
          <w:szCs w:val="15"/>
        </w:rPr>
        <w:t xml:space="preserve"> </w:t>
      </w:r>
      <w:proofErr w:type="spellStart"/>
      <w:r w:rsidR="338C5E83" w:rsidRPr="00BC3363">
        <w:rPr>
          <w:rFonts w:ascii="Arial" w:eastAsia="Arial" w:hAnsi="Arial" w:cs="Arial"/>
          <w:sz w:val="15"/>
          <w:szCs w:val="15"/>
        </w:rPr>
        <w:t>Worldometer</w:t>
      </w:r>
      <w:proofErr w:type="spellEnd"/>
      <w:r w:rsidR="338C5E83" w:rsidRPr="00BC3363">
        <w:rPr>
          <w:rFonts w:ascii="Arial" w:eastAsia="Arial" w:hAnsi="Arial" w:cs="Arial"/>
          <w:sz w:val="15"/>
          <w:szCs w:val="15"/>
        </w:rPr>
        <w:t xml:space="preserve"> (2025, July 7). Serbia Population Live.</w:t>
      </w:r>
      <w:r w:rsidR="338C5E83" w:rsidRPr="00BC3363">
        <w:rPr>
          <w:rStyle w:val="Hyperlink"/>
          <w:rFonts w:ascii="Arial" w:eastAsia="Arial" w:hAnsi="Arial" w:cs="Arial"/>
          <w:sz w:val="15"/>
          <w:szCs w:val="15"/>
        </w:rPr>
        <w:t xml:space="preserve"> </w:t>
      </w:r>
      <w:hyperlink r:id="rId4">
        <w:r w:rsidR="338C5E83" w:rsidRPr="00BC3363">
          <w:rPr>
            <w:rStyle w:val="Hyperlink"/>
            <w:rFonts w:ascii="Arial" w:eastAsia="Arial" w:hAnsi="Arial" w:cs="Arial"/>
            <w:sz w:val="15"/>
            <w:szCs w:val="15"/>
          </w:rPr>
          <w:t>https://www.worldometers.info/world-population/serbia-population/</w:t>
        </w:r>
      </w:hyperlink>
      <w:r w:rsidR="338C5E83" w:rsidRPr="00BC3363">
        <w:rPr>
          <w:rFonts w:ascii="Arial" w:eastAsia="Arial" w:hAnsi="Arial" w:cs="Arial"/>
          <w:sz w:val="15"/>
          <w:szCs w:val="15"/>
        </w:rPr>
        <w:t xml:space="preserve"> </w:t>
      </w:r>
    </w:p>
  </w:footnote>
  <w:footnote w:id="8">
    <w:p w14:paraId="6C683C90" w14:textId="06DD7350" w:rsidR="02E2BB75" w:rsidRPr="00BC3363" w:rsidRDefault="02E2BB75" w:rsidP="00622F32">
      <w:pPr>
        <w:spacing w:line="240" w:lineRule="auto"/>
        <w:rPr>
          <w:rFonts w:ascii="Arial" w:eastAsia="Arial" w:hAnsi="Arial" w:cs="Arial"/>
          <w:sz w:val="15"/>
          <w:szCs w:val="15"/>
        </w:rPr>
      </w:pPr>
      <w:r w:rsidRPr="00BC3363">
        <w:rPr>
          <w:rFonts w:ascii="Arial" w:eastAsia="Arial" w:hAnsi="Arial" w:cs="Arial"/>
          <w:sz w:val="15"/>
          <w:szCs w:val="15"/>
        </w:rPr>
        <w:footnoteRef/>
      </w:r>
      <w:r w:rsidR="338C5E83" w:rsidRPr="00BC3363">
        <w:rPr>
          <w:rFonts w:ascii="Arial" w:eastAsia="Arial" w:hAnsi="Arial" w:cs="Arial"/>
          <w:sz w:val="15"/>
          <w:szCs w:val="15"/>
        </w:rPr>
        <w:t xml:space="preserve"> Statista Research Department (2024, November 22). GDP growth in the Western Balkans 2021-2026. </w:t>
      </w:r>
      <w:hyperlink r:id="rId5">
        <w:r w:rsidR="338C5E83" w:rsidRPr="00BC3363">
          <w:rPr>
            <w:rStyle w:val="Hyperlink"/>
            <w:rFonts w:ascii="Arial" w:eastAsia="Arial" w:hAnsi="Arial" w:cs="Arial"/>
            <w:color w:val="467886"/>
            <w:sz w:val="15"/>
            <w:szCs w:val="15"/>
          </w:rPr>
          <w:t>https://www.statista.com/statistics/1337205/western-balkans-gdp-growth/</w:t>
        </w:r>
      </w:hyperlink>
    </w:p>
  </w:footnote>
  <w:footnote w:id="9">
    <w:p w14:paraId="76482153" w14:textId="42B792C9" w:rsidR="02E2BB75" w:rsidRPr="00BC3363" w:rsidRDefault="02E2BB75" w:rsidP="00373A1B">
      <w:pPr>
        <w:spacing w:after="0" w:line="240" w:lineRule="auto"/>
        <w:jc w:val="both"/>
        <w:rPr>
          <w:rFonts w:ascii="Arial" w:eastAsia="Arial" w:hAnsi="Arial" w:cs="Arial"/>
          <w:sz w:val="15"/>
          <w:szCs w:val="15"/>
        </w:rPr>
      </w:pPr>
      <w:r w:rsidRPr="00BC3363">
        <w:rPr>
          <w:rFonts w:ascii="Arial" w:eastAsia="Arial" w:hAnsi="Arial" w:cs="Arial"/>
          <w:sz w:val="15"/>
          <w:szCs w:val="15"/>
        </w:rPr>
        <w:footnoteRef/>
      </w:r>
      <w:r w:rsidR="338C5E83" w:rsidRPr="00BC3363">
        <w:rPr>
          <w:rFonts w:ascii="Arial" w:eastAsia="Arial" w:hAnsi="Arial" w:cs="Arial"/>
          <w:sz w:val="15"/>
          <w:szCs w:val="15"/>
        </w:rPr>
        <w:t xml:space="preserve"> Statista Research Department (2024, November 22). Real gross domestic product (GDP) growth in the Western Balkans from 2021 to 2026, by territory. </w:t>
      </w:r>
      <w:hyperlink r:id="rId6">
        <w:r w:rsidR="338C5E83" w:rsidRPr="00BC3363">
          <w:rPr>
            <w:rStyle w:val="Hyperlink"/>
            <w:rFonts w:ascii="Arial" w:eastAsia="Arial" w:hAnsi="Arial" w:cs="Arial"/>
            <w:color w:val="467886"/>
            <w:sz w:val="15"/>
            <w:szCs w:val="15"/>
          </w:rPr>
          <w:t>https://www.statista.com/statistics/1331455/western-balkans-gdp-growth-by-country/</w:t>
        </w:r>
      </w:hyperlink>
    </w:p>
  </w:footnote>
  <w:footnote w:id="10">
    <w:p w14:paraId="0C0FC92E" w14:textId="7F0AF173" w:rsidR="02E2BB75" w:rsidRPr="00BC3363" w:rsidRDefault="02E2BB75" w:rsidP="00373A1B">
      <w:pPr>
        <w:spacing w:after="0" w:line="240" w:lineRule="auto"/>
        <w:rPr>
          <w:rFonts w:ascii="Arial" w:eastAsia="Arial" w:hAnsi="Arial" w:cs="Arial"/>
          <w:sz w:val="15"/>
          <w:szCs w:val="15"/>
        </w:rPr>
      </w:pPr>
      <w:r w:rsidRPr="00BC3363">
        <w:rPr>
          <w:rFonts w:ascii="Arial" w:eastAsia="Arial" w:hAnsi="Arial" w:cs="Arial"/>
          <w:sz w:val="15"/>
          <w:szCs w:val="15"/>
        </w:rPr>
        <w:footnoteRef/>
      </w:r>
      <w:r w:rsidR="338C5E83" w:rsidRPr="00BC3363">
        <w:rPr>
          <w:rFonts w:ascii="Arial" w:eastAsia="Arial" w:hAnsi="Arial" w:cs="Arial"/>
          <w:sz w:val="15"/>
          <w:szCs w:val="15"/>
        </w:rPr>
        <w:t xml:space="preserve"> The United Nations Development Programme (2025). Human Development Report. </w:t>
      </w:r>
      <w:hyperlink r:id="rId7">
        <w:r w:rsidR="338C5E83" w:rsidRPr="00BC3363">
          <w:rPr>
            <w:rStyle w:val="Hyperlink"/>
            <w:rFonts w:ascii="Arial" w:eastAsia="Arial" w:hAnsi="Arial" w:cs="Arial"/>
            <w:color w:val="467886"/>
            <w:sz w:val="15"/>
            <w:szCs w:val="15"/>
          </w:rPr>
          <w:t>https://hdr.undp.org/content/human-development-report-2025</w:t>
        </w:r>
      </w:hyperlink>
      <w:r w:rsidR="338C5E83" w:rsidRPr="00BC3363">
        <w:rPr>
          <w:rFonts w:ascii="Arial" w:eastAsia="Arial" w:hAnsi="Arial" w:cs="Arial"/>
          <w:sz w:val="15"/>
          <w:szCs w:val="15"/>
        </w:rPr>
        <w:t xml:space="preserve">  </w:t>
      </w:r>
    </w:p>
  </w:footnote>
  <w:footnote w:id="11">
    <w:p w14:paraId="7B35381B" w14:textId="7CC7FDCA" w:rsidR="29D10C06" w:rsidRPr="00BC3363" w:rsidRDefault="29D10C06" w:rsidP="00373A1B">
      <w:pPr>
        <w:spacing w:after="0" w:line="240" w:lineRule="auto"/>
        <w:rPr>
          <w:rFonts w:ascii="Arial" w:hAnsi="Arial" w:cs="Arial"/>
          <w:sz w:val="15"/>
          <w:szCs w:val="15"/>
          <w:lang w:val="it-IT"/>
        </w:rPr>
      </w:pPr>
      <w:r w:rsidRPr="00BC3363">
        <w:rPr>
          <w:rFonts w:ascii="Arial" w:eastAsia="Arial" w:hAnsi="Arial" w:cs="Arial"/>
          <w:sz w:val="15"/>
          <w:szCs w:val="15"/>
          <w:lang w:val="fr-FR"/>
        </w:rPr>
        <w:footnoteRef/>
      </w:r>
      <w:r w:rsidR="338C5E83" w:rsidRPr="00BC3363">
        <w:rPr>
          <w:rFonts w:ascii="Arial" w:eastAsia="Arial" w:hAnsi="Arial" w:cs="Arial"/>
          <w:sz w:val="15"/>
          <w:szCs w:val="15"/>
          <w:lang w:val="it-IT"/>
        </w:rPr>
        <w:t xml:space="preserve"> Encyclopædia Britannica. https://www.britannica.com/place/Dinaric-Alps</w:t>
      </w:r>
    </w:p>
  </w:footnote>
  <w:footnote w:id="12">
    <w:p w14:paraId="7B192735" w14:textId="4184B71B" w:rsidR="29D10C06" w:rsidRPr="00BC3363" w:rsidRDefault="29D10C06" w:rsidP="00373A1B">
      <w:pPr>
        <w:spacing w:after="0" w:line="240" w:lineRule="auto"/>
        <w:rPr>
          <w:rFonts w:ascii="Arial" w:hAnsi="Arial" w:cs="Arial"/>
          <w:sz w:val="15"/>
          <w:szCs w:val="15"/>
        </w:rPr>
      </w:pPr>
      <w:r w:rsidRPr="00BC3363">
        <w:rPr>
          <w:rFonts w:ascii="Arial" w:eastAsia="Arial" w:hAnsi="Arial" w:cs="Arial"/>
          <w:sz w:val="15"/>
          <w:szCs w:val="15"/>
        </w:rPr>
        <w:footnoteRef/>
      </w:r>
      <w:r w:rsidR="338C5E83" w:rsidRPr="00BC3363">
        <w:rPr>
          <w:rFonts w:ascii="Arial" w:eastAsia="Arial" w:hAnsi="Arial" w:cs="Arial"/>
          <w:sz w:val="15"/>
          <w:szCs w:val="15"/>
        </w:rPr>
        <w:t xml:space="preserve"> </w:t>
      </w:r>
      <w:proofErr w:type="spellStart"/>
      <w:r w:rsidR="338C5E83" w:rsidRPr="00BC3363">
        <w:rPr>
          <w:rFonts w:ascii="Arial" w:eastAsia="Arial" w:hAnsi="Arial" w:cs="Arial"/>
          <w:sz w:val="15"/>
          <w:szCs w:val="15"/>
        </w:rPr>
        <w:t>Alpinetrek</w:t>
      </w:r>
      <w:proofErr w:type="spellEnd"/>
      <w:r w:rsidR="338C5E83" w:rsidRPr="00BC3363">
        <w:rPr>
          <w:rFonts w:ascii="Arial" w:eastAsia="Arial" w:hAnsi="Arial" w:cs="Arial"/>
          <w:sz w:val="15"/>
          <w:szCs w:val="15"/>
        </w:rPr>
        <w:t xml:space="preserve"> (2024). “The Dinaric Alps: The Unknown </w:t>
      </w:r>
      <w:proofErr w:type="spellStart"/>
      <w:r w:rsidR="338C5E83" w:rsidRPr="00BC3363">
        <w:rPr>
          <w:rFonts w:ascii="Arial" w:eastAsia="Arial" w:hAnsi="Arial" w:cs="Arial"/>
          <w:sz w:val="15"/>
          <w:szCs w:val="15"/>
        </w:rPr>
        <w:t>Neighbour</w:t>
      </w:r>
      <w:proofErr w:type="spellEnd"/>
      <w:r w:rsidR="338C5E83" w:rsidRPr="00BC3363">
        <w:rPr>
          <w:rFonts w:ascii="Arial" w:eastAsia="Arial" w:hAnsi="Arial" w:cs="Arial"/>
          <w:sz w:val="15"/>
          <w:szCs w:val="15"/>
        </w:rPr>
        <w:t>.” Available at: https://www.alpinetrek.co.uk/blog/dinaric-alps/#h-character-and-special-features</w:t>
      </w:r>
    </w:p>
  </w:footnote>
  <w:footnote w:id="13">
    <w:p w14:paraId="67801705" w14:textId="6B9D9F72" w:rsidR="29D10C06" w:rsidRPr="00BC3363" w:rsidRDefault="29D10C06" w:rsidP="00373A1B">
      <w:pPr>
        <w:spacing w:after="0" w:line="240" w:lineRule="auto"/>
        <w:contextualSpacing/>
        <w:rPr>
          <w:rStyle w:val="Hyperlink"/>
          <w:rFonts w:ascii="Arial" w:hAnsi="Arial" w:cs="Arial"/>
          <w:sz w:val="15"/>
          <w:szCs w:val="15"/>
        </w:rPr>
      </w:pPr>
      <w:r w:rsidRPr="00BC3363">
        <w:rPr>
          <w:rFonts w:ascii="Arial" w:eastAsia="Arial" w:hAnsi="Arial" w:cs="Arial"/>
          <w:sz w:val="15"/>
          <w:szCs w:val="15"/>
        </w:rPr>
        <w:footnoteRef/>
      </w:r>
      <w:r w:rsidR="338C5E83" w:rsidRPr="00BC3363">
        <w:rPr>
          <w:rFonts w:ascii="Arial" w:eastAsia="Arial" w:hAnsi="Arial" w:cs="Arial"/>
          <w:sz w:val="15"/>
          <w:szCs w:val="15"/>
        </w:rPr>
        <w:t xml:space="preserve"> Shar Mountain National Park. (n.d.). General information. Public Institution National Park Shar Mountain. Retrieved June 29, 2025, from </w:t>
      </w:r>
      <w:hyperlink r:id="rId8" w:history="1">
        <w:r w:rsidR="338C5E83" w:rsidRPr="00BC3363">
          <w:rPr>
            <w:rStyle w:val="Hyperlink"/>
            <w:rFonts w:ascii="Arial" w:eastAsia="Arial" w:hAnsi="Arial" w:cs="Arial"/>
            <w:sz w:val="15"/>
            <w:szCs w:val="15"/>
          </w:rPr>
          <w:t>https://www.sarmountain.org.mk/en/park/general-information</w:t>
        </w:r>
      </w:hyperlink>
    </w:p>
  </w:footnote>
  <w:footnote w:id="14">
    <w:p w14:paraId="23CADC80" w14:textId="482FB118" w:rsidR="29D10C06" w:rsidRPr="00BC3363" w:rsidRDefault="29D10C06" w:rsidP="00373A1B">
      <w:pPr>
        <w:spacing w:after="0" w:line="240" w:lineRule="auto"/>
        <w:rPr>
          <w:rFonts w:ascii="Arial" w:hAnsi="Arial" w:cs="Arial"/>
          <w:sz w:val="15"/>
          <w:szCs w:val="15"/>
        </w:rPr>
      </w:pPr>
      <w:r w:rsidRPr="00BC3363">
        <w:rPr>
          <w:rFonts w:ascii="Arial" w:eastAsia="Arial" w:hAnsi="Arial" w:cs="Arial"/>
          <w:sz w:val="15"/>
          <w:szCs w:val="15"/>
        </w:rPr>
        <w:footnoteRef/>
      </w:r>
      <w:r w:rsidR="338C5E83" w:rsidRPr="00BC3363">
        <w:rPr>
          <w:rFonts w:ascii="Arial" w:eastAsia="Arial" w:hAnsi="Arial" w:cs="Arial"/>
          <w:sz w:val="15"/>
          <w:szCs w:val="15"/>
        </w:rPr>
        <w:t xml:space="preserve"> Sar Mountain National Park. Available at: https://www.sarmountain.org.mk/en/biodiversity</w:t>
      </w:r>
    </w:p>
  </w:footnote>
  <w:footnote w:id="15">
    <w:p w14:paraId="7E019C10" w14:textId="181ACAF5" w:rsidR="29D10C06" w:rsidRPr="00BC3363" w:rsidRDefault="29D10C06" w:rsidP="00373A1B">
      <w:pPr>
        <w:spacing w:after="0" w:line="240" w:lineRule="auto"/>
        <w:rPr>
          <w:rFonts w:ascii="Arial" w:hAnsi="Arial" w:cs="Arial"/>
          <w:sz w:val="15"/>
          <w:szCs w:val="15"/>
        </w:rPr>
      </w:pPr>
      <w:r w:rsidRPr="00BC3363">
        <w:rPr>
          <w:rFonts w:ascii="Arial" w:eastAsia="Arial" w:hAnsi="Arial" w:cs="Arial"/>
          <w:sz w:val="15"/>
          <w:szCs w:val="15"/>
        </w:rPr>
        <w:footnoteRef/>
      </w:r>
      <w:r w:rsidR="338C5E83" w:rsidRPr="00BC3363">
        <w:rPr>
          <w:rFonts w:ascii="Arial" w:eastAsia="Arial" w:hAnsi="Arial" w:cs="Arial"/>
          <w:sz w:val="15"/>
          <w:szCs w:val="15"/>
        </w:rPr>
        <w:t xml:space="preserve"> Balkan Mountains (“Stara Planina”). Available at: https://bulgariawalking.com/hiking-tour/balkan-mountains-hiking-trekking-walking-bulgaria/.</w:t>
      </w:r>
    </w:p>
  </w:footnote>
  <w:footnote w:id="16">
    <w:p w14:paraId="0CB6DCC7" w14:textId="5EC93A57" w:rsidR="29D10C06" w:rsidRPr="00BC3363" w:rsidRDefault="29D10C06" w:rsidP="00D65AA1">
      <w:pPr>
        <w:spacing w:after="0" w:line="240" w:lineRule="auto"/>
        <w:rPr>
          <w:rFonts w:ascii="Arial" w:hAnsi="Arial" w:cs="Arial"/>
          <w:sz w:val="15"/>
          <w:szCs w:val="15"/>
        </w:rPr>
      </w:pPr>
      <w:r w:rsidRPr="00BC3363">
        <w:rPr>
          <w:rFonts w:ascii="Arial" w:eastAsia="Arial" w:hAnsi="Arial" w:cs="Arial"/>
          <w:sz w:val="15"/>
          <w:szCs w:val="15"/>
        </w:rPr>
        <w:footnoteRef/>
      </w:r>
      <w:r w:rsidR="338C5E83" w:rsidRPr="00BC3363">
        <w:rPr>
          <w:rFonts w:ascii="Arial" w:eastAsia="Arial" w:hAnsi="Arial" w:cs="Arial"/>
          <w:sz w:val="15"/>
          <w:szCs w:val="15"/>
        </w:rPr>
        <w:t xml:space="preserve"> Lasky, Jack (2024). Balkan Mountains. EBSCO Information Services. Available at: https://www.ebsco.com/research-starters/geology/balkan-mountains.</w:t>
      </w:r>
      <w:r w:rsidR="000853E6">
        <w:rPr>
          <w:rFonts w:ascii="Arial" w:eastAsia="Arial" w:hAnsi="Arial" w:cs="Arial"/>
          <w:sz w:val="15"/>
          <w:szCs w:val="15"/>
        </w:rPr>
        <w:t>a</w:t>
      </w:r>
    </w:p>
  </w:footnote>
  <w:footnote w:id="17">
    <w:p w14:paraId="291FD35E" w14:textId="656E4BC3" w:rsidR="441409A5" w:rsidRPr="00BC3363" w:rsidRDefault="441409A5" w:rsidP="00D65AA1">
      <w:pPr>
        <w:pStyle w:val="FootnoteText"/>
        <w:rPr>
          <w:rFonts w:ascii="Arial" w:hAnsi="Arial" w:cs="Arial"/>
          <w:sz w:val="15"/>
          <w:szCs w:val="15"/>
        </w:rPr>
      </w:pPr>
      <w:r w:rsidRPr="00BC3363">
        <w:rPr>
          <w:rStyle w:val="FootnoteReference"/>
          <w:rFonts w:ascii="Arial" w:eastAsia="Arial" w:hAnsi="Arial" w:cs="Arial"/>
          <w:sz w:val="15"/>
          <w:szCs w:val="15"/>
        </w:rPr>
        <w:footnoteRef/>
      </w:r>
      <w:r w:rsidR="338C5E83" w:rsidRPr="00BC3363">
        <w:rPr>
          <w:rFonts w:ascii="Arial" w:eastAsia="Arial" w:hAnsi="Arial" w:cs="Arial"/>
          <w:sz w:val="15"/>
          <w:szCs w:val="15"/>
        </w:rPr>
        <w:t xml:space="preserve"> </w:t>
      </w:r>
      <w:proofErr w:type="spellStart"/>
      <w:r w:rsidR="338C5E83" w:rsidRPr="00BC3363">
        <w:rPr>
          <w:rFonts w:ascii="Arial" w:eastAsia="Arial" w:hAnsi="Arial" w:cs="Arial"/>
          <w:sz w:val="15"/>
          <w:szCs w:val="15"/>
        </w:rPr>
        <w:t>Alfthan</w:t>
      </w:r>
      <w:proofErr w:type="spellEnd"/>
      <w:r w:rsidR="338C5E83" w:rsidRPr="00BC3363">
        <w:rPr>
          <w:rFonts w:ascii="Arial" w:eastAsia="Arial" w:hAnsi="Arial" w:cs="Arial"/>
          <w:sz w:val="15"/>
          <w:szCs w:val="15"/>
        </w:rPr>
        <w:t xml:space="preserve">, B.; </w:t>
      </w:r>
      <w:proofErr w:type="spellStart"/>
      <w:r w:rsidR="338C5E83" w:rsidRPr="00BC3363">
        <w:rPr>
          <w:rFonts w:ascii="Arial" w:eastAsia="Arial" w:hAnsi="Arial" w:cs="Arial"/>
          <w:sz w:val="15"/>
          <w:szCs w:val="15"/>
        </w:rPr>
        <w:t>Krilasevic</w:t>
      </w:r>
      <w:proofErr w:type="spellEnd"/>
      <w:r w:rsidR="338C5E83" w:rsidRPr="00BC3363">
        <w:rPr>
          <w:rFonts w:ascii="Arial" w:eastAsia="Arial" w:hAnsi="Arial" w:cs="Arial"/>
          <w:sz w:val="15"/>
          <w:szCs w:val="15"/>
        </w:rPr>
        <w:t xml:space="preserve">, E.; Venturini, S.; </w:t>
      </w:r>
      <w:proofErr w:type="spellStart"/>
      <w:r w:rsidR="338C5E83" w:rsidRPr="00BC3363">
        <w:rPr>
          <w:rFonts w:ascii="Arial" w:eastAsia="Arial" w:hAnsi="Arial" w:cs="Arial"/>
          <w:sz w:val="15"/>
          <w:szCs w:val="15"/>
        </w:rPr>
        <w:t>Bajrovic</w:t>
      </w:r>
      <w:proofErr w:type="spellEnd"/>
      <w:r w:rsidR="338C5E83" w:rsidRPr="00BC3363">
        <w:rPr>
          <w:rFonts w:ascii="Arial" w:eastAsia="Arial" w:hAnsi="Arial" w:cs="Arial"/>
          <w:sz w:val="15"/>
          <w:szCs w:val="15"/>
        </w:rPr>
        <w:t xml:space="preserve">, S.; Jurek, M.; Schoolmeester, T., Sandei, P.C., Egerer, H, and Kurvits, T. 2015. </w:t>
      </w:r>
      <w:r w:rsidR="338C5E83" w:rsidRPr="00BC3363">
        <w:rPr>
          <w:rFonts w:ascii="Arial" w:eastAsia="Arial" w:hAnsi="Arial" w:cs="Arial"/>
          <w:i/>
          <w:iCs/>
          <w:sz w:val="15"/>
          <w:szCs w:val="15"/>
        </w:rPr>
        <w:t>Outlook on Climate Change Adaptation in the Western Balkan Mountains.</w:t>
      </w:r>
      <w:r w:rsidR="338C5E83" w:rsidRPr="00BC3363">
        <w:rPr>
          <w:rFonts w:ascii="Arial" w:eastAsia="Arial" w:hAnsi="Arial" w:cs="Arial"/>
          <w:sz w:val="15"/>
          <w:szCs w:val="15"/>
        </w:rPr>
        <w:t xml:space="preserve"> United Nations Environment Programme (UNEP), GRID-Arendal, and Environmental Innovations Association (EIA). Vienna, Arendal and Sarajevo. </w:t>
      </w:r>
      <w:hyperlink r:id="rId9">
        <w:r w:rsidR="338C5E83" w:rsidRPr="00BC3363">
          <w:rPr>
            <w:rStyle w:val="Hyperlink"/>
            <w:rFonts w:ascii="Arial" w:eastAsia="Arial" w:hAnsi="Arial" w:cs="Arial"/>
            <w:sz w:val="15"/>
            <w:szCs w:val="15"/>
          </w:rPr>
          <w:t>www.grida.no</w:t>
        </w:r>
      </w:hyperlink>
      <w:r w:rsidR="338C5E83" w:rsidRPr="00BC3363">
        <w:rPr>
          <w:rFonts w:ascii="Arial" w:eastAsia="Arial" w:hAnsi="Arial" w:cs="Arial"/>
          <w:sz w:val="15"/>
          <w:szCs w:val="15"/>
        </w:rPr>
        <w:t>., p. 11.</w:t>
      </w:r>
    </w:p>
  </w:footnote>
  <w:footnote w:id="18">
    <w:p w14:paraId="4DAF8F2C" w14:textId="1EC877C3" w:rsidR="6520814B" w:rsidRPr="00BC3363" w:rsidRDefault="6520814B" w:rsidP="00D65AA1">
      <w:pPr>
        <w:spacing w:after="0" w:line="240" w:lineRule="auto"/>
        <w:rPr>
          <w:rFonts w:ascii="Arial" w:hAnsi="Arial" w:cs="Arial"/>
          <w:sz w:val="15"/>
          <w:szCs w:val="15"/>
        </w:rPr>
      </w:pPr>
      <w:r w:rsidRPr="00BC3363">
        <w:rPr>
          <w:rFonts w:ascii="Arial" w:eastAsia="Arial" w:hAnsi="Arial" w:cs="Arial"/>
          <w:sz w:val="15"/>
          <w:szCs w:val="15"/>
        </w:rPr>
        <w:footnoteRef/>
      </w:r>
      <w:r w:rsidR="338C5E83" w:rsidRPr="00BC3363">
        <w:rPr>
          <w:rFonts w:ascii="Arial" w:eastAsia="Arial" w:hAnsi="Arial" w:cs="Arial"/>
          <w:sz w:val="15"/>
          <w:szCs w:val="15"/>
        </w:rPr>
        <w:t xml:space="preserve"> </w:t>
      </w:r>
      <w:proofErr w:type="spellStart"/>
      <w:r w:rsidR="338C5E83" w:rsidRPr="00BC3363">
        <w:rPr>
          <w:rFonts w:ascii="Arial" w:eastAsia="Arial" w:hAnsi="Arial" w:cs="Arial"/>
          <w:sz w:val="15"/>
          <w:szCs w:val="15"/>
        </w:rPr>
        <w:t>EuroNatur</w:t>
      </w:r>
      <w:proofErr w:type="spellEnd"/>
      <w:r w:rsidR="338C5E83" w:rsidRPr="00BC3363">
        <w:rPr>
          <w:rFonts w:ascii="Arial" w:eastAsia="Arial" w:hAnsi="Arial" w:cs="Arial"/>
          <w:sz w:val="15"/>
          <w:szCs w:val="15"/>
        </w:rPr>
        <w:t xml:space="preserve"> and Riverwatch, Save the Blue Heart of Europe Campaign. Available at: </w:t>
      </w:r>
      <w:hyperlink r:id="rId10">
        <w:r w:rsidR="338C5E83" w:rsidRPr="00BC3363">
          <w:rPr>
            <w:rStyle w:val="Hyperlink"/>
            <w:rFonts w:ascii="Arial" w:eastAsia="Arial" w:hAnsi="Arial" w:cs="Arial"/>
            <w:sz w:val="15"/>
            <w:szCs w:val="15"/>
          </w:rPr>
          <w:t>https://www.balkanrivers.net/en/campaign</w:t>
        </w:r>
      </w:hyperlink>
      <w:r w:rsidR="338C5E83" w:rsidRPr="00BC3363">
        <w:rPr>
          <w:rFonts w:ascii="Arial" w:eastAsia="Arial" w:hAnsi="Arial" w:cs="Arial"/>
          <w:sz w:val="15"/>
          <w:szCs w:val="15"/>
        </w:rPr>
        <w:t xml:space="preserve"> and </w:t>
      </w:r>
      <w:hyperlink r:id="rId11">
        <w:r w:rsidR="338C5E83" w:rsidRPr="00BC3363">
          <w:rPr>
            <w:rStyle w:val="Hyperlink"/>
            <w:rFonts w:ascii="Arial" w:eastAsia="Arial" w:hAnsi="Arial" w:cs="Arial"/>
            <w:sz w:val="15"/>
            <w:szCs w:val="15"/>
          </w:rPr>
          <w:t>https://riverwatch.eu/en/balkanrivers/background</w:t>
        </w:r>
      </w:hyperlink>
      <w:r w:rsidR="338C5E83" w:rsidRPr="00BC3363">
        <w:rPr>
          <w:rFonts w:ascii="Arial" w:eastAsia="Arial" w:hAnsi="Arial" w:cs="Arial"/>
          <w:sz w:val="15"/>
          <w:szCs w:val="15"/>
        </w:rPr>
        <w:t>.</w:t>
      </w:r>
    </w:p>
  </w:footnote>
  <w:footnote w:id="19">
    <w:p w14:paraId="7B869E39" w14:textId="3D61FA6C" w:rsidR="29D10C06" w:rsidRPr="00BC3363" w:rsidRDefault="29D10C06" w:rsidP="00D65AA1">
      <w:pPr>
        <w:spacing w:after="0" w:line="240" w:lineRule="auto"/>
        <w:jc w:val="both"/>
        <w:rPr>
          <w:rFonts w:ascii="Arial" w:hAnsi="Arial" w:cs="Arial"/>
          <w:sz w:val="15"/>
          <w:szCs w:val="15"/>
        </w:rPr>
      </w:pPr>
      <w:r w:rsidRPr="00BC3363">
        <w:rPr>
          <w:rFonts w:ascii="Arial" w:eastAsia="Arial" w:hAnsi="Arial" w:cs="Arial"/>
          <w:sz w:val="15"/>
          <w:szCs w:val="15"/>
        </w:rPr>
        <w:footnoteRef/>
      </w:r>
      <w:r w:rsidR="338C5E83" w:rsidRPr="00BC3363">
        <w:rPr>
          <w:rFonts w:ascii="Arial" w:eastAsia="Arial" w:hAnsi="Arial" w:cs="Arial"/>
          <w:sz w:val="15"/>
          <w:szCs w:val="15"/>
        </w:rPr>
        <w:t xml:space="preserve"> International Sava River Basin Commission (2010). Sava River Basin Analysis Summary. Available at: </w:t>
      </w:r>
      <w:hyperlink r:id="rId12">
        <w:r w:rsidR="338C5E83" w:rsidRPr="00BC3363">
          <w:rPr>
            <w:rStyle w:val="Hyperlink"/>
            <w:rFonts w:ascii="Arial" w:eastAsia="Arial" w:hAnsi="Arial" w:cs="Arial"/>
            <w:sz w:val="15"/>
            <w:szCs w:val="15"/>
          </w:rPr>
          <w:t>https://www.savacommission.org/UserDocsImages/05_documents_publications/water_management/eng/SavaRBMPlan//sava_booklet_eng.pdf</w:t>
        </w:r>
      </w:hyperlink>
      <w:r w:rsidR="338C5E83" w:rsidRPr="00BC3363">
        <w:rPr>
          <w:rFonts w:ascii="Arial" w:eastAsia="Arial" w:hAnsi="Arial" w:cs="Arial"/>
          <w:sz w:val="15"/>
          <w:szCs w:val="15"/>
        </w:rPr>
        <w:t>.</w:t>
      </w:r>
    </w:p>
  </w:footnote>
  <w:footnote w:id="20">
    <w:p w14:paraId="04436E4A" w14:textId="049E0FEC" w:rsidR="29D10C06" w:rsidRPr="00BC3363" w:rsidRDefault="29D10C06" w:rsidP="00D65AA1">
      <w:pPr>
        <w:spacing w:after="0" w:line="240" w:lineRule="auto"/>
        <w:rPr>
          <w:rFonts w:ascii="Arial" w:hAnsi="Arial" w:cs="Arial"/>
          <w:sz w:val="15"/>
          <w:szCs w:val="15"/>
        </w:rPr>
      </w:pPr>
      <w:r w:rsidRPr="00BC3363">
        <w:rPr>
          <w:rFonts w:ascii="Arial" w:eastAsia="Arial" w:hAnsi="Arial" w:cs="Arial"/>
          <w:sz w:val="15"/>
          <w:szCs w:val="15"/>
        </w:rPr>
        <w:footnoteRef/>
      </w:r>
      <w:r w:rsidR="338C5E83" w:rsidRPr="00BC3363">
        <w:rPr>
          <w:rFonts w:ascii="Arial" w:eastAsia="Arial" w:hAnsi="Arial" w:cs="Arial"/>
          <w:sz w:val="15"/>
          <w:szCs w:val="15"/>
        </w:rPr>
        <w:t xml:space="preserve"> Ibid.</w:t>
      </w:r>
    </w:p>
  </w:footnote>
  <w:footnote w:id="21">
    <w:p w14:paraId="6FFC8061" w14:textId="6A8D7981" w:rsidR="29D10C06" w:rsidRPr="00BC3363" w:rsidRDefault="29D10C06" w:rsidP="00D65AA1">
      <w:pPr>
        <w:spacing w:after="0" w:line="240" w:lineRule="auto"/>
        <w:contextualSpacing/>
        <w:jc w:val="both"/>
        <w:rPr>
          <w:rFonts w:ascii="Arial" w:hAnsi="Arial" w:cs="Arial"/>
          <w:sz w:val="15"/>
          <w:szCs w:val="15"/>
        </w:rPr>
      </w:pPr>
      <w:r w:rsidRPr="00BC3363">
        <w:rPr>
          <w:rFonts w:ascii="Arial" w:eastAsia="Arial" w:hAnsi="Arial" w:cs="Arial"/>
          <w:sz w:val="15"/>
          <w:szCs w:val="15"/>
        </w:rPr>
        <w:footnoteRef/>
      </w:r>
      <w:r w:rsidR="338C5E83" w:rsidRPr="00BC3363">
        <w:rPr>
          <w:rFonts w:ascii="Arial" w:eastAsia="Arial" w:hAnsi="Arial" w:cs="Arial"/>
          <w:sz w:val="15"/>
          <w:szCs w:val="15"/>
        </w:rPr>
        <w:t xml:space="preserve"> International Sava River Basin Commission (ISRBC). Information on present and future trends, results of the relevant project implementation, and suggestions for adaptation and further steps are available at: https://www.savacommission.org/en/climate-change.</w:t>
      </w:r>
    </w:p>
  </w:footnote>
  <w:footnote w:id="22">
    <w:p w14:paraId="6FE9D0DC" w14:textId="0A7273A2" w:rsidR="46F23532" w:rsidRPr="00BC3363" w:rsidRDefault="46F23532" w:rsidP="00075DE6">
      <w:pPr>
        <w:spacing w:after="240" w:line="240" w:lineRule="auto"/>
        <w:contextualSpacing/>
        <w:jc w:val="both"/>
        <w:rPr>
          <w:rFonts w:ascii="Arial" w:hAnsi="Arial" w:cs="Arial"/>
          <w:sz w:val="15"/>
          <w:szCs w:val="15"/>
        </w:rPr>
      </w:pPr>
      <w:r w:rsidRPr="00BC3363">
        <w:rPr>
          <w:rFonts w:ascii="Arial" w:eastAsia="Arial" w:hAnsi="Arial" w:cs="Arial"/>
          <w:sz w:val="15"/>
          <w:szCs w:val="15"/>
        </w:rPr>
        <w:footnoteRef/>
      </w:r>
      <w:r w:rsidR="338C5E83" w:rsidRPr="00BC3363">
        <w:rPr>
          <w:rFonts w:ascii="Arial" w:eastAsia="Arial" w:hAnsi="Arial" w:cs="Arial"/>
          <w:sz w:val="15"/>
          <w:szCs w:val="15"/>
        </w:rPr>
        <w:t xml:space="preserve"> Such as occurred after the catastrophic May 2014 floods, as a result of toxic slurry released by the tailings-dam collapse at the discontinued </w:t>
      </w:r>
      <w:proofErr w:type="spellStart"/>
      <w:r w:rsidR="338C5E83" w:rsidRPr="00BC3363">
        <w:rPr>
          <w:rFonts w:ascii="Arial" w:eastAsia="Arial" w:hAnsi="Arial" w:cs="Arial"/>
          <w:sz w:val="15"/>
          <w:szCs w:val="15"/>
        </w:rPr>
        <w:t>Stolice</w:t>
      </w:r>
      <w:proofErr w:type="spellEnd"/>
      <w:r w:rsidR="338C5E83" w:rsidRPr="00BC3363">
        <w:rPr>
          <w:rFonts w:ascii="Arial" w:eastAsia="Arial" w:hAnsi="Arial" w:cs="Arial"/>
          <w:sz w:val="15"/>
          <w:szCs w:val="15"/>
        </w:rPr>
        <w:t xml:space="preserve"> antimony mine into the </w:t>
      </w:r>
      <w:proofErr w:type="spellStart"/>
      <w:r w:rsidR="338C5E83" w:rsidRPr="00BC3363">
        <w:rPr>
          <w:rFonts w:ascii="Arial" w:eastAsia="Arial" w:hAnsi="Arial" w:cs="Arial"/>
          <w:sz w:val="15"/>
          <w:szCs w:val="15"/>
        </w:rPr>
        <w:t>Kostajnik</w:t>
      </w:r>
      <w:proofErr w:type="spellEnd"/>
      <w:r w:rsidR="338C5E83" w:rsidRPr="00BC3363">
        <w:rPr>
          <w:rFonts w:ascii="Arial" w:eastAsia="Arial" w:hAnsi="Arial" w:cs="Arial"/>
          <w:sz w:val="15"/>
          <w:szCs w:val="15"/>
        </w:rPr>
        <w:t xml:space="preserve"> River and, in the same flood catastrophe, of hazardous and contaminated water pumped from the flooded </w:t>
      </w:r>
      <w:proofErr w:type="spellStart"/>
      <w:r w:rsidR="338C5E83" w:rsidRPr="00BC3363">
        <w:rPr>
          <w:rFonts w:ascii="Arial" w:eastAsia="Arial" w:hAnsi="Arial" w:cs="Arial"/>
          <w:sz w:val="15"/>
          <w:szCs w:val="15"/>
        </w:rPr>
        <w:t>Tamnava</w:t>
      </w:r>
      <w:proofErr w:type="spellEnd"/>
      <w:r w:rsidR="338C5E83" w:rsidRPr="00BC3363">
        <w:rPr>
          <w:rFonts w:ascii="Arial" w:eastAsia="Arial" w:hAnsi="Arial" w:cs="Arial"/>
          <w:sz w:val="15"/>
          <w:szCs w:val="15"/>
        </w:rPr>
        <w:t>-West Coal Mine (</w:t>
      </w:r>
      <w:proofErr w:type="spellStart"/>
      <w:r w:rsidR="338C5E83" w:rsidRPr="00BC3363">
        <w:rPr>
          <w:rFonts w:ascii="Arial" w:eastAsia="Arial" w:hAnsi="Arial" w:cs="Arial"/>
          <w:sz w:val="15"/>
          <w:szCs w:val="15"/>
        </w:rPr>
        <w:t>Tamnava-Zapadno</w:t>
      </w:r>
      <w:proofErr w:type="spellEnd"/>
      <w:r w:rsidR="338C5E83" w:rsidRPr="00BC3363">
        <w:rPr>
          <w:rFonts w:ascii="Arial" w:eastAsia="Arial" w:hAnsi="Arial" w:cs="Arial"/>
          <w:sz w:val="15"/>
          <w:szCs w:val="15"/>
        </w:rPr>
        <w:t xml:space="preserve"> polje), a significant open-pit coal mine and major source of fuel for Serbia’s power plants, particularly the Nikola Tesla thermal power plants, into the </w:t>
      </w:r>
      <w:proofErr w:type="spellStart"/>
      <w:r w:rsidR="338C5E83" w:rsidRPr="00BC3363">
        <w:rPr>
          <w:rFonts w:ascii="Arial" w:eastAsia="Arial" w:hAnsi="Arial" w:cs="Arial"/>
          <w:sz w:val="15"/>
          <w:szCs w:val="15"/>
        </w:rPr>
        <w:t>Kolubara</w:t>
      </w:r>
      <w:proofErr w:type="spellEnd"/>
      <w:r w:rsidR="338C5E83" w:rsidRPr="00BC3363">
        <w:rPr>
          <w:rFonts w:ascii="Arial" w:eastAsia="Arial" w:hAnsi="Arial" w:cs="Arial"/>
          <w:sz w:val="15"/>
          <w:szCs w:val="15"/>
        </w:rPr>
        <w:t xml:space="preserve"> River.</w:t>
      </w:r>
      <w:r w:rsidR="00075DE6">
        <w:rPr>
          <w:rFonts w:ascii="Arial" w:eastAsia="Arial" w:hAnsi="Arial" w:cs="Arial"/>
          <w:sz w:val="15"/>
          <w:szCs w:val="15"/>
        </w:rPr>
        <w:t xml:space="preserve"> </w:t>
      </w:r>
      <w:r w:rsidR="338C5E83" w:rsidRPr="00BC3363">
        <w:rPr>
          <w:rFonts w:ascii="Arial" w:eastAsia="Arial" w:hAnsi="Arial" w:cs="Arial"/>
          <w:b/>
          <w:bCs/>
          <w:sz w:val="15"/>
          <w:szCs w:val="15"/>
        </w:rPr>
        <w:t xml:space="preserve">Source: </w:t>
      </w:r>
      <w:r w:rsidR="338C5E83" w:rsidRPr="00BC3363">
        <w:rPr>
          <w:rFonts w:ascii="Arial" w:eastAsia="Arial" w:hAnsi="Arial" w:cs="Arial"/>
          <w:sz w:val="15"/>
          <w:szCs w:val="15"/>
        </w:rPr>
        <w:t xml:space="preserve">Serbia PDNA (2014). Republic of Serbia (2014). Serbia Floods 2014: Post Disaster Needs Assessment (PDNA), Supported Jointly by UN Serbia, EU and World Bank. Available at: </w:t>
      </w:r>
      <w:hyperlink r:id="rId13">
        <w:r w:rsidR="338C5E83" w:rsidRPr="00BC3363">
          <w:rPr>
            <w:rStyle w:val="Hyperlink"/>
            <w:rFonts w:ascii="Arial" w:eastAsia="Arial" w:hAnsi="Arial" w:cs="Arial"/>
            <w:sz w:val="15"/>
            <w:szCs w:val="15"/>
          </w:rPr>
          <w:t>https://fpi.ec.europa.eu/system/files/2021-05/pdna_-_serbia_2014_-_report.pdf</w:t>
        </w:r>
      </w:hyperlink>
      <w:r w:rsidR="338C5E83" w:rsidRPr="00BC3363">
        <w:rPr>
          <w:rFonts w:ascii="Arial" w:eastAsia="Arial" w:hAnsi="Arial" w:cs="Arial"/>
          <w:sz w:val="15"/>
          <w:szCs w:val="15"/>
        </w:rPr>
        <w:t>.</w:t>
      </w:r>
    </w:p>
  </w:footnote>
  <w:footnote w:id="23">
    <w:p w14:paraId="6583F743" w14:textId="65AA0D2D" w:rsidR="46F23532" w:rsidRPr="00BC3363" w:rsidRDefault="46F23532" w:rsidP="00622F32">
      <w:pPr>
        <w:spacing w:line="240" w:lineRule="auto"/>
        <w:contextualSpacing/>
        <w:jc w:val="both"/>
        <w:rPr>
          <w:rFonts w:ascii="Arial" w:hAnsi="Arial" w:cs="Arial"/>
          <w:sz w:val="15"/>
          <w:szCs w:val="15"/>
        </w:rPr>
      </w:pPr>
      <w:r w:rsidRPr="00BC3363">
        <w:rPr>
          <w:rFonts w:ascii="Arial" w:eastAsia="Arial" w:hAnsi="Arial" w:cs="Arial"/>
          <w:sz w:val="15"/>
          <w:szCs w:val="15"/>
        </w:rPr>
        <w:footnoteRef/>
      </w:r>
      <w:r w:rsidR="338C5E83" w:rsidRPr="00BC3363">
        <w:rPr>
          <w:rFonts w:ascii="Arial" w:eastAsia="Arial" w:hAnsi="Arial" w:cs="Arial"/>
          <w:sz w:val="15"/>
          <w:szCs w:val="15"/>
        </w:rPr>
        <w:t xml:space="preserve"> Climate-Adapt (2024). </w:t>
      </w:r>
      <w:r w:rsidR="338C5E83" w:rsidRPr="00BC3363">
        <w:rPr>
          <w:rFonts w:ascii="Arial" w:eastAsia="Arial" w:hAnsi="Arial" w:cs="Arial"/>
          <w:i/>
          <w:iCs/>
          <w:sz w:val="15"/>
          <w:szCs w:val="15"/>
        </w:rPr>
        <w:t xml:space="preserve">Toolbox for Transboundary Water Contingency Management in the Sava River Basin. </w:t>
      </w:r>
      <w:r w:rsidR="338C5E83" w:rsidRPr="00BC3363">
        <w:rPr>
          <w:rFonts w:ascii="Arial" w:eastAsia="Arial" w:hAnsi="Arial" w:cs="Arial"/>
          <w:sz w:val="15"/>
          <w:szCs w:val="15"/>
        </w:rPr>
        <w:t xml:space="preserve">Available at: </w:t>
      </w:r>
      <w:hyperlink r:id="rId14" w:anchor="_ftn1">
        <w:r w:rsidR="338C5E83" w:rsidRPr="00BC3363">
          <w:rPr>
            <w:rStyle w:val="Hyperlink"/>
            <w:rFonts w:ascii="Arial" w:eastAsia="Arial" w:hAnsi="Arial" w:cs="Arial"/>
            <w:sz w:val="15"/>
            <w:szCs w:val="15"/>
          </w:rPr>
          <w:t>https://climate-adapt.eea.europa.eu/en/metadata/case-studies/toolbox-for-transboundary-water-contingency-management-in-the-sava-river-basin/#_ftn1</w:t>
        </w:r>
      </w:hyperlink>
      <w:r w:rsidR="338C5E83" w:rsidRPr="00BC3363">
        <w:rPr>
          <w:rFonts w:ascii="Arial" w:eastAsia="Arial" w:hAnsi="Arial" w:cs="Arial"/>
          <w:sz w:val="15"/>
          <w:szCs w:val="15"/>
        </w:rPr>
        <w:t xml:space="preserve">. </w:t>
      </w:r>
    </w:p>
  </w:footnote>
  <w:footnote w:id="24">
    <w:p w14:paraId="1F3C304C" w14:textId="65347C93" w:rsidR="005E5587" w:rsidRPr="00BC3363" w:rsidRDefault="005E5587" w:rsidP="005E5587">
      <w:pPr>
        <w:spacing w:line="240" w:lineRule="auto"/>
        <w:contextualSpacing/>
        <w:rPr>
          <w:rFonts w:ascii="Arial" w:hAnsi="Arial" w:cs="Arial"/>
          <w:sz w:val="15"/>
          <w:szCs w:val="15"/>
        </w:rPr>
      </w:pPr>
      <w:r w:rsidRPr="00BC3363">
        <w:rPr>
          <w:rFonts w:ascii="Arial" w:eastAsia="Arial" w:hAnsi="Arial" w:cs="Arial"/>
          <w:sz w:val="15"/>
          <w:szCs w:val="15"/>
        </w:rPr>
        <w:footnoteRef/>
      </w:r>
      <w:r w:rsidRPr="00BC3363">
        <w:rPr>
          <w:rFonts w:ascii="Arial" w:eastAsia="Arial" w:hAnsi="Arial" w:cs="Arial"/>
          <w:sz w:val="15"/>
          <w:szCs w:val="15"/>
        </w:rPr>
        <w:t xml:space="preserve"> The contaminated tailings released in the </w:t>
      </w:r>
      <w:proofErr w:type="spellStart"/>
      <w:r w:rsidRPr="00BC3363">
        <w:rPr>
          <w:rFonts w:ascii="Arial" w:eastAsia="Arial" w:hAnsi="Arial" w:cs="Arial"/>
          <w:sz w:val="15"/>
          <w:szCs w:val="15"/>
        </w:rPr>
        <w:t>Stolice</w:t>
      </w:r>
      <w:proofErr w:type="spellEnd"/>
      <w:r w:rsidRPr="00BC3363">
        <w:rPr>
          <w:rFonts w:ascii="Arial" w:eastAsia="Arial" w:hAnsi="Arial" w:cs="Arial"/>
          <w:sz w:val="15"/>
          <w:szCs w:val="15"/>
        </w:rPr>
        <w:t xml:space="preserve"> dam collapse in the catastrophic May 2014 floods “contained high levels of antimony, arsenic, barium, zinc, and lead, contaminating the river and surrounding land. The contamination extended for 27 kilometers of riverbeds and 360 hectares of agricultural land.”</w:t>
      </w:r>
      <w:r w:rsidR="00642239">
        <w:rPr>
          <w:rFonts w:ascii="Arial" w:eastAsia="Arial" w:hAnsi="Arial" w:cs="Arial"/>
          <w:sz w:val="15"/>
          <w:szCs w:val="15"/>
        </w:rPr>
        <w:t xml:space="preserve"> </w:t>
      </w:r>
      <w:r w:rsidRPr="00BC3363">
        <w:rPr>
          <w:rFonts w:ascii="Arial" w:eastAsia="Arial" w:hAnsi="Arial" w:cs="Arial"/>
          <w:b/>
          <w:bCs/>
          <w:sz w:val="15"/>
          <w:szCs w:val="15"/>
        </w:rPr>
        <w:t xml:space="preserve">Source: </w:t>
      </w:r>
      <w:r w:rsidRPr="00BC3363">
        <w:rPr>
          <w:rFonts w:ascii="Arial" w:eastAsia="Arial" w:hAnsi="Arial" w:cs="Arial"/>
          <w:sz w:val="15"/>
          <w:szCs w:val="15"/>
        </w:rPr>
        <w:t xml:space="preserve">Republic of Serbia (2015). Ministry of Agriculture and Environment, Serbia Environmental Protection Agency, </w:t>
      </w:r>
      <w:r w:rsidRPr="00BC3363">
        <w:rPr>
          <w:rFonts w:ascii="Arial" w:eastAsia="Arial" w:hAnsi="Arial" w:cs="Arial"/>
          <w:i/>
          <w:iCs/>
          <w:sz w:val="15"/>
          <w:szCs w:val="15"/>
        </w:rPr>
        <w:t xml:space="preserve">Assessment and Management of Contaminated Sites in Flood Disaster in Serbia 2014. </w:t>
      </w:r>
      <w:r w:rsidRPr="00BC3363">
        <w:rPr>
          <w:rFonts w:ascii="Arial" w:eastAsia="Arial" w:hAnsi="Arial" w:cs="Arial"/>
          <w:sz w:val="15"/>
          <w:szCs w:val="15"/>
        </w:rPr>
        <w:t xml:space="preserve">Available at: </w:t>
      </w:r>
      <w:hyperlink r:id="rId15">
        <w:r w:rsidRPr="00BC3363">
          <w:rPr>
            <w:rStyle w:val="Hyperlink"/>
            <w:rFonts w:ascii="Arial" w:eastAsia="Arial" w:hAnsi="Arial" w:cs="Arial"/>
            <w:sz w:val="15"/>
            <w:szCs w:val="15"/>
          </w:rPr>
          <w:t>https://contaminated-sites.sazp.sk/wp-content/uploads/2020/11/12_ICCS_2015_Dragana_Vidojevic.pdf</w:t>
        </w:r>
      </w:hyperlink>
      <w:r w:rsidRPr="00BC3363">
        <w:rPr>
          <w:rFonts w:ascii="Arial" w:eastAsia="Arial" w:hAnsi="Arial" w:cs="Arial"/>
          <w:sz w:val="15"/>
          <w:szCs w:val="15"/>
        </w:rPr>
        <w:t>.</w:t>
      </w:r>
    </w:p>
  </w:footnote>
  <w:footnote w:id="25">
    <w:p w14:paraId="45E18FA0" w14:textId="161EFB26" w:rsidR="46F23532" w:rsidRPr="00BC3363" w:rsidRDefault="46F23532" w:rsidP="00A2563C">
      <w:pPr>
        <w:spacing w:after="0" w:line="240" w:lineRule="auto"/>
        <w:rPr>
          <w:rFonts w:ascii="Arial" w:hAnsi="Arial" w:cs="Arial"/>
          <w:sz w:val="15"/>
          <w:szCs w:val="15"/>
        </w:rPr>
      </w:pPr>
      <w:r w:rsidRPr="00BC3363">
        <w:rPr>
          <w:rFonts w:ascii="Arial" w:eastAsia="Arial" w:hAnsi="Arial" w:cs="Arial"/>
          <w:sz w:val="15"/>
          <w:szCs w:val="15"/>
        </w:rPr>
        <w:footnoteRef/>
      </w:r>
      <w:r w:rsidR="338C5E83" w:rsidRPr="00BC3363">
        <w:rPr>
          <w:rFonts w:ascii="Arial" w:eastAsia="Arial" w:hAnsi="Arial" w:cs="Arial"/>
          <w:sz w:val="15"/>
          <w:szCs w:val="15"/>
        </w:rPr>
        <w:t xml:space="preserve"> </w:t>
      </w:r>
      <w:r w:rsidR="338C5E83" w:rsidRPr="00BC3363">
        <w:rPr>
          <w:rFonts w:ascii="Arial" w:eastAsia="Arial" w:hAnsi="Arial" w:cs="Arial"/>
          <w:b/>
          <w:bCs/>
          <w:sz w:val="15"/>
          <w:szCs w:val="15"/>
        </w:rPr>
        <w:t>Climate-Adapt (2024).</w:t>
      </w:r>
      <w:r w:rsidR="338C5E83" w:rsidRPr="00BC3363">
        <w:rPr>
          <w:rFonts w:ascii="Arial" w:eastAsia="Arial" w:hAnsi="Arial" w:cs="Arial"/>
          <w:sz w:val="15"/>
          <w:szCs w:val="15"/>
        </w:rPr>
        <w:t xml:space="preserve"> </w:t>
      </w:r>
      <w:r w:rsidR="338C5E83" w:rsidRPr="00BC3363">
        <w:rPr>
          <w:rFonts w:ascii="Arial" w:eastAsia="Arial" w:hAnsi="Arial" w:cs="Arial"/>
          <w:i/>
          <w:iCs/>
          <w:sz w:val="15"/>
          <w:szCs w:val="15"/>
        </w:rPr>
        <w:t xml:space="preserve">Toolbox for Transboundary Water Contingency Management in the Sava River Basin. </w:t>
      </w:r>
    </w:p>
  </w:footnote>
  <w:footnote w:id="26">
    <w:p w14:paraId="4196A83E" w14:textId="77777777" w:rsidR="00184129" w:rsidRPr="00BC3363" w:rsidRDefault="00184129" w:rsidP="00A2563C">
      <w:pPr>
        <w:spacing w:after="0" w:line="240" w:lineRule="auto"/>
        <w:contextualSpacing/>
        <w:jc w:val="both"/>
        <w:rPr>
          <w:rFonts w:ascii="Arial" w:hAnsi="Arial" w:cs="Arial"/>
          <w:sz w:val="15"/>
          <w:szCs w:val="15"/>
        </w:rPr>
      </w:pPr>
      <w:r w:rsidRPr="00BC3363">
        <w:rPr>
          <w:rFonts w:ascii="Arial" w:hAnsi="Arial" w:cs="Arial"/>
          <w:sz w:val="15"/>
          <w:szCs w:val="15"/>
        </w:rPr>
        <w:footnoteRef/>
      </w:r>
      <w:r w:rsidR="338C5E83" w:rsidRPr="00BC3363">
        <w:rPr>
          <w:rFonts w:ascii="Arial" w:eastAsia="Arial" w:hAnsi="Arial" w:cs="Arial"/>
          <w:sz w:val="15"/>
          <w:szCs w:val="15"/>
        </w:rPr>
        <w:t xml:space="preserve"> </w:t>
      </w:r>
      <w:r w:rsidR="338C5E83" w:rsidRPr="00BC3363">
        <w:rPr>
          <w:rFonts w:ascii="Arial" w:eastAsia="Arial" w:hAnsi="Arial" w:cs="Arial"/>
          <w:b/>
          <w:bCs/>
          <w:sz w:val="15"/>
          <w:szCs w:val="15"/>
        </w:rPr>
        <w:t>Jámbor (2024).</w:t>
      </w:r>
      <w:r w:rsidR="338C5E83" w:rsidRPr="00BC3363">
        <w:rPr>
          <w:rFonts w:ascii="Arial" w:eastAsia="Arial" w:hAnsi="Arial" w:cs="Arial"/>
          <w:sz w:val="15"/>
          <w:szCs w:val="15"/>
        </w:rPr>
        <w:t xml:space="preserve"> Jámbor, A., Varga, Á. </w:t>
      </w:r>
      <w:r w:rsidR="338C5E83" w:rsidRPr="00BC3363">
        <w:rPr>
          <w:rFonts w:ascii="Arial" w:eastAsia="Arial" w:hAnsi="Arial" w:cs="Arial"/>
          <w:i/>
          <w:iCs/>
          <w:sz w:val="15"/>
          <w:szCs w:val="15"/>
        </w:rPr>
        <w:t>Food security and crises: evidence from the Western Balkans.</w:t>
      </w:r>
      <w:r w:rsidR="338C5E83" w:rsidRPr="00BC3363">
        <w:rPr>
          <w:rFonts w:ascii="Arial" w:eastAsia="Arial" w:hAnsi="Arial" w:cs="Arial"/>
          <w:sz w:val="15"/>
          <w:szCs w:val="15"/>
        </w:rPr>
        <w:t xml:space="preserve"> Agric &amp; Food Security 13, 60 (2024). </w:t>
      </w:r>
      <w:hyperlink r:id="rId16">
        <w:r w:rsidR="338C5E83" w:rsidRPr="00BC3363">
          <w:rPr>
            <w:rStyle w:val="Hyperlink"/>
            <w:rFonts w:ascii="Arial" w:hAnsi="Arial" w:cs="Arial"/>
            <w:sz w:val="15"/>
            <w:szCs w:val="15"/>
          </w:rPr>
          <w:t>https://doi.org/10.1186/s40066-024-00514-z</w:t>
        </w:r>
      </w:hyperlink>
    </w:p>
    <w:p w14:paraId="4BC12385" w14:textId="77777777" w:rsidR="00184129" w:rsidRPr="00BC3363" w:rsidRDefault="338C5E83" w:rsidP="00A2563C">
      <w:pPr>
        <w:spacing w:after="0" w:line="240" w:lineRule="auto"/>
        <w:contextualSpacing/>
        <w:jc w:val="both"/>
        <w:rPr>
          <w:rFonts w:ascii="Arial" w:hAnsi="Arial" w:cs="Arial"/>
          <w:sz w:val="15"/>
          <w:szCs w:val="15"/>
        </w:rPr>
      </w:pPr>
      <w:r w:rsidRPr="00BC3363">
        <w:rPr>
          <w:rFonts w:ascii="Arial" w:eastAsia="Arial" w:hAnsi="Arial" w:cs="Arial"/>
          <w:b/>
          <w:bCs/>
          <w:sz w:val="15"/>
          <w:szCs w:val="15"/>
        </w:rPr>
        <w:t>Brankov (2022).</w:t>
      </w:r>
      <w:r w:rsidRPr="00BC3363">
        <w:rPr>
          <w:rFonts w:ascii="Arial" w:eastAsia="Arial" w:hAnsi="Arial" w:cs="Arial"/>
          <w:sz w:val="15"/>
          <w:szCs w:val="15"/>
        </w:rPr>
        <w:t xml:space="preserve"> Brankov, Tatjana; Bojan </w:t>
      </w:r>
      <w:proofErr w:type="spellStart"/>
      <w:r w:rsidRPr="00BC3363">
        <w:rPr>
          <w:rFonts w:ascii="Arial" w:eastAsia="Arial" w:hAnsi="Arial" w:cs="Arial"/>
          <w:sz w:val="15"/>
          <w:szCs w:val="15"/>
        </w:rPr>
        <w:t>Matkovski</w:t>
      </w:r>
      <w:proofErr w:type="spellEnd"/>
      <w:r w:rsidRPr="00BC3363">
        <w:rPr>
          <w:rFonts w:ascii="Arial" w:eastAsia="Arial" w:hAnsi="Arial" w:cs="Arial"/>
          <w:sz w:val="15"/>
          <w:szCs w:val="15"/>
        </w:rPr>
        <w:t xml:space="preserve">. </w:t>
      </w:r>
      <w:r w:rsidRPr="00BC3363">
        <w:rPr>
          <w:rFonts w:ascii="Arial" w:eastAsia="Arial" w:hAnsi="Arial" w:cs="Arial"/>
          <w:i/>
          <w:iCs/>
          <w:sz w:val="15"/>
          <w:szCs w:val="15"/>
        </w:rPr>
        <w:t>Is a Food Shortage Coming to the Western Balkans?</w:t>
      </w:r>
      <w:r w:rsidRPr="00BC3363">
        <w:rPr>
          <w:rFonts w:ascii="Arial" w:eastAsia="Arial" w:hAnsi="Arial" w:cs="Arial"/>
          <w:sz w:val="15"/>
          <w:szCs w:val="15"/>
        </w:rPr>
        <w:t xml:space="preserve"> Foods 2022, 11(22), 3672; </w:t>
      </w:r>
      <w:hyperlink r:id="rId17">
        <w:r w:rsidRPr="00BC3363">
          <w:rPr>
            <w:rStyle w:val="Hyperlink"/>
            <w:rFonts w:ascii="Arial" w:eastAsia="Arial" w:hAnsi="Arial" w:cs="Arial"/>
            <w:sz w:val="15"/>
            <w:szCs w:val="15"/>
          </w:rPr>
          <w:t>https://doi.org/10.3390/foods11223672</w:t>
        </w:r>
      </w:hyperlink>
    </w:p>
    <w:p w14:paraId="4B7C8CB8" w14:textId="77777777" w:rsidR="00184129" w:rsidRPr="00BC3363" w:rsidRDefault="338C5E83" w:rsidP="00A2563C">
      <w:pPr>
        <w:spacing w:after="0" w:line="240" w:lineRule="auto"/>
        <w:contextualSpacing/>
        <w:jc w:val="both"/>
        <w:rPr>
          <w:rFonts w:ascii="Arial" w:hAnsi="Arial" w:cs="Arial"/>
          <w:sz w:val="15"/>
          <w:szCs w:val="15"/>
        </w:rPr>
      </w:pPr>
      <w:r w:rsidRPr="00BC3363">
        <w:rPr>
          <w:rFonts w:ascii="Arial" w:eastAsia="Arial" w:hAnsi="Arial" w:cs="Arial"/>
          <w:b/>
          <w:bCs/>
          <w:sz w:val="15"/>
          <w:szCs w:val="15"/>
        </w:rPr>
        <w:t>Bogdanov (2022).</w:t>
      </w:r>
      <w:r w:rsidRPr="00BC3363">
        <w:rPr>
          <w:rFonts w:ascii="Arial" w:eastAsia="Arial" w:hAnsi="Arial" w:cs="Arial"/>
          <w:sz w:val="15"/>
          <w:szCs w:val="15"/>
        </w:rPr>
        <w:t xml:space="preserve"> Bogdanov, N.; Vaško, Ž.; Arias, P.; </w:t>
      </w:r>
      <w:proofErr w:type="spellStart"/>
      <w:r w:rsidRPr="00BC3363">
        <w:rPr>
          <w:rFonts w:ascii="Arial" w:eastAsia="Arial" w:hAnsi="Arial" w:cs="Arial"/>
          <w:sz w:val="15"/>
          <w:szCs w:val="15"/>
        </w:rPr>
        <w:t>Pavloska</w:t>
      </w:r>
      <w:proofErr w:type="spellEnd"/>
      <w:r w:rsidRPr="00BC3363">
        <w:rPr>
          <w:rFonts w:ascii="Arial" w:eastAsia="Arial" w:hAnsi="Arial" w:cs="Arial"/>
          <w:sz w:val="15"/>
          <w:szCs w:val="15"/>
        </w:rPr>
        <w:t xml:space="preserve"> </w:t>
      </w:r>
      <w:proofErr w:type="spellStart"/>
      <w:r w:rsidRPr="00BC3363">
        <w:rPr>
          <w:rFonts w:ascii="Arial" w:eastAsia="Arial" w:hAnsi="Arial" w:cs="Arial"/>
          <w:sz w:val="15"/>
          <w:szCs w:val="15"/>
        </w:rPr>
        <w:t>Gjorgjieska</w:t>
      </w:r>
      <w:proofErr w:type="spellEnd"/>
      <w:r w:rsidRPr="00BC3363">
        <w:rPr>
          <w:rFonts w:ascii="Arial" w:eastAsia="Arial" w:hAnsi="Arial" w:cs="Arial"/>
          <w:sz w:val="15"/>
          <w:szCs w:val="15"/>
        </w:rPr>
        <w:t xml:space="preserve">, D. </w:t>
      </w:r>
      <w:r w:rsidRPr="00BC3363">
        <w:rPr>
          <w:rFonts w:ascii="Arial" w:eastAsia="Arial" w:hAnsi="Arial" w:cs="Arial"/>
          <w:i/>
          <w:iCs/>
          <w:sz w:val="15"/>
          <w:szCs w:val="15"/>
        </w:rPr>
        <w:t>Assessment of the Impact of COVID-19 on Agrifood Systems in the Western Balkans—Regional Synthesis Report</w:t>
      </w:r>
      <w:r w:rsidRPr="00BC3363">
        <w:rPr>
          <w:rFonts w:ascii="Arial" w:eastAsia="Arial" w:hAnsi="Arial" w:cs="Arial"/>
          <w:sz w:val="15"/>
          <w:szCs w:val="15"/>
        </w:rPr>
        <w:t>; FAO: Budapest, Hungary, 2022.</w:t>
      </w:r>
    </w:p>
    <w:p w14:paraId="042F3BCD" w14:textId="77777777" w:rsidR="00184129" w:rsidRPr="00BC3363" w:rsidRDefault="338C5E83" w:rsidP="00A2563C">
      <w:pPr>
        <w:spacing w:after="0" w:line="240" w:lineRule="auto"/>
        <w:contextualSpacing/>
        <w:jc w:val="both"/>
        <w:rPr>
          <w:rFonts w:ascii="Arial" w:hAnsi="Arial" w:cs="Arial"/>
          <w:sz w:val="15"/>
          <w:szCs w:val="15"/>
        </w:rPr>
      </w:pPr>
      <w:proofErr w:type="spellStart"/>
      <w:r w:rsidRPr="00BC3363">
        <w:rPr>
          <w:rFonts w:ascii="Arial" w:eastAsia="Arial" w:hAnsi="Arial" w:cs="Arial"/>
          <w:b/>
          <w:bCs/>
          <w:sz w:val="15"/>
          <w:szCs w:val="15"/>
        </w:rPr>
        <w:t>Matkovski</w:t>
      </w:r>
      <w:proofErr w:type="spellEnd"/>
      <w:r w:rsidRPr="00BC3363">
        <w:rPr>
          <w:rFonts w:ascii="Arial" w:eastAsia="Arial" w:hAnsi="Arial" w:cs="Arial"/>
          <w:b/>
          <w:bCs/>
          <w:sz w:val="15"/>
          <w:szCs w:val="15"/>
        </w:rPr>
        <w:t xml:space="preserve"> (2020).</w:t>
      </w:r>
      <w:r w:rsidRPr="00BC3363">
        <w:rPr>
          <w:rFonts w:ascii="Arial" w:eastAsia="Arial" w:hAnsi="Arial" w:cs="Arial"/>
          <w:sz w:val="15"/>
          <w:szCs w:val="15"/>
        </w:rPr>
        <w:t xml:space="preserve"> </w:t>
      </w:r>
      <w:proofErr w:type="spellStart"/>
      <w:r w:rsidRPr="00BC3363">
        <w:rPr>
          <w:rFonts w:ascii="Arial" w:eastAsia="Arial" w:hAnsi="Arial" w:cs="Arial"/>
          <w:sz w:val="15"/>
          <w:szCs w:val="15"/>
        </w:rPr>
        <w:t>Matkovski</w:t>
      </w:r>
      <w:proofErr w:type="spellEnd"/>
      <w:r w:rsidRPr="00BC3363">
        <w:rPr>
          <w:rFonts w:ascii="Arial" w:eastAsia="Arial" w:hAnsi="Arial" w:cs="Arial"/>
          <w:sz w:val="15"/>
          <w:szCs w:val="15"/>
        </w:rPr>
        <w:t xml:space="preserve">, B.; </w:t>
      </w:r>
      <w:proofErr w:type="spellStart"/>
      <w:r w:rsidRPr="00BC3363">
        <w:rPr>
          <w:rFonts w:ascii="Arial" w:eastAsia="Arial" w:hAnsi="Arial" w:cs="Arial"/>
          <w:sz w:val="15"/>
          <w:szCs w:val="15"/>
        </w:rPr>
        <w:t>Đokić</w:t>
      </w:r>
      <w:proofErr w:type="spellEnd"/>
      <w:r w:rsidRPr="00BC3363">
        <w:rPr>
          <w:rFonts w:ascii="Arial" w:eastAsia="Arial" w:hAnsi="Arial" w:cs="Arial"/>
          <w:sz w:val="15"/>
          <w:szCs w:val="15"/>
        </w:rPr>
        <w:t xml:space="preserve">, D.; Zekić, S.; Jurjević, Ž. </w:t>
      </w:r>
      <w:r w:rsidRPr="00BC3363">
        <w:rPr>
          <w:rFonts w:ascii="Arial" w:eastAsia="Arial" w:hAnsi="Arial" w:cs="Arial"/>
          <w:i/>
          <w:iCs/>
          <w:sz w:val="15"/>
          <w:szCs w:val="15"/>
        </w:rPr>
        <w:t>Determining Food Security in Crisis Conditions: A Comparative Analysis of the Western Balkans and the EU.</w:t>
      </w:r>
      <w:r w:rsidRPr="00BC3363">
        <w:rPr>
          <w:rFonts w:ascii="Arial" w:eastAsia="Arial" w:hAnsi="Arial" w:cs="Arial"/>
          <w:sz w:val="15"/>
          <w:szCs w:val="15"/>
        </w:rPr>
        <w:t xml:space="preserve"> Sustainability 2020, 12, 9924. </w:t>
      </w:r>
    </w:p>
    <w:p w14:paraId="2315C97E" w14:textId="77777777" w:rsidR="00184129" w:rsidRPr="00BC3363" w:rsidRDefault="338C5E83" w:rsidP="00A2563C">
      <w:pPr>
        <w:spacing w:after="0" w:line="240" w:lineRule="auto"/>
        <w:contextualSpacing/>
        <w:jc w:val="both"/>
        <w:rPr>
          <w:rFonts w:ascii="Arial" w:hAnsi="Arial" w:cs="Arial"/>
          <w:sz w:val="15"/>
          <w:szCs w:val="15"/>
        </w:rPr>
      </w:pPr>
      <w:r w:rsidRPr="00BC3363">
        <w:rPr>
          <w:rFonts w:ascii="Arial" w:eastAsia="Arial" w:hAnsi="Arial" w:cs="Arial"/>
          <w:b/>
          <w:bCs/>
          <w:sz w:val="15"/>
          <w:szCs w:val="15"/>
        </w:rPr>
        <w:t>Božić (2020).</w:t>
      </w:r>
      <w:r w:rsidRPr="00BC3363">
        <w:rPr>
          <w:rFonts w:ascii="Arial" w:eastAsia="Arial" w:hAnsi="Arial" w:cs="Arial"/>
          <w:sz w:val="15"/>
          <w:szCs w:val="15"/>
        </w:rPr>
        <w:t xml:space="preserve"> Božić, D.; Nikolić, M. </w:t>
      </w:r>
      <w:r w:rsidRPr="00BC3363">
        <w:rPr>
          <w:rFonts w:ascii="Arial" w:eastAsia="Arial" w:hAnsi="Arial" w:cs="Arial"/>
          <w:i/>
          <w:iCs/>
          <w:sz w:val="15"/>
          <w:szCs w:val="15"/>
        </w:rPr>
        <w:t xml:space="preserve">Food security and comparative analysis of situation in Serbia and </w:t>
      </w:r>
      <w:proofErr w:type="spellStart"/>
      <w:r w:rsidRPr="00BC3363">
        <w:rPr>
          <w:rFonts w:ascii="Arial" w:eastAsia="Arial" w:hAnsi="Arial" w:cs="Arial"/>
          <w:i/>
          <w:iCs/>
          <w:sz w:val="15"/>
          <w:szCs w:val="15"/>
        </w:rPr>
        <w:t>neighbouring</w:t>
      </w:r>
      <w:proofErr w:type="spellEnd"/>
      <w:r w:rsidRPr="00BC3363">
        <w:rPr>
          <w:rFonts w:ascii="Arial" w:eastAsia="Arial" w:hAnsi="Arial" w:cs="Arial"/>
          <w:i/>
          <w:iCs/>
          <w:sz w:val="15"/>
          <w:szCs w:val="15"/>
        </w:rPr>
        <w:t xml:space="preserve"> countries</w:t>
      </w:r>
      <w:r w:rsidRPr="00BC3363">
        <w:rPr>
          <w:rFonts w:ascii="Arial" w:eastAsia="Arial" w:hAnsi="Arial" w:cs="Arial"/>
          <w:sz w:val="15"/>
          <w:szCs w:val="15"/>
        </w:rPr>
        <w:t>. Econ. Agric. 2020, 67, 1191–1204.</w:t>
      </w:r>
    </w:p>
    <w:p w14:paraId="15DFAC16" w14:textId="77777777" w:rsidR="00184129" w:rsidRPr="00BC3363" w:rsidRDefault="338C5E83" w:rsidP="00A2563C">
      <w:pPr>
        <w:spacing w:after="0" w:line="240" w:lineRule="auto"/>
        <w:contextualSpacing/>
        <w:jc w:val="both"/>
        <w:rPr>
          <w:rFonts w:ascii="Arial" w:hAnsi="Arial" w:cs="Arial"/>
          <w:sz w:val="15"/>
          <w:szCs w:val="15"/>
        </w:rPr>
      </w:pPr>
      <w:r w:rsidRPr="00BC3363">
        <w:rPr>
          <w:rFonts w:ascii="Arial" w:eastAsia="Arial" w:hAnsi="Arial" w:cs="Arial"/>
          <w:b/>
          <w:bCs/>
          <w:sz w:val="15"/>
          <w:szCs w:val="15"/>
        </w:rPr>
        <w:t>Brankov (2017).</w:t>
      </w:r>
      <w:r w:rsidRPr="00BC3363">
        <w:rPr>
          <w:rFonts w:ascii="Arial" w:eastAsia="Arial" w:hAnsi="Arial" w:cs="Arial"/>
          <w:sz w:val="15"/>
          <w:szCs w:val="15"/>
        </w:rPr>
        <w:t xml:space="preserve"> Brankov, T.; Lovre, I. Food security in the Former Yugoslav Republics. Econ. Agric. 2017, 64, 701–721.</w:t>
      </w:r>
    </w:p>
  </w:footnote>
  <w:footnote w:id="27">
    <w:p w14:paraId="40D97C24" w14:textId="77777777" w:rsidR="00184129" w:rsidRPr="00BC3363" w:rsidRDefault="00184129" w:rsidP="00A2563C">
      <w:pPr>
        <w:spacing w:after="0" w:line="240" w:lineRule="auto"/>
        <w:rPr>
          <w:rFonts w:ascii="Arial" w:hAnsi="Arial" w:cs="Arial"/>
          <w:sz w:val="15"/>
          <w:szCs w:val="15"/>
        </w:rPr>
      </w:pPr>
      <w:r w:rsidRPr="00BC3363">
        <w:rPr>
          <w:rFonts w:ascii="Arial" w:hAnsi="Arial" w:cs="Arial"/>
          <w:sz w:val="15"/>
          <w:szCs w:val="15"/>
        </w:rPr>
        <w:footnoteRef/>
      </w:r>
      <w:r w:rsidR="338C5E83" w:rsidRPr="00BC3363">
        <w:rPr>
          <w:rFonts w:ascii="Arial" w:eastAsia="Arial" w:hAnsi="Arial" w:cs="Arial"/>
          <w:sz w:val="15"/>
          <w:szCs w:val="15"/>
        </w:rPr>
        <w:t xml:space="preserve"> World Bank (2025). </w:t>
      </w:r>
      <w:r w:rsidR="338C5E83" w:rsidRPr="00BC3363">
        <w:rPr>
          <w:rFonts w:ascii="Arial" w:eastAsia="Arial" w:hAnsi="Arial" w:cs="Arial"/>
          <w:i/>
          <w:iCs/>
          <w:sz w:val="15"/>
          <w:szCs w:val="15"/>
        </w:rPr>
        <w:t>Western Balkans Regular Economic Report No.21, Steering Through Crises.</w:t>
      </w:r>
      <w:r w:rsidR="338C5E83" w:rsidRPr="00BC3363">
        <w:rPr>
          <w:rFonts w:ascii="Arial" w:eastAsia="Arial" w:hAnsi="Arial" w:cs="Arial"/>
          <w:sz w:val="15"/>
          <w:szCs w:val="15"/>
        </w:rPr>
        <w:t xml:space="preserve"> Available online: </w:t>
      </w:r>
      <w:hyperlink r:id="rId18">
        <w:r w:rsidR="338C5E83" w:rsidRPr="00BC3363">
          <w:rPr>
            <w:rStyle w:val="Hyperlink"/>
            <w:rFonts w:ascii="Arial" w:hAnsi="Arial" w:cs="Arial"/>
            <w:sz w:val="15"/>
            <w:szCs w:val="15"/>
          </w:rPr>
          <w:t>https://openknowledge.worldbank.org/bitstream/handle/10986/37368/P17720607706c30e90841607b7d53ee8106.pdf</w:t>
        </w:r>
      </w:hyperlink>
      <w:r w:rsidR="338C5E83" w:rsidRPr="00BC3363">
        <w:rPr>
          <w:rFonts w:ascii="Arial" w:eastAsia="Arial" w:hAnsi="Arial" w:cs="Arial"/>
          <w:sz w:val="15"/>
          <w:szCs w:val="15"/>
        </w:rPr>
        <w:t xml:space="preserve"> (accessed on 21 June 2025).</w:t>
      </w:r>
    </w:p>
  </w:footnote>
  <w:footnote w:id="28">
    <w:p w14:paraId="727C5B19" w14:textId="77777777" w:rsidR="00184129" w:rsidRPr="00BC3363" w:rsidRDefault="00184129" w:rsidP="00A2563C">
      <w:pPr>
        <w:spacing w:after="0" w:line="240" w:lineRule="auto"/>
        <w:rPr>
          <w:rFonts w:ascii="Arial" w:hAnsi="Arial" w:cs="Arial"/>
          <w:sz w:val="15"/>
          <w:szCs w:val="15"/>
        </w:rPr>
      </w:pPr>
      <w:r w:rsidRPr="00BC3363">
        <w:rPr>
          <w:rFonts w:ascii="Arial" w:hAnsi="Arial" w:cs="Arial"/>
          <w:sz w:val="15"/>
          <w:szCs w:val="15"/>
        </w:rPr>
        <w:footnoteRef/>
      </w:r>
      <w:r w:rsidR="338C5E83" w:rsidRPr="00BC3363">
        <w:rPr>
          <w:rFonts w:ascii="Arial" w:eastAsia="Arial" w:hAnsi="Arial" w:cs="Arial"/>
          <w:sz w:val="15"/>
          <w:szCs w:val="15"/>
        </w:rPr>
        <w:t xml:space="preserve"> Eurostat. How Much are Households Spending on Food? Available online: </w:t>
      </w:r>
      <w:hyperlink r:id="rId19">
        <w:r w:rsidR="338C5E83" w:rsidRPr="00BC3363">
          <w:rPr>
            <w:rStyle w:val="Hyperlink"/>
            <w:rFonts w:ascii="Arial" w:hAnsi="Arial" w:cs="Arial"/>
            <w:sz w:val="15"/>
            <w:szCs w:val="15"/>
          </w:rPr>
          <w:t>https://ec.europa.eu/eurostat/web/products-eurostat-news/-/ddn-20201228-1</w:t>
        </w:r>
      </w:hyperlink>
      <w:r w:rsidR="338C5E83" w:rsidRPr="00BC3363">
        <w:rPr>
          <w:rFonts w:ascii="Arial" w:eastAsia="Arial" w:hAnsi="Arial" w:cs="Arial"/>
          <w:sz w:val="15"/>
          <w:szCs w:val="15"/>
        </w:rPr>
        <w:t xml:space="preserve"> (accessed on 21 June 2025).</w:t>
      </w:r>
    </w:p>
  </w:footnote>
  <w:footnote w:id="29">
    <w:p w14:paraId="27BFCF1C" w14:textId="77777777" w:rsidR="00184129" w:rsidRPr="00BC3363" w:rsidRDefault="00184129" w:rsidP="00A2563C">
      <w:pPr>
        <w:spacing w:after="0" w:line="240" w:lineRule="auto"/>
        <w:rPr>
          <w:rFonts w:ascii="Arial" w:hAnsi="Arial" w:cs="Arial"/>
          <w:sz w:val="15"/>
          <w:szCs w:val="15"/>
        </w:rPr>
      </w:pPr>
      <w:r w:rsidRPr="00BC3363">
        <w:rPr>
          <w:rFonts w:ascii="Arial" w:hAnsi="Arial" w:cs="Arial"/>
          <w:sz w:val="15"/>
          <w:szCs w:val="15"/>
        </w:rPr>
        <w:footnoteRef/>
      </w:r>
      <w:r w:rsidR="338C5E83" w:rsidRPr="00BC3363">
        <w:rPr>
          <w:rFonts w:ascii="Arial" w:eastAsia="Arial" w:hAnsi="Arial" w:cs="Arial"/>
          <w:sz w:val="15"/>
          <w:szCs w:val="15"/>
        </w:rPr>
        <w:t xml:space="preserve"> </w:t>
      </w:r>
      <w:r w:rsidR="338C5E83" w:rsidRPr="00BC3363">
        <w:rPr>
          <w:rFonts w:ascii="Arial" w:eastAsia="Arial" w:hAnsi="Arial" w:cs="Arial"/>
          <w:b/>
          <w:bCs/>
          <w:sz w:val="15"/>
          <w:szCs w:val="15"/>
        </w:rPr>
        <w:t xml:space="preserve">World Bank (2022). </w:t>
      </w:r>
      <w:r w:rsidR="338C5E83" w:rsidRPr="00BC3363">
        <w:rPr>
          <w:rFonts w:ascii="Arial" w:eastAsia="Arial" w:hAnsi="Arial" w:cs="Arial"/>
          <w:sz w:val="15"/>
          <w:szCs w:val="15"/>
        </w:rPr>
        <w:t xml:space="preserve">Western Balkans Regular Economic Report No. 22, Beyond the Crises, Fall 2022. Available at: </w:t>
      </w:r>
      <w:hyperlink r:id="rId20">
        <w:r w:rsidR="338C5E83" w:rsidRPr="00BC3363">
          <w:rPr>
            <w:rStyle w:val="Hyperlink"/>
            <w:rFonts w:ascii="Arial" w:hAnsi="Arial" w:cs="Arial"/>
            <w:sz w:val="15"/>
            <w:szCs w:val="15"/>
          </w:rPr>
          <w:t>https://openknowledge.worldbank.org/bitstream/handle/10986/38189/P17947818ec26c8c17fe014901194ac104a1b5d70a2a.pdf?sequence=1&amp;isAllowed=y</w:t>
        </w:r>
      </w:hyperlink>
      <w:r w:rsidR="338C5E83" w:rsidRPr="00BC3363">
        <w:rPr>
          <w:rFonts w:ascii="Arial" w:eastAsia="Arial" w:hAnsi="Arial" w:cs="Arial"/>
          <w:sz w:val="15"/>
          <w:szCs w:val="15"/>
        </w:rPr>
        <w:t xml:space="preserve"> (accessed on 21 June 2025).</w:t>
      </w:r>
    </w:p>
  </w:footnote>
  <w:footnote w:id="30">
    <w:p w14:paraId="047936EC" w14:textId="77777777" w:rsidR="00184129" w:rsidRPr="00BC3363" w:rsidRDefault="00184129" w:rsidP="00A2563C">
      <w:pPr>
        <w:spacing w:after="0" w:line="240" w:lineRule="auto"/>
        <w:rPr>
          <w:rFonts w:ascii="Arial" w:hAnsi="Arial" w:cs="Arial"/>
          <w:sz w:val="15"/>
          <w:szCs w:val="15"/>
        </w:rPr>
      </w:pPr>
      <w:r w:rsidRPr="00BC3363">
        <w:rPr>
          <w:rFonts w:ascii="Arial" w:hAnsi="Arial" w:cs="Arial"/>
          <w:sz w:val="15"/>
          <w:szCs w:val="15"/>
        </w:rPr>
        <w:footnoteRef/>
      </w:r>
      <w:r w:rsidR="338C5E83" w:rsidRPr="00BC3363">
        <w:rPr>
          <w:rFonts w:ascii="Arial" w:eastAsia="Arial" w:hAnsi="Arial" w:cs="Arial"/>
          <w:sz w:val="15"/>
          <w:szCs w:val="15"/>
        </w:rPr>
        <w:t xml:space="preserve"> IFASTAT. Available online: </w:t>
      </w:r>
      <w:hyperlink r:id="rId21">
        <w:r w:rsidR="338C5E83" w:rsidRPr="00BC3363">
          <w:rPr>
            <w:rStyle w:val="Hyperlink"/>
            <w:rFonts w:ascii="Arial" w:hAnsi="Arial" w:cs="Arial"/>
            <w:sz w:val="15"/>
            <w:szCs w:val="15"/>
          </w:rPr>
          <w:t>https://www.ifastat.org/databases/plant-nutrition</w:t>
        </w:r>
      </w:hyperlink>
      <w:r w:rsidR="338C5E83" w:rsidRPr="00BC3363">
        <w:rPr>
          <w:rFonts w:ascii="Arial" w:eastAsia="Arial" w:hAnsi="Arial" w:cs="Arial"/>
          <w:sz w:val="15"/>
          <w:szCs w:val="15"/>
        </w:rPr>
        <w:t xml:space="preserve"> (accessed on 21 June 2025).</w:t>
      </w:r>
    </w:p>
  </w:footnote>
  <w:footnote w:id="31">
    <w:p w14:paraId="393CB5BB" w14:textId="77777777" w:rsidR="00184129" w:rsidRPr="00BC3363" w:rsidRDefault="00184129" w:rsidP="00A2563C">
      <w:pPr>
        <w:spacing w:after="0" w:line="240" w:lineRule="auto"/>
        <w:contextualSpacing/>
        <w:jc w:val="both"/>
        <w:rPr>
          <w:rFonts w:ascii="Arial" w:hAnsi="Arial" w:cs="Arial"/>
          <w:sz w:val="15"/>
          <w:szCs w:val="15"/>
        </w:rPr>
      </w:pPr>
      <w:r w:rsidRPr="00BC3363">
        <w:rPr>
          <w:rFonts w:ascii="Arial" w:hAnsi="Arial" w:cs="Arial"/>
          <w:sz w:val="15"/>
          <w:szCs w:val="15"/>
        </w:rPr>
        <w:footnoteRef/>
      </w:r>
      <w:r w:rsidR="338C5E83" w:rsidRPr="00BC3363">
        <w:rPr>
          <w:rFonts w:ascii="Arial" w:eastAsia="Arial" w:hAnsi="Arial" w:cs="Arial"/>
          <w:sz w:val="15"/>
          <w:szCs w:val="15"/>
          <w:lang w:val="da-DK"/>
        </w:rPr>
        <w:t xml:space="preserve"> Brankov (2022). Brankov, Tatjana; Bojan Matkovski. </w:t>
      </w:r>
      <w:r w:rsidR="338C5E83" w:rsidRPr="00BC3363">
        <w:rPr>
          <w:rFonts w:ascii="Arial" w:eastAsia="Arial" w:hAnsi="Arial" w:cs="Arial"/>
          <w:sz w:val="15"/>
          <w:szCs w:val="15"/>
        </w:rPr>
        <w:t xml:space="preserve">Is a Food Shortage Coming to the Western Balkans? Foods 2022, 11(22), 3672; </w:t>
      </w:r>
      <w:hyperlink r:id="rId22">
        <w:r w:rsidR="338C5E83" w:rsidRPr="00BC3363">
          <w:rPr>
            <w:rStyle w:val="Hyperlink"/>
            <w:rFonts w:ascii="Arial" w:hAnsi="Arial" w:cs="Arial"/>
            <w:sz w:val="15"/>
            <w:szCs w:val="15"/>
          </w:rPr>
          <w:t>https://doi.org/10.3390/foods11223672</w:t>
        </w:r>
      </w:hyperlink>
    </w:p>
  </w:footnote>
  <w:footnote w:id="32">
    <w:p w14:paraId="5EBF065F" w14:textId="57A428D9" w:rsidR="29D10C06" w:rsidRPr="00BC3363" w:rsidRDefault="29D10C06" w:rsidP="00A2563C">
      <w:pPr>
        <w:spacing w:after="0" w:line="240" w:lineRule="auto"/>
        <w:contextualSpacing/>
        <w:rPr>
          <w:rFonts w:ascii="Arial" w:hAnsi="Arial" w:cs="Arial"/>
          <w:color w:val="auto"/>
          <w:sz w:val="15"/>
          <w:szCs w:val="15"/>
          <w:lang w:val="fr-FR"/>
        </w:rPr>
      </w:pPr>
      <w:r w:rsidRPr="00BC3363">
        <w:rPr>
          <w:rFonts w:ascii="Arial" w:eastAsia="Arial" w:hAnsi="Arial" w:cs="Arial"/>
          <w:color w:val="auto"/>
          <w:sz w:val="15"/>
          <w:szCs w:val="15"/>
        </w:rPr>
        <w:footnoteRef/>
      </w:r>
      <w:r w:rsidR="338C5E83" w:rsidRPr="00BC3363">
        <w:rPr>
          <w:rFonts w:ascii="Arial" w:eastAsia="Arial" w:hAnsi="Arial" w:cs="Arial"/>
          <w:color w:val="auto"/>
          <w:sz w:val="15"/>
          <w:szCs w:val="15"/>
        </w:rPr>
        <w:t xml:space="preserve"> The Regional </w:t>
      </w:r>
      <w:proofErr w:type="gramStart"/>
      <w:r w:rsidR="338C5E83" w:rsidRPr="00BC3363">
        <w:rPr>
          <w:rFonts w:ascii="Arial" w:eastAsia="Arial" w:hAnsi="Arial" w:cs="Arial"/>
          <w:color w:val="auto"/>
          <w:sz w:val="15"/>
          <w:szCs w:val="15"/>
        </w:rPr>
        <w:t>Project‘</w:t>
      </w:r>
      <w:proofErr w:type="gramEnd"/>
      <w:r w:rsidR="338C5E83" w:rsidRPr="00BC3363">
        <w:rPr>
          <w:rFonts w:ascii="Arial" w:eastAsia="Arial" w:hAnsi="Arial" w:cs="Arial"/>
          <w:color w:val="auto"/>
          <w:sz w:val="15"/>
          <w:szCs w:val="15"/>
        </w:rPr>
        <w:t xml:space="preserve">s four partner countries are in various stages of EU accession, of which the most advanced are Montenegro and Serbia, next North Macedonia, and, for Bosnia and Herzegovina, the European Commission granted candidate status in December 2023 and opened accession negotiations in March 2024. </w:t>
      </w:r>
      <w:proofErr w:type="gramStart"/>
      <w:r w:rsidR="338C5E83" w:rsidRPr="00BC3363">
        <w:rPr>
          <w:rFonts w:ascii="Arial" w:eastAsia="Arial" w:hAnsi="Arial" w:cs="Arial"/>
          <w:color w:val="auto"/>
          <w:sz w:val="15"/>
          <w:szCs w:val="15"/>
          <w:lang w:val="fr-FR"/>
        </w:rPr>
        <w:t>Source:</w:t>
      </w:r>
      <w:proofErr w:type="gramEnd"/>
      <w:r w:rsidR="338C5E83" w:rsidRPr="00BC3363">
        <w:rPr>
          <w:rFonts w:ascii="Arial" w:eastAsia="Arial" w:hAnsi="Arial" w:cs="Arial"/>
          <w:color w:val="auto"/>
          <w:sz w:val="15"/>
          <w:szCs w:val="15"/>
          <w:lang w:val="fr-FR"/>
        </w:rPr>
        <w:t xml:space="preserve"> https://enlargement.ec.europa.eu/enlargement-policy/bosnia-and-herzegovina_en.</w:t>
      </w:r>
    </w:p>
  </w:footnote>
  <w:footnote w:id="33">
    <w:p w14:paraId="556C7E44" w14:textId="10EF906D" w:rsidR="338C5E83" w:rsidRPr="00BC3363" w:rsidRDefault="338C5E83" w:rsidP="00030E2D">
      <w:pPr>
        <w:spacing w:after="0" w:line="240" w:lineRule="auto"/>
        <w:rPr>
          <w:rFonts w:ascii="Arial" w:hAnsi="Arial" w:cs="Arial"/>
          <w:sz w:val="15"/>
          <w:szCs w:val="15"/>
        </w:rPr>
      </w:pPr>
      <w:r w:rsidRPr="00BC3363">
        <w:rPr>
          <w:rFonts w:ascii="Arial" w:hAnsi="Arial" w:cs="Arial"/>
          <w:sz w:val="15"/>
          <w:szCs w:val="15"/>
        </w:rPr>
        <w:footnoteRef/>
      </w:r>
      <w:r w:rsidRPr="00BC3363">
        <w:rPr>
          <w:rFonts w:ascii="Arial" w:hAnsi="Arial" w:cs="Arial"/>
          <w:sz w:val="15"/>
          <w:szCs w:val="15"/>
          <w:lang w:val="fr-FR"/>
        </w:rPr>
        <w:t xml:space="preserve"> </w:t>
      </w:r>
      <w:proofErr w:type="spellStart"/>
      <w:r w:rsidRPr="00BC3363">
        <w:rPr>
          <w:rFonts w:ascii="Arial" w:eastAsia="Arial" w:hAnsi="Arial" w:cs="Arial"/>
          <w:sz w:val="15"/>
          <w:szCs w:val="15"/>
          <w:lang w:val="fr-FR"/>
        </w:rPr>
        <w:t>Alfthan</w:t>
      </w:r>
      <w:proofErr w:type="spellEnd"/>
      <w:r w:rsidRPr="00BC3363">
        <w:rPr>
          <w:rFonts w:ascii="Arial" w:eastAsia="Arial" w:hAnsi="Arial" w:cs="Arial"/>
          <w:sz w:val="15"/>
          <w:szCs w:val="15"/>
          <w:lang w:val="fr-FR"/>
        </w:rPr>
        <w:t xml:space="preserve">, </w:t>
      </w:r>
      <w:proofErr w:type="gramStart"/>
      <w:r w:rsidRPr="00BC3363">
        <w:rPr>
          <w:rFonts w:ascii="Arial" w:eastAsia="Arial" w:hAnsi="Arial" w:cs="Arial"/>
          <w:sz w:val="15"/>
          <w:szCs w:val="15"/>
          <w:lang w:val="fr-FR"/>
        </w:rPr>
        <w:t>B.;</w:t>
      </w:r>
      <w:proofErr w:type="gramEnd"/>
      <w:r w:rsidRPr="00BC3363">
        <w:rPr>
          <w:rFonts w:ascii="Arial" w:eastAsia="Arial" w:hAnsi="Arial" w:cs="Arial"/>
          <w:sz w:val="15"/>
          <w:szCs w:val="15"/>
          <w:lang w:val="fr-FR"/>
        </w:rPr>
        <w:t xml:space="preserve"> </w:t>
      </w:r>
      <w:proofErr w:type="spellStart"/>
      <w:r w:rsidRPr="00BC3363">
        <w:rPr>
          <w:rFonts w:ascii="Arial" w:eastAsia="Arial" w:hAnsi="Arial" w:cs="Arial"/>
          <w:sz w:val="15"/>
          <w:szCs w:val="15"/>
          <w:lang w:val="fr-FR"/>
        </w:rPr>
        <w:t>Krilasevic</w:t>
      </w:r>
      <w:proofErr w:type="spellEnd"/>
      <w:r w:rsidRPr="00BC3363">
        <w:rPr>
          <w:rFonts w:ascii="Arial" w:eastAsia="Arial" w:hAnsi="Arial" w:cs="Arial"/>
          <w:sz w:val="15"/>
          <w:szCs w:val="15"/>
          <w:lang w:val="fr-FR"/>
        </w:rPr>
        <w:t xml:space="preserve">, E.; </w:t>
      </w:r>
      <w:proofErr w:type="spellStart"/>
      <w:r w:rsidRPr="00BC3363">
        <w:rPr>
          <w:rFonts w:ascii="Arial" w:eastAsia="Arial" w:hAnsi="Arial" w:cs="Arial"/>
          <w:sz w:val="15"/>
          <w:szCs w:val="15"/>
          <w:lang w:val="fr-FR"/>
        </w:rPr>
        <w:t>Venturini</w:t>
      </w:r>
      <w:proofErr w:type="spellEnd"/>
      <w:r w:rsidRPr="00BC3363">
        <w:rPr>
          <w:rFonts w:ascii="Arial" w:eastAsia="Arial" w:hAnsi="Arial" w:cs="Arial"/>
          <w:sz w:val="15"/>
          <w:szCs w:val="15"/>
          <w:lang w:val="fr-FR"/>
        </w:rPr>
        <w:t xml:space="preserve">, S.; </w:t>
      </w:r>
      <w:proofErr w:type="spellStart"/>
      <w:r w:rsidRPr="00BC3363">
        <w:rPr>
          <w:rFonts w:ascii="Arial" w:eastAsia="Arial" w:hAnsi="Arial" w:cs="Arial"/>
          <w:sz w:val="15"/>
          <w:szCs w:val="15"/>
          <w:lang w:val="fr-FR"/>
        </w:rPr>
        <w:t>Bajrovic</w:t>
      </w:r>
      <w:proofErr w:type="spellEnd"/>
      <w:r w:rsidRPr="00BC3363">
        <w:rPr>
          <w:rFonts w:ascii="Arial" w:eastAsia="Arial" w:hAnsi="Arial" w:cs="Arial"/>
          <w:sz w:val="15"/>
          <w:szCs w:val="15"/>
          <w:lang w:val="fr-FR"/>
        </w:rPr>
        <w:t xml:space="preserve">, S.; </w:t>
      </w:r>
      <w:proofErr w:type="spellStart"/>
      <w:r w:rsidRPr="00BC3363">
        <w:rPr>
          <w:rFonts w:ascii="Arial" w:eastAsia="Arial" w:hAnsi="Arial" w:cs="Arial"/>
          <w:sz w:val="15"/>
          <w:szCs w:val="15"/>
          <w:lang w:val="fr-FR"/>
        </w:rPr>
        <w:t>Jurek</w:t>
      </w:r>
      <w:proofErr w:type="spellEnd"/>
      <w:r w:rsidRPr="00BC3363">
        <w:rPr>
          <w:rFonts w:ascii="Arial" w:eastAsia="Arial" w:hAnsi="Arial" w:cs="Arial"/>
          <w:sz w:val="15"/>
          <w:szCs w:val="15"/>
          <w:lang w:val="fr-FR"/>
        </w:rPr>
        <w:t xml:space="preserve">, M.; </w:t>
      </w:r>
      <w:proofErr w:type="spellStart"/>
      <w:r w:rsidRPr="00BC3363">
        <w:rPr>
          <w:rFonts w:ascii="Arial" w:eastAsia="Arial" w:hAnsi="Arial" w:cs="Arial"/>
          <w:sz w:val="15"/>
          <w:szCs w:val="15"/>
          <w:lang w:val="fr-FR"/>
        </w:rPr>
        <w:t>Schoolmeester</w:t>
      </w:r>
      <w:proofErr w:type="spellEnd"/>
      <w:r w:rsidRPr="00BC3363">
        <w:rPr>
          <w:rFonts w:ascii="Arial" w:eastAsia="Arial" w:hAnsi="Arial" w:cs="Arial"/>
          <w:sz w:val="15"/>
          <w:szCs w:val="15"/>
          <w:lang w:val="fr-FR"/>
        </w:rPr>
        <w:t xml:space="preserve">, T., </w:t>
      </w:r>
      <w:proofErr w:type="spellStart"/>
      <w:r w:rsidRPr="00BC3363">
        <w:rPr>
          <w:rFonts w:ascii="Arial" w:eastAsia="Arial" w:hAnsi="Arial" w:cs="Arial"/>
          <w:sz w:val="15"/>
          <w:szCs w:val="15"/>
          <w:lang w:val="fr-FR"/>
        </w:rPr>
        <w:t>Sandei</w:t>
      </w:r>
      <w:proofErr w:type="spellEnd"/>
      <w:r w:rsidRPr="00BC3363">
        <w:rPr>
          <w:rFonts w:ascii="Arial" w:eastAsia="Arial" w:hAnsi="Arial" w:cs="Arial"/>
          <w:sz w:val="15"/>
          <w:szCs w:val="15"/>
          <w:lang w:val="fr-FR"/>
        </w:rPr>
        <w:t xml:space="preserve">, P.C., </w:t>
      </w:r>
      <w:proofErr w:type="spellStart"/>
      <w:r w:rsidRPr="00BC3363">
        <w:rPr>
          <w:rFonts w:ascii="Arial" w:eastAsia="Arial" w:hAnsi="Arial" w:cs="Arial"/>
          <w:sz w:val="15"/>
          <w:szCs w:val="15"/>
          <w:lang w:val="fr-FR"/>
        </w:rPr>
        <w:t>Egerer</w:t>
      </w:r>
      <w:proofErr w:type="spellEnd"/>
      <w:r w:rsidRPr="00BC3363">
        <w:rPr>
          <w:rFonts w:ascii="Arial" w:eastAsia="Arial" w:hAnsi="Arial" w:cs="Arial"/>
          <w:sz w:val="15"/>
          <w:szCs w:val="15"/>
          <w:lang w:val="fr-FR"/>
        </w:rPr>
        <w:t xml:space="preserve">, H, and </w:t>
      </w:r>
      <w:proofErr w:type="spellStart"/>
      <w:r w:rsidRPr="00BC3363">
        <w:rPr>
          <w:rFonts w:ascii="Arial" w:eastAsia="Arial" w:hAnsi="Arial" w:cs="Arial"/>
          <w:sz w:val="15"/>
          <w:szCs w:val="15"/>
          <w:lang w:val="fr-FR"/>
        </w:rPr>
        <w:t>Kurvits</w:t>
      </w:r>
      <w:proofErr w:type="spellEnd"/>
      <w:r w:rsidRPr="00BC3363">
        <w:rPr>
          <w:rFonts w:ascii="Arial" w:eastAsia="Arial" w:hAnsi="Arial" w:cs="Arial"/>
          <w:sz w:val="15"/>
          <w:szCs w:val="15"/>
          <w:lang w:val="fr-FR"/>
        </w:rPr>
        <w:t xml:space="preserve">, T. (2015). </w:t>
      </w:r>
      <w:r w:rsidRPr="00BC3363">
        <w:rPr>
          <w:rFonts w:ascii="Arial" w:eastAsia="Arial" w:hAnsi="Arial" w:cs="Arial"/>
          <w:i/>
          <w:iCs/>
          <w:sz w:val="15"/>
          <w:szCs w:val="15"/>
        </w:rPr>
        <w:t>Outlook on Climate Change Adaptation in the Western Balkan Mountains</w:t>
      </w:r>
      <w:r w:rsidRPr="00BC3363">
        <w:rPr>
          <w:rFonts w:ascii="Arial" w:eastAsia="Arial" w:hAnsi="Arial" w:cs="Arial"/>
          <w:sz w:val="15"/>
          <w:szCs w:val="15"/>
        </w:rPr>
        <w:t>. United Nations Environment Programme (UNEP), GRID-Arendal, and Environmental Innovations Association (EIA). Vienna, Arendal and Sarajevo. www.grida.no., p. 11.</w:t>
      </w:r>
    </w:p>
  </w:footnote>
  <w:footnote w:id="34">
    <w:p w14:paraId="302B3568" w14:textId="549D5C0A" w:rsidR="338C5E83" w:rsidRPr="00BC3363" w:rsidRDefault="338C5E83" w:rsidP="00030E2D">
      <w:pPr>
        <w:spacing w:after="0" w:line="240" w:lineRule="auto"/>
        <w:rPr>
          <w:rFonts w:ascii="Arial" w:hAnsi="Arial" w:cs="Arial"/>
          <w:sz w:val="15"/>
          <w:szCs w:val="15"/>
        </w:rPr>
      </w:pPr>
      <w:r w:rsidRPr="00BC3363">
        <w:rPr>
          <w:rFonts w:ascii="Arial" w:hAnsi="Arial" w:cs="Arial"/>
          <w:sz w:val="15"/>
          <w:szCs w:val="15"/>
        </w:rPr>
        <w:footnoteRef/>
      </w:r>
      <w:r w:rsidRPr="00BC3363">
        <w:rPr>
          <w:rFonts w:ascii="Arial" w:hAnsi="Arial" w:cs="Arial"/>
          <w:sz w:val="15"/>
          <w:szCs w:val="15"/>
        </w:rPr>
        <w:t xml:space="preserve"> </w:t>
      </w:r>
      <w:r w:rsidRPr="00BC3363">
        <w:rPr>
          <w:rFonts w:ascii="Arial" w:eastAsia="Arial" w:hAnsi="Arial" w:cs="Arial"/>
          <w:sz w:val="15"/>
          <w:szCs w:val="15"/>
        </w:rPr>
        <w:t>Ibid., p. 11</w:t>
      </w:r>
    </w:p>
  </w:footnote>
  <w:footnote w:id="35">
    <w:p w14:paraId="0D5A8F52" w14:textId="342A9C9E" w:rsidR="441409A5" w:rsidRPr="00BC3363" w:rsidRDefault="441409A5" w:rsidP="00030E2D">
      <w:pPr>
        <w:spacing w:after="0" w:line="240" w:lineRule="auto"/>
        <w:jc w:val="both"/>
        <w:rPr>
          <w:rFonts w:ascii="Arial" w:hAnsi="Arial" w:cs="Arial"/>
          <w:sz w:val="15"/>
          <w:szCs w:val="15"/>
        </w:rPr>
      </w:pPr>
      <w:r w:rsidRPr="00BC3363">
        <w:rPr>
          <w:rFonts w:ascii="Arial" w:eastAsia="Arial" w:hAnsi="Arial" w:cs="Arial"/>
          <w:sz w:val="15"/>
          <w:szCs w:val="15"/>
        </w:rPr>
        <w:footnoteRef/>
      </w:r>
      <w:r w:rsidR="338C5E83" w:rsidRPr="00BC3363">
        <w:rPr>
          <w:rFonts w:ascii="Arial" w:eastAsia="Arial" w:hAnsi="Arial" w:cs="Arial"/>
          <w:sz w:val="15"/>
          <w:szCs w:val="15"/>
        </w:rPr>
        <w:t xml:space="preserve"> The Regional Cooperation Council (RCC) is an all-inclusive, regionally owned and led cooperation framework for South-Eastern Europe (SEE), with a view to promoting and advancing the European and Euro-Atlantic integration of the region. Available at: https://www.rcc.int/home.</w:t>
      </w:r>
    </w:p>
  </w:footnote>
  <w:footnote w:id="36">
    <w:p w14:paraId="24FC6428" w14:textId="13320DED" w:rsidR="441409A5" w:rsidRPr="00BC3363" w:rsidRDefault="441409A5" w:rsidP="004F10F9">
      <w:pPr>
        <w:spacing w:after="0" w:line="240" w:lineRule="auto"/>
        <w:jc w:val="both"/>
        <w:rPr>
          <w:rFonts w:ascii="Arial" w:hAnsi="Arial" w:cs="Arial"/>
          <w:sz w:val="15"/>
          <w:szCs w:val="15"/>
        </w:rPr>
      </w:pPr>
      <w:r w:rsidRPr="00BC3363">
        <w:rPr>
          <w:rFonts w:ascii="Arial" w:eastAsia="Arial" w:hAnsi="Arial" w:cs="Arial"/>
          <w:sz w:val="15"/>
          <w:szCs w:val="15"/>
        </w:rPr>
        <w:footnoteRef/>
      </w:r>
      <w:r w:rsidR="338C5E83" w:rsidRPr="00BC3363">
        <w:rPr>
          <w:rFonts w:ascii="Arial" w:eastAsia="Arial" w:hAnsi="Arial" w:cs="Arial"/>
          <w:sz w:val="15"/>
          <w:szCs w:val="15"/>
        </w:rPr>
        <w:t xml:space="preserve"> RCC (2018). Vuković, Ana, Mirjam Vujadinović Mandić, Radovan </w:t>
      </w:r>
      <w:proofErr w:type="spellStart"/>
      <w:r w:rsidR="338C5E83" w:rsidRPr="00BC3363">
        <w:rPr>
          <w:rFonts w:ascii="Arial" w:eastAsia="Arial" w:hAnsi="Arial" w:cs="Arial"/>
          <w:sz w:val="15"/>
          <w:szCs w:val="15"/>
        </w:rPr>
        <w:t>Nikčević</w:t>
      </w:r>
      <w:proofErr w:type="spellEnd"/>
      <w:r w:rsidR="338C5E83" w:rsidRPr="00BC3363">
        <w:rPr>
          <w:rFonts w:ascii="Arial" w:eastAsia="Arial" w:hAnsi="Arial" w:cs="Arial"/>
          <w:sz w:val="15"/>
          <w:szCs w:val="15"/>
        </w:rPr>
        <w:t xml:space="preserve">, Gazmend </w:t>
      </w:r>
      <w:proofErr w:type="spellStart"/>
      <w:r w:rsidR="338C5E83" w:rsidRPr="00BC3363">
        <w:rPr>
          <w:rFonts w:ascii="Arial" w:eastAsia="Arial" w:hAnsi="Arial" w:cs="Arial"/>
          <w:sz w:val="15"/>
          <w:szCs w:val="15"/>
        </w:rPr>
        <w:t>Turdiu</w:t>
      </w:r>
      <w:proofErr w:type="spellEnd"/>
      <w:r w:rsidR="338C5E83" w:rsidRPr="00BC3363">
        <w:rPr>
          <w:rFonts w:ascii="Arial" w:eastAsia="Arial" w:hAnsi="Arial" w:cs="Arial"/>
          <w:sz w:val="15"/>
          <w:szCs w:val="15"/>
        </w:rPr>
        <w:t xml:space="preserve">, </w:t>
      </w:r>
      <w:r w:rsidR="338C5E83" w:rsidRPr="00BC3363">
        <w:rPr>
          <w:rFonts w:ascii="Arial" w:eastAsia="Arial" w:hAnsi="Arial" w:cs="Arial"/>
          <w:i/>
          <w:iCs/>
          <w:sz w:val="15"/>
          <w:szCs w:val="15"/>
        </w:rPr>
        <w:t>Study on Climate Change in the Western Balkans Region</w:t>
      </w:r>
      <w:r w:rsidR="338C5E83" w:rsidRPr="00BC3363">
        <w:rPr>
          <w:rFonts w:ascii="Arial" w:eastAsia="Arial" w:hAnsi="Arial" w:cs="Arial"/>
          <w:sz w:val="15"/>
          <w:szCs w:val="15"/>
        </w:rPr>
        <w:t xml:space="preserve">, Regional Cooperation Council (RCC) Secretariat, </w:t>
      </w:r>
      <w:proofErr w:type="spellStart"/>
      <w:r w:rsidR="338C5E83" w:rsidRPr="00BC3363">
        <w:rPr>
          <w:rFonts w:ascii="Arial" w:eastAsia="Arial" w:hAnsi="Arial" w:cs="Arial"/>
          <w:sz w:val="15"/>
          <w:szCs w:val="15"/>
        </w:rPr>
        <w:t>Bosne</w:t>
      </w:r>
      <w:proofErr w:type="spellEnd"/>
      <w:r w:rsidR="338C5E83" w:rsidRPr="00BC3363">
        <w:rPr>
          <w:rFonts w:ascii="Arial" w:eastAsia="Arial" w:hAnsi="Arial" w:cs="Arial"/>
          <w:sz w:val="15"/>
          <w:szCs w:val="15"/>
        </w:rPr>
        <w:t xml:space="preserve"> </w:t>
      </w:r>
      <w:proofErr w:type="spellStart"/>
      <w:r w:rsidR="338C5E83" w:rsidRPr="00BC3363">
        <w:rPr>
          <w:rFonts w:ascii="Arial" w:eastAsia="Arial" w:hAnsi="Arial" w:cs="Arial"/>
          <w:sz w:val="15"/>
          <w:szCs w:val="15"/>
        </w:rPr>
        <w:t>i</w:t>
      </w:r>
      <w:proofErr w:type="spellEnd"/>
      <w:r w:rsidR="338C5E83" w:rsidRPr="00BC3363">
        <w:rPr>
          <w:rFonts w:ascii="Arial" w:eastAsia="Arial" w:hAnsi="Arial" w:cs="Arial"/>
          <w:sz w:val="15"/>
          <w:szCs w:val="15"/>
        </w:rPr>
        <w:t xml:space="preserve"> </w:t>
      </w:r>
      <w:proofErr w:type="spellStart"/>
      <w:r w:rsidR="338C5E83" w:rsidRPr="00BC3363">
        <w:rPr>
          <w:rFonts w:ascii="Arial" w:eastAsia="Arial" w:hAnsi="Arial" w:cs="Arial"/>
          <w:sz w:val="15"/>
          <w:szCs w:val="15"/>
        </w:rPr>
        <w:t>Hercegovine</w:t>
      </w:r>
      <w:proofErr w:type="spellEnd"/>
      <w:r w:rsidR="338C5E83" w:rsidRPr="00BC3363">
        <w:rPr>
          <w:rFonts w:ascii="Arial" w:eastAsia="Arial" w:hAnsi="Arial" w:cs="Arial"/>
          <w:sz w:val="15"/>
          <w:szCs w:val="15"/>
        </w:rPr>
        <w:t xml:space="preserve">, Sarajevo. Available at: </w:t>
      </w:r>
      <w:hyperlink r:id="rId23">
        <w:r w:rsidR="338C5E83" w:rsidRPr="00BC3363">
          <w:rPr>
            <w:rStyle w:val="Hyperlink"/>
            <w:rFonts w:ascii="Arial" w:eastAsia="Arial" w:hAnsi="Arial" w:cs="Arial"/>
            <w:sz w:val="15"/>
            <w:szCs w:val="15"/>
          </w:rPr>
          <w:t>https://www.rcc.int/download/docs/2018-05-Study-on-Climate-Change-in-WB-2a-lowres.pdf</w:t>
        </w:r>
      </w:hyperlink>
      <w:r w:rsidR="338C5E83" w:rsidRPr="00BC3363">
        <w:rPr>
          <w:rFonts w:ascii="Arial" w:eastAsia="Arial" w:hAnsi="Arial" w:cs="Arial"/>
          <w:sz w:val="15"/>
          <w:szCs w:val="15"/>
        </w:rPr>
        <w:t>.</w:t>
      </w:r>
    </w:p>
  </w:footnote>
  <w:footnote w:id="37">
    <w:p w14:paraId="23BDCE8F" w14:textId="7DED38DA" w:rsidR="4186447D" w:rsidRPr="00BC3363" w:rsidRDefault="4186447D" w:rsidP="004F10F9">
      <w:pPr>
        <w:spacing w:after="0" w:line="240" w:lineRule="auto"/>
        <w:jc w:val="both"/>
        <w:rPr>
          <w:rFonts w:ascii="Arial" w:hAnsi="Arial" w:cs="Arial"/>
          <w:sz w:val="15"/>
          <w:szCs w:val="15"/>
        </w:rPr>
      </w:pPr>
      <w:r w:rsidRPr="00BC3363">
        <w:rPr>
          <w:rFonts w:ascii="Arial" w:eastAsia="Arial" w:hAnsi="Arial" w:cs="Arial"/>
          <w:sz w:val="15"/>
          <w:szCs w:val="15"/>
        </w:rPr>
        <w:footnoteRef/>
      </w:r>
      <w:r w:rsidR="338C5E83" w:rsidRPr="00BC3363">
        <w:rPr>
          <w:rFonts w:ascii="Arial" w:eastAsia="Arial" w:hAnsi="Arial" w:cs="Arial"/>
          <w:sz w:val="15"/>
          <w:szCs w:val="15"/>
        </w:rPr>
        <w:t xml:space="preserve"> Ibid., p. 19.</w:t>
      </w:r>
    </w:p>
  </w:footnote>
  <w:footnote w:id="38">
    <w:p w14:paraId="395474AF" w14:textId="68FA2AAD" w:rsidR="00430631" w:rsidRPr="00BC3363" w:rsidRDefault="00430631" w:rsidP="004F10F9">
      <w:pPr>
        <w:pStyle w:val="FootnoteText"/>
        <w:rPr>
          <w:rFonts w:ascii="Arial" w:eastAsia="Calibri" w:hAnsi="Arial" w:cs="Arial"/>
          <w:sz w:val="15"/>
          <w:szCs w:val="15"/>
          <w:lang w:val="fr-FR"/>
        </w:rPr>
      </w:pPr>
      <w:r w:rsidRPr="00BC3363">
        <w:rPr>
          <w:rStyle w:val="FootnoteReference"/>
          <w:rFonts w:ascii="Arial" w:eastAsia="Arial" w:hAnsi="Arial" w:cs="Arial"/>
          <w:sz w:val="15"/>
          <w:szCs w:val="15"/>
        </w:rPr>
        <w:footnoteRef/>
      </w:r>
      <w:r w:rsidR="338C5E83" w:rsidRPr="00BC3363">
        <w:rPr>
          <w:rFonts w:ascii="Arial" w:eastAsia="Arial" w:hAnsi="Arial" w:cs="Arial"/>
          <w:sz w:val="15"/>
          <w:szCs w:val="15"/>
          <w:lang w:val="fr-FR"/>
        </w:rPr>
        <w:t xml:space="preserve"> RCC (2018), p. 19.</w:t>
      </w:r>
    </w:p>
  </w:footnote>
  <w:footnote w:id="39">
    <w:p w14:paraId="4105FFD1" w14:textId="367955DE" w:rsidR="441409A5" w:rsidRPr="00BC3363" w:rsidRDefault="441409A5" w:rsidP="004F10F9">
      <w:pPr>
        <w:spacing w:after="0" w:line="240" w:lineRule="auto"/>
        <w:jc w:val="both"/>
        <w:rPr>
          <w:rFonts w:ascii="Arial" w:hAnsi="Arial" w:cs="Arial"/>
          <w:sz w:val="15"/>
          <w:szCs w:val="15"/>
        </w:rPr>
      </w:pPr>
      <w:r w:rsidRPr="00BC3363">
        <w:rPr>
          <w:rFonts w:ascii="Arial" w:eastAsia="Arial" w:hAnsi="Arial" w:cs="Arial"/>
          <w:sz w:val="15"/>
          <w:szCs w:val="15"/>
        </w:rPr>
        <w:footnoteRef/>
      </w:r>
      <w:r w:rsidR="338C5E83" w:rsidRPr="00BC3363">
        <w:rPr>
          <w:rFonts w:ascii="Arial" w:eastAsia="Arial" w:hAnsi="Arial" w:cs="Arial"/>
          <w:sz w:val="15"/>
          <w:szCs w:val="15"/>
        </w:rPr>
        <w:t xml:space="preserve"> RCC (2018), p. 19.</w:t>
      </w:r>
    </w:p>
  </w:footnote>
  <w:footnote w:id="40">
    <w:p w14:paraId="0D1496DA" w14:textId="1D6E87B8" w:rsidR="4186447D" w:rsidRPr="00BC3363" w:rsidRDefault="4186447D" w:rsidP="004F10F9">
      <w:pPr>
        <w:spacing w:after="0" w:line="240" w:lineRule="auto"/>
        <w:jc w:val="both"/>
        <w:rPr>
          <w:rFonts w:ascii="Arial" w:hAnsi="Arial" w:cs="Arial"/>
          <w:sz w:val="15"/>
          <w:szCs w:val="15"/>
        </w:rPr>
      </w:pPr>
      <w:r w:rsidRPr="00BC3363">
        <w:rPr>
          <w:rFonts w:ascii="Arial" w:eastAsia="Arial" w:hAnsi="Arial" w:cs="Arial"/>
          <w:sz w:val="15"/>
          <w:szCs w:val="15"/>
        </w:rPr>
        <w:footnoteRef/>
      </w:r>
      <w:r w:rsidR="338C5E83" w:rsidRPr="00BC3363">
        <w:rPr>
          <w:rFonts w:ascii="Arial" w:eastAsia="Arial" w:hAnsi="Arial" w:cs="Arial"/>
          <w:sz w:val="15"/>
          <w:szCs w:val="15"/>
        </w:rPr>
        <w:t xml:space="preserve"> For example</w:t>
      </w:r>
      <w:bookmarkStart w:id="17" w:name="_Int_24K7j47F"/>
      <w:proofErr w:type="gramStart"/>
      <w:r w:rsidR="338C5E83" w:rsidRPr="00BC3363">
        <w:rPr>
          <w:rFonts w:ascii="Arial" w:eastAsia="Arial" w:hAnsi="Arial" w:cs="Arial"/>
          <w:sz w:val="15"/>
          <w:szCs w:val="15"/>
        </w:rPr>
        <w:t>, ”normal</w:t>
      </w:r>
      <w:bookmarkEnd w:id="17"/>
      <w:proofErr w:type="gramEnd"/>
      <w:r w:rsidR="338C5E83" w:rsidRPr="00BC3363">
        <w:rPr>
          <w:rFonts w:ascii="Arial" w:eastAsia="Arial" w:hAnsi="Arial" w:cs="Arial"/>
          <w:sz w:val="15"/>
          <w:szCs w:val="15"/>
        </w:rPr>
        <w:t xml:space="preserve"> annual </w:t>
      </w:r>
      <w:bookmarkStart w:id="18" w:name="_Int_CMQUEN4M"/>
      <w:r w:rsidR="338C5E83" w:rsidRPr="00BC3363">
        <w:rPr>
          <w:rFonts w:ascii="Arial" w:eastAsia="Arial" w:hAnsi="Arial" w:cs="Arial"/>
          <w:sz w:val="15"/>
          <w:szCs w:val="15"/>
        </w:rPr>
        <w:t>precipitation“ for</w:t>
      </w:r>
      <w:bookmarkEnd w:id="18"/>
      <w:r w:rsidR="338C5E83" w:rsidRPr="00BC3363">
        <w:rPr>
          <w:rFonts w:ascii="Arial" w:eastAsia="Arial" w:hAnsi="Arial" w:cs="Arial"/>
          <w:sz w:val="15"/>
          <w:szCs w:val="15"/>
        </w:rPr>
        <w:t xml:space="preserve"> Serbia is 896 mm. Source: Milosevic, Dragan; Stevan Savic (2013). “Analysis of Precipitation Quantities and Trends from Pannonian and </w:t>
      </w:r>
      <w:proofErr w:type="spellStart"/>
      <w:r w:rsidR="338C5E83" w:rsidRPr="00BC3363">
        <w:rPr>
          <w:rFonts w:ascii="Arial" w:eastAsia="Arial" w:hAnsi="Arial" w:cs="Arial"/>
          <w:sz w:val="15"/>
          <w:szCs w:val="15"/>
        </w:rPr>
        <w:t>Peripannonian</w:t>
      </w:r>
      <w:proofErr w:type="spellEnd"/>
      <w:r w:rsidR="338C5E83" w:rsidRPr="00BC3363">
        <w:rPr>
          <w:rFonts w:ascii="Arial" w:eastAsia="Arial" w:hAnsi="Arial" w:cs="Arial"/>
          <w:sz w:val="15"/>
          <w:szCs w:val="15"/>
        </w:rPr>
        <w:t xml:space="preserve"> Parts of Serbia”, </w:t>
      </w:r>
      <w:r w:rsidR="338C5E83" w:rsidRPr="00BC3363">
        <w:rPr>
          <w:rFonts w:ascii="Arial" w:eastAsia="Arial" w:hAnsi="Arial" w:cs="Arial"/>
          <w:i/>
          <w:iCs/>
          <w:sz w:val="15"/>
          <w:szCs w:val="15"/>
        </w:rPr>
        <w:t xml:space="preserve">Dela </w:t>
      </w:r>
      <w:r w:rsidR="338C5E83" w:rsidRPr="00BC3363">
        <w:rPr>
          <w:rFonts w:ascii="Arial" w:eastAsia="Arial" w:hAnsi="Arial" w:cs="Arial"/>
          <w:sz w:val="15"/>
          <w:szCs w:val="15"/>
        </w:rPr>
        <w:t>39, 2013, 125–139.  December 2013. DOI:10.4312/dela.39.7.125-139</w:t>
      </w:r>
    </w:p>
  </w:footnote>
  <w:footnote w:id="41">
    <w:p w14:paraId="10EEE7F0" w14:textId="630990D4" w:rsidR="4186447D" w:rsidRPr="00BC3363" w:rsidRDefault="4186447D" w:rsidP="004F10F9">
      <w:pPr>
        <w:spacing w:after="0" w:line="240" w:lineRule="auto"/>
        <w:rPr>
          <w:rFonts w:ascii="Arial" w:hAnsi="Arial" w:cs="Arial"/>
          <w:sz w:val="15"/>
          <w:szCs w:val="15"/>
        </w:rPr>
      </w:pPr>
      <w:r w:rsidRPr="00BC3363">
        <w:rPr>
          <w:rFonts w:ascii="Arial" w:eastAsia="Arial" w:hAnsi="Arial" w:cs="Arial"/>
          <w:sz w:val="15"/>
          <w:szCs w:val="15"/>
        </w:rPr>
        <w:footnoteRef/>
      </w:r>
      <w:r w:rsidR="338C5E83" w:rsidRPr="00BC3363">
        <w:rPr>
          <w:rFonts w:ascii="Arial" w:eastAsia="Arial" w:hAnsi="Arial" w:cs="Arial"/>
          <w:sz w:val="15"/>
          <w:szCs w:val="15"/>
        </w:rPr>
        <w:t xml:space="preserve"> Ibid., p. 126, 129.</w:t>
      </w:r>
    </w:p>
  </w:footnote>
  <w:footnote w:id="42">
    <w:p w14:paraId="6FFD8CDD" w14:textId="16AF92F3" w:rsidR="4186447D" w:rsidRPr="00BC3363" w:rsidRDefault="4186447D" w:rsidP="00680E77">
      <w:pPr>
        <w:spacing w:after="0" w:line="240" w:lineRule="auto"/>
        <w:jc w:val="both"/>
        <w:rPr>
          <w:rFonts w:ascii="Arial" w:hAnsi="Arial" w:cs="Arial"/>
          <w:sz w:val="15"/>
          <w:szCs w:val="15"/>
        </w:rPr>
      </w:pPr>
      <w:r w:rsidRPr="00BC3363">
        <w:rPr>
          <w:rFonts w:ascii="Arial" w:eastAsia="Arial" w:hAnsi="Arial" w:cs="Arial"/>
          <w:sz w:val="15"/>
          <w:szCs w:val="15"/>
        </w:rPr>
        <w:footnoteRef/>
      </w:r>
      <w:r w:rsidR="338C5E83" w:rsidRPr="00BC3363">
        <w:rPr>
          <w:rFonts w:ascii="Arial" w:eastAsia="Arial" w:hAnsi="Arial" w:cs="Arial"/>
          <w:sz w:val="15"/>
          <w:szCs w:val="15"/>
        </w:rPr>
        <w:t xml:space="preserve"> Republic of Montenegro (2015). </w:t>
      </w:r>
      <w:r w:rsidR="338C5E83" w:rsidRPr="00BC3363">
        <w:rPr>
          <w:rFonts w:ascii="Arial" w:eastAsia="Arial" w:hAnsi="Arial" w:cs="Arial"/>
          <w:i/>
          <w:iCs/>
          <w:sz w:val="15"/>
          <w:szCs w:val="15"/>
        </w:rPr>
        <w:t>The Second National Communication on Climate Change to the United Nations Convention on Climate Change (UNFCCC)</w:t>
      </w:r>
      <w:r w:rsidR="338C5E83" w:rsidRPr="00BC3363">
        <w:rPr>
          <w:rFonts w:ascii="Arial" w:eastAsia="Arial" w:hAnsi="Arial" w:cs="Arial"/>
          <w:sz w:val="15"/>
          <w:szCs w:val="15"/>
        </w:rPr>
        <w:t xml:space="preserve">, February 2015, p. 43. ”The average annual precipitation ranges from 800 mm in the far north to around 5,000 mm in the far southwest.“ For instance, the village of </w:t>
      </w:r>
      <w:proofErr w:type="spellStart"/>
      <w:r w:rsidR="338C5E83" w:rsidRPr="00BC3363">
        <w:rPr>
          <w:rFonts w:ascii="Arial" w:eastAsia="Arial" w:hAnsi="Arial" w:cs="Arial"/>
          <w:sz w:val="15"/>
          <w:szCs w:val="15"/>
        </w:rPr>
        <w:t>Crkvice</w:t>
      </w:r>
      <w:proofErr w:type="spellEnd"/>
      <w:r w:rsidR="338C5E83" w:rsidRPr="00BC3363">
        <w:rPr>
          <w:rFonts w:ascii="Arial" w:eastAsia="Arial" w:hAnsi="Arial" w:cs="Arial"/>
          <w:sz w:val="15"/>
          <w:szCs w:val="15"/>
        </w:rPr>
        <w:t xml:space="preserve"> on Mount </w:t>
      </w:r>
      <w:proofErr w:type="spellStart"/>
      <w:r w:rsidR="338C5E83" w:rsidRPr="00BC3363">
        <w:rPr>
          <w:rFonts w:ascii="Arial" w:eastAsia="Arial" w:hAnsi="Arial" w:cs="Arial"/>
          <w:sz w:val="15"/>
          <w:szCs w:val="15"/>
        </w:rPr>
        <w:t>Orjen</w:t>
      </w:r>
      <w:proofErr w:type="spellEnd"/>
      <w:r w:rsidR="338C5E83" w:rsidRPr="00BC3363">
        <w:rPr>
          <w:rFonts w:ascii="Arial" w:eastAsia="Arial" w:hAnsi="Arial" w:cs="Arial"/>
          <w:sz w:val="15"/>
          <w:szCs w:val="15"/>
        </w:rPr>
        <w:t xml:space="preserve"> in Montenegro is known to receive over 5,000 mm of rainfall annually, and in record years, can even reach 7,000 mm, high precipitation due to orographic rainfall, where moist air is forced upwards by mountains, leading to increased rainfall on the windward slopes. Source: Pavlović, P., Kostić, N., Karadžić, B., Mitrović, M. (2017). </w:t>
      </w:r>
      <w:r w:rsidR="338C5E83" w:rsidRPr="00BC3363">
        <w:rPr>
          <w:rFonts w:ascii="Arial" w:eastAsia="Arial" w:hAnsi="Arial" w:cs="Arial"/>
          <w:i/>
          <w:iCs/>
          <w:sz w:val="15"/>
          <w:szCs w:val="15"/>
        </w:rPr>
        <w:t>Climate</w:t>
      </w:r>
      <w:r w:rsidR="338C5E83" w:rsidRPr="00BC3363">
        <w:rPr>
          <w:rFonts w:ascii="Arial" w:eastAsia="Arial" w:hAnsi="Arial" w:cs="Arial"/>
          <w:sz w:val="15"/>
          <w:szCs w:val="15"/>
        </w:rPr>
        <w:t xml:space="preserve">. In: </w:t>
      </w:r>
      <w:r w:rsidR="338C5E83" w:rsidRPr="00BC3363">
        <w:rPr>
          <w:rFonts w:ascii="Arial" w:eastAsia="Arial" w:hAnsi="Arial" w:cs="Arial"/>
          <w:i/>
          <w:iCs/>
          <w:sz w:val="15"/>
          <w:szCs w:val="15"/>
        </w:rPr>
        <w:t>The Soils of Serbia</w:t>
      </w:r>
      <w:r w:rsidR="338C5E83" w:rsidRPr="00BC3363">
        <w:rPr>
          <w:rFonts w:ascii="Arial" w:eastAsia="Arial" w:hAnsi="Arial" w:cs="Arial"/>
          <w:sz w:val="15"/>
          <w:szCs w:val="15"/>
        </w:rPr>
        <w:t>. World Soils Book Series. Springer, Dordrecht. https://doi.org/10.1007/978-94-017-8660-7_3.</w:t>
      </w:r>
    </w:p>
  </w:footnote>
  <w:footnote w:id="43">
    <w:p w14:paraId="492C7E42" w14:textId="4D08CDDD" w:rsidR="4186447D" w:rsidRPr="00BC3363" w:rsidRDefault="4186447D" w:rsidP="00680E77">
      <w:pPr>
        <w:spacing w:after="0" w:line="240" w:lineRule="auto"/>
        <w:jc w:val="both"/>
        <w:rPr>
          <w:rFonts w:ascii="Arial" w:hAnsi="Arial" w:cs="Arial"/>
          <w:sz w:val="15"/>
          <w:szCs w:val="15"/>
        </w:rPr>
      </w:pPr>
      <w:r w:rsidRPr="00BC3363">
        <w:rPr>
          <w:rFonts w:ascii="Arial" w:eastAsia="Arial" w:hAnsi="Arial" w:cs="Arial"/>
          <w:sz w:val="15"/>
          <w:szCs w:val="15"/>
        </w:rPr>
        <w:footnoteRef/>
      </w:r>
      <w:r w:rsidR="338C5E83" w:rsidRPr="00BC3363">
        <w:rPr>
          <w:rFonts w:ascii="Arial" w:eastAsia="Arial" w:hAnsi="Arial" w:cs="Arial"/>
          <w:sz w:val="15"/>
          <w:szCs w:val="15"/>
        </w:rPr>
        <w:t xml:space="preserve"> Pavlović, P., Kostić, N., Karadžić, B., Mitrović, M. (2017). </w:t>
      </w:r>
      <w:r w:rsidR="338C5E83" w:rsidRPr="00BC3363">
        <w:rPr>
          <w:rFonts w:ascii="Arial" w:eastAsia="Arial" w:hAnsi="Arial" w:cs="Arial"/>
          <w:i/>
          <w:iCs/>
          <w:sz w:val="15"/>
          <w:szCs w:val="15"/>
        </w:rPr>
        <w:t>Climate</w:t>
      </w:r>
      <w:r w:rsidR="338C5E83" w:rsidRPr="00BC3363">
        <w:rPr>
          <w:rFonts w:ascii="Arial" w:eastAsia="Arial" w:hAnsi="Arial" w:cs="Arial"/>
          <w:sz w:val="15"/>
          <w:szCs w:val="15"/>
        </w:rPr>
        <w:t xml:space="preserve">. In: </w:t>
      </w:r>
      <w:r w:rsidR="338C5E83" w:rsidRPr="00BC3363">
        <w:rPr>
          <w:rFonts w:ascii="Arial" w:eastAsia="Arial" w:hAnsi="Arial" w:cs="Arial"/>
          <w:i/>
          <w:iCs/>
          <w:sz w:val="15"/>
          <w:szCs w:val="15"/>
        </w:rPr>
        <w:t>The Soils of Serbia</w:t>
      </w:r>
      <w:r w:rsidR="338C5E83" w:rsidRPr="00BC3363">
        <w:rPr>
          <w:rFonts w:ascii="Arial" w:eastAsia="Arial" w:hAnsi="Arial" w:cs="Arial"/>
          <w:sz w:val="15"/>
          <w:szCs w:val="15"/>
        </w:rPr>
        <w:t>. World Soils Book Series. Springer, Dordrecht. https://doi.org/10.1007/978-94-017-8660-7_3.</w:t>
      </w:r>
    </w:p>
  </w:footnote>
  <w:footnote w:id="44">
    <w:p w14:paraId="290A0AE9" w14:textId="2C6A8D96" w:rsidR="4186447D" w:rsidRPr="00BC3363" w:rsidRDefault="4186447D" w:rsidP="00680E77">
      <w:pPr>
        <w:spacing w:after="0" w:line="240" w:lineRule="auto"/>
        <w:jc w:val="both"/>
        <w:rPr>
          <w:rFonts w:ascii="Arial" w:hAnsi="Arial" w:cs="Arial"/>
          <w:sz w:val="15"/>
          <w:szCs w:val="15"/>
        </w:rPr>
      </w:pPr>
      <w:r w:rsidRPr="00BC3363">
        <w:rPr>
          <w:rFonts w:ascii="Arial" w:eastAsia="Arial" w:hAnsi="Arial" w:cs="Arial"/>
          <w:sz w:val="15"/>
          <w:szCs w:val="15"/>
        </w:rPr>
        <w:footnoteRef/>
      </w:r>
      <w:r w:rsidR="338C5E83" w:rsidRPr="00BC3363">
        <w:rPr>
          <w:rFonts w:ascii="Arial" w:eastAsia="Arial" w:hAnsi="Arial" w:cs="Arial"/>
          <w:sz w:val="15"/>
          <w:szCs w:val="15"/>
        </w:rPr>
        <w:t xml:space="preserve"> </w:t>
      </w:r>
      <w:proofErr w:type="spellStart"/>
      <w:r w:rsidR="338C5E83" w:rsidRPr="00BC3363">
        <w:rPr>
          <w:rFonts w:ascii="Arial" w:eastAsia="Arial" w:hAnsi="Arial" w:cs="Arial"/>
          <w:sz w:val="15"/>
          <w:szCs w:val="15"/>
        </w:rPr>
        <w:t>Micić</w:t>
      </w:r>
      <w:proofErr w:type="spellEnd"/>
      <w:r w:rsidR="338C5E83" w:rsidRPr="00BC3363">
        <w:rPr>
          <w:rFonts w:ascii="Arial" w:eastAsia="Arial" w:hAnsi="Arial" w:cs="Arial"/>
          <w:sz w:val="15"/>
          <w:szCs w:val="15"/>
        </w:rPr>
        <w:t xml:space="preserve"> </w:t>
      </w:r>
      <w:proofErr w:type="spellStart"/>
      <w:r w:rsidR="338C5E83" w:rsidRPr="00BC3363">
        <w:rPr>
          <w:rFonts w:ascii="Arial" w:eastAsia="Arial" w:hAnsi="Arial" w:cs="Arial"/>
          <w:sz w:val="15"/>
          <w:szCs w:val="15"/>
        </w:rPr>
        <w:t>Ponjiger</w:t>
      </w:r>
      <w:proofErr w:type="spellEnd"/>
      <w:r w:rsidR="338C5E83" w:rsidRPr="00BC3363">
        <w:rPr>
          <w:rFonts w:ascii="Arial" w:eastAsia="Arial" w:hAnsi="Arial" w:cs="Arial"/>
          <w:sz w:val="15"/>
          <w:szCs w:val="15"/>
        </w:rPr>
        <w:t xml:space="preserve">, Tanja, Tin Lukić, Robert L. Wilby, Slobodan B. Marković, Aleksandar </w:t>
      </w:r>
      <w:proofErr w:type="spellStart"/>
      <w:r w:rsidR="338C5E83" w:rsidRPr="00BC3363">
        <w:rPr>
          <w:rFonts w:ascii="Arial" w:eastAsia="Arial" w:hAnsi="Arial" w:cs="Arial"/>
          <w:sz w:val="15"/>
          <w:szCs w:val="15"/>
        </w:rPr>
        <w:t>Valjarević</w:t>
      </w:r>
      <w:proofErr w:type="spellEnd"/>
      <w:r w:rsidR="338C5E83" w:rsidRPr="00BC3363">
        <w:rPr>
          <w:rFonts w:ascii="Arial" w:eastAsia="Arial" w:hAnsi="Arial" w:cs="Arial"/>
          <w:sz w:val="15"/>
          <w:szCs w:val="15"/>
        </w:rPr>
        <w:t xml:space="preserve">, </w:t>
      </w:r>
      <w:proofErr w:type="spellStart"/>
      <w:r w:rsidR="338C5E83" w:rsidRPr="00BC3363">
        <w:rPr>
          <w:rFonts w:ascii="Arial" w:eastAsia="Arial" w:hAnsi="Arial" w:cs="Arial"/>
          <w:sz w:val="15"/>
          <w:szCs w:val="15"/>
        </w:rPr>
        <w:t>Slavoljub</w:t>
      </w:r>
      <w:proofErr w:type="spellEnd"/>
      <w:r w:rsidR="338C5E83" w:rsidRPr="00BC3363">
        <w:rPr>
          <w:rFonts w:ascii="Arial" w:eastAsia="Arial" w:hAnsi="Arial" w:cs="Arial"/>
          <w:sz w:val="15"/>
          <w:szCs w:val="15"/>
        </w:rPr>
        <w:t xml:space="preserve"> </w:t>
      </w:r>
      <w:proofErr w:type="spellStart"/>
      <w:r w:rsidR="338C5E83" w:rsidRPr="00BC3363">
        <w:rPr>
          <w:rFonts w:ascii="Arial" w:eastAsia="Arial" w:hAnsi="Arial" w:cs="Arial"/>
          <w:sz w:val="15"/>
          <w:szCs w:val="15"/>
        </w:rPr>
        <w:t>Dragićević</w:t>
      </w:r>
      <w:proofErr w:type="spellEnd"/>
      <w:r w:rsidR="338C5E83" w:rsidRPr="00BC3363">
        <w:rPr>
          <w:rFonts w:ascii="Arial" w:eastAsia="Arial" w:hAnsi="Arial" w:cs="Arial"/>
          <w:sz w:val="15"/>
          <w:szCs w:val="15"/>
        </w:rPr>
        <w:t xml:space="preserve">, Milivoj B. Gavrilov, Igor </w:t>
      </w:r>
      <w:proofErr w:type="spellStart"/>
      <w:r w:rsidR="338C5E83" w:rsidRPr="00BC3363">
        <w:rPr>
          <w:rFonts w:ascii="Arial" w:eastAsia="Arial" w:hAnsi="Arial" w:cs="Arial"/>
          <w:sz w:val="15"/>
          <w:szCs w:val="15"/>
        </w:rPr>
        <w:t>Ponjiger</w:t>
      </w:r>
      <w:proofErr w:type="spellEnd"/>
      <w:r w:rsidR="338C5E83" w:rsidRPr="00BC3363">
        <w:rPr>
          <w:rFonts w:ascii="Arial" w:eastAsia="Arial" w:hAnsi="Arial" w:cs="Arial"/>
          <w:sz w:val="15"/>
          <w:szCs w:val="15"/>
        </w:rPr>
        <w:t xml:space="preserve">, Uroš </w:t>
      </w:r>
      <w:proofErr w:type="spellStart"/>
      <w:r w:rsidR="338C5E83" w:rsidRPr="00BC3363">
        <w:rPr>
          <w:rFonts w:ascii="Arial" w:eastAsia="Arial" w:hAnsi="Arial" w:cs="Arial"/>
          <w:sz w:val="15"/>
          <w:szCs w:val="15"/>
        </w:rPr>
        <w:t>Durlević</w:t>
      </w:r>
      <w:proofErr w:type="spellEnd"/>
      <w:r w:rsidR="338C5E83" w:rsidRPr="00BC3363">
        <w:rPr>
          <w:rFonts w:ascii="Arial" w:eastAsia="Arial" w:hAnsi="Arial" w:cs="Arial"/>
          <w:sz w:val="15"/>
          <w:szCs w:val="15"/>
        </w:rPr>
        <w:t xml:space="preserve">, Miško M. Milanović, </w:t>
      </w:r>
      <w:proofErr w:type="gramStart"/>
      <w:r w:rsidR="338C5E83" w:rsidRPr="00BC3363">
        <w:rPr>
          <w:rFonts w:ascii="Arial" w:eastAsia="Arial" w:hAnsi="Arial" w:cs="Arial"/>
          <w:sz w:val="15"/>
          <w:szCs w:val="15"/>
        </w:rPr>
        <w:t>and et al.</w:t>
      </w:r>
      <w:proofErr w:type="gramEnd"/>
      <w:r w:rsidR="338C5E83" w:rsidRPr="00BC3363">
        <w:rPr>
          <w:rFonts w:ascii="Arial" w:eastAsia="Arial" w:hAnsi="Arial" w:cs="Arial"/>
          <w:sz w:val="15"/>
          <w:szCs w:val="15"/>
        </w:rPr>
        <w:t xml:space="preserve"> (2023). "Evaluation of Rainfall Erosivity in the Western Balkans by Mapping and Clustering ERA5 Reanalysis Data" </w:t>
      </w:r>
      <w:r w:rsidR="338C5E83" w:rsidRPr="00BC3363">
        <w:rPr>
          <w:rFonts w:ascii="Arial" w:eastAsia="Arial" w:hAnsi="Arial" w:cs="Arial"/>
          <w:i/>
          <w:iCs/>
          <w:sz w:val="15"/>
          <w:szCs w:val="15"/>
        </w:rPr>
        <w:t xml:space="preserve">Atmosphere </w:t>
      </w:r>
      <w:r w:rsidR="338C5E83" w:rsidRPr="00BC3363">
        <w:rPr>
          <w:rFonts w:ascii="Arial" w:eastAsia="Arial" w:hAnsi="Arial" w:cs="Arial"/>
          <w:sz w:val="15"/>
          <w:szCs w:val="15"/>
        </w:rPr>
        <w:t>14, no. 1: 104. https://doi.org/10.3390/atmos14010104</w:t>
      </w:r>
    </w:p>
  </w:footnote>
  <w:footnote w:id="45">
    <w:p w14:paraId="6F501622" w14:textId="4F1FA54D" w:rsidR="4186447D" w:rsidRPr="00BC3363" w:rsidRDefault="4186447D" w:rsidP="00680E77">
      <w:pPr>
        <w:spacing w:after="0" w:line="240" w:lineRule="auto"/>
        <w:jc w:val="both"/>
        <w:rPr>
          <w:rFonts w:ascii="Arial" w:hAnsi="Arial" w:cs="Arial"/>
          <w:sz w:val="15"/>
          <w:szCs w:val="15"/>
        </w:rPr>
      </w:pPr>
      <w:r w:rsidRPr="00BC3363">
        <w:rPr>
          <w:rFonts w:ascii="Arial" w:eastAsia="Arial" w:hAnsi="Arial" w:cs="Arial"/>
          <w:sz w:val="15"/>
          <w:szCs w:val="15"/>
        </w:rPr>
        <w:footnoteRef/>
      </w:r>
      <w:r w:rsidR="338C5E83" w:rsidRPr="00BC3363">
        <w:rPr>
          <w:rFonts w:ascii="Arial" w:eastAsia="Arial" w:hAnsi="Arial" w:cs="Arial"/>
          <w:sz w:val="15"/>
          <w:szCs w:val="15"/>
        </w:rPr>
        <w:t xml:space="preserve"> Pavlović, P., Kostić, N., Karadžić, B., Mitrović, M. (2017). </w:t>
      </w:r>
      <w:r w:rsidR="338C5E83" w:rsidRPr="00BC3363">
        <w:rPr>
          <w:rFonts w:ascii="Arial" w:eastAsia="Arial" w:hAnsi="Arial" w:cs="Arial"/>
          <w:i/>
          <w:iCs/>
          <w:sz w:val="15"/>
          <w:szCs w:val="15"/>
        </w:rPr>
        <w:t>Climate</w:t>
      </w:r>
      <w:r w:rsidR="338C5E83" w:rsidRPr="00BC3363">
        <w:rPr>
          <w:rFonts w:ascii="Arial" w:eastAsia="Arial" w:hAnsi="Arial" w:cs="Arial"/>
          <w:sz w:val="15"/>
          <w:szCs w:val="15"/>
        </w:rPr>
        <w:t xml:space="preserve">. In: </w:t>
      </w:r>
      <w:r w:rsidR="338C5E83" w:rsidRPr="00BC3363">
        <w:rPr>
          <w:rFonts w:ascii="Arial" w:eastAsia="Arial" w:hAnsi="Arial" w:cs="Arial"/>
          <w:i/>
          <w:iCs/>
          <w:sz w:val="15"/>
          <w:szCs w:val="15"/>
        </w:rPr>
        <w:t>The Soils of Serbia</w:t>
      </w:r>
      <w:r w:rsidR="338C5E83" w:rsidRPr="00BC3363">
        <w:rPr>
          <w:rFonts w:ascii="Arial" w:eastAsia="Arial" w:hAnsi="Arial" w:cs="Arial"/>
          <w:sz w:val="15"/>
          <w:szCs w:val="15"/>
        </w:rPr>
        <w:t>. World Soils Book Series. Springer, Dordrecht. https://doi.org/10.1007/978-94-017-8660-7_3.</w:t>
      </w:r>
    </w:p>
  </w:footnote>
  <w:footnote w:id="46">
    <w:p w14:paraId="47791679" w14:textId="745CFA14" w:rsidR="4186447D" w:rsidRPr="00BC3363" w:rsidRDefault="4186447D" w:rsidP="00680E77">
      <w:pPr>
        <w:spacing w:after="0" w:line="240" w:lineRule="auto"/>
        <w:rPr>
          <w:rFonts w:ascii="Arial" w:hAnsi="Arial" w:cs="Arial"/>
          <w:sz w:val="15"/>
          <w:szCs w:val="15"/>
        </w:rPr>
      </w:pPr>
      <w:r w:rsidRPr="00BC3363">
        <w:rPr>
          <w:rFonts w:ascii="Arial" w:eastAsia="Arial" w:hAnsi="Arial" w:cs="Arial"/>
          <w:sz w:val="15"/>
          <w:szCs w:val="15"/>
        </w:rPr>
        <w:footnoteRef/>
      </w:r>
      <w:r w:rsidR="338C5E83" w:rsidRPr="00BC3363">
        <w:rPr>
          <w:rFonts w:ascii="Arial" w:eastAsia="Arial" w:hAnsi="Arial" w:cs="Arial"/>
          <w:sz w:val="15"/>
          <w:szCs w:val="15"/>
        </w:rPr>
        <w:t xml:space="preserve"> RCC (2018), p. 6, 19.</w:t>
      </w:r>
    </w:p>
  </w:footnote>
  <w:footnote w:id="47">
    <w:p w14:paraId="090997D8" w14:textId="6B5AA785" w:rsidR="00D7067C" w:rsidRPr="00BC3363" w:rsidRDefault="00D7067C" w:rsidP="00680E77">
      <w:pPr>
        <w:pStyle w:val="FootnoteText"/>
        <w:contextualSpacing/>
        <w:jc w:val="both"/>
        <w:rPr>
          <w:rFonts w:ascii="Arial" w:eastAsia="Calibri" w:hAnsi="Arial" w:cs="Arial"/>
          <w:sz w:val="15"/>
          <w:szCs w:val="15"/>
        </w:rPr>
      </w:pPr>
      <w:r w:rsidRPr="00BC3363">
        <w:rPr>
          <w:rStyle w:val="FootnoteReference"/>
          <w:rFonts w:ascii="Arial" w:eastAsia="Arial" w:hAnsi="Arial" w:cs="Arial"/>
          <w:sz w:val="15"/>
          <w:szCs w:val="15"/>
        </w:rPr>
        <w:footnoteRef/>
      </w:r>
      <w:r w:rsidR="338C5E83" w:rsidRPr="00BC3363">
        <w:rPr>
          <w:rFonts w:ascii="Arial" w:eastAsia="Arial" w:hAnsi="Arial" w:cs="Arial"/>
          <w:sz w:val="15"/>
          <w:szCs w:val="15"/>
        </w:rPr>
        <w:t xml:space="preserve"> RCC (2018), p. 19. See discussion above of RCC methodology for the Western Balkans. Also see: Intergovernmental Panel on Climate Change. (2018). </w:t>
      </w:r>
      <w:r w:rsidR="338C5E83" w:rsidRPr="00BC3363">
        <w:rPr>
          <w:rFonts w:ascii="Arial" w:eastAsia="Arial" w:hAnsi="Arial" w:cs="Arial"/>
          <w:i/>
          <w:iCs/>
          <w:sz w:val="15"/>
          <w:szCs w:val="15"/>
        </w:rPr>
        <w:t>Global warming of 1.5°C: An IPCC Special Report on the impacts of global warming of 1.5°C above pre-industrial levels and related global greenhouse gas emission pathways</w:t>
      </w:r>
      <w:r w:rsidR="338C5E83" w:rsidRPr="00BC3363">
        <w:rPr>
          <w:rFonts w:ascii="Arial" w:eastAsia="Arial" w:hAnsi="Arial" w:cs="Arial"/>
          <w:sz w:val="15"/>
          <w:szCs w:val="15"/>
        </w:rPr>
        <w:t>. Available at: https://www.ipcc.ch/sr15/.</w:t>
      </w:r>
    </w:p>
  </w:footnote>
  <w:footnote w:id="48">
    <w:p w14:paraId="1778878F" w14:textId="5B68A6D3" w:rsidR="4186447D" w:rsidRPr="00BC3363" w:rsidRDefault="4186447D" w:rsidP="00680E77">
      <w:pPr>
        <w:spacing w:after="0" w:line="240" w:lineRule="auto"/>
        <w:jc w:val="both"/>
        <w:rPr>
          <w:rFonts w:ascii="Arial" w:hAnsi="Arial" w:cs="Arial"/>
          <w:sz w:val="15"/>
          <w:szCs w:val="15"/>
        </w:rPr>
      </w:pPr>
      <w:r w:rsidRPr="00BC3363">
        <w:rPr>
          <w:rFonts w:ascii="Arial" w:eastAsia="Arial" w:hAnsi="Arial" w:cs="Arial"/>
          <w:sz w:val="15"/>
          <w:szCs w:val="15"/>
        </w:rPr>
        <w:footnoteRef/>
      </w:r>
      <w:r w:rsidR="338C5E83" w:rsidRPr="00BC3363">
        <w:rPr>
          <w:rFonts w:ascii="Arial" w:eastAsia="Arial" w:hAnsi="Arial" w:cs="Arial"/>
          <w:sz w:val="15"/>
          <w:szCs w:val="15"/>
        </w:rPr>
        <w:t xml:space="preserve"> </w:t>
      </w:r>
      <w:proofErr w:type="spellStart"/>
      <w:r w:rsidR="338C5E83" w:rsidRPr="00BC3363">
        <w:rPr>
          <w:rFonts w:ascii="Arial" w:eastAsia="Arial" w:hAnsi="Arial" w:cs="Arial"/>
          <w:sz w:val="15"/>
          <w:szCs w:val="15"/>
        </w:rPr>
        <w:t>Alfthan</w:t>
      </w:r>
      <w:proofErr w:type="spellEnd"/>
      <w:r w:rsidR="338C5E83" w:rsidRPr="00BC3363">
        <w:rPr>
          <w:rFonts w:ascii="Arial" w:eastAsia="Arial" w:hAnsi="Arial" w:cs="Arial"/>
          <w:sz w:val="15"/>
          <w:szCs w:val="15"/>
        </w:rPr>
        <w:t xml:space="preserve">, B.; </w:t>
      </w:r>
      <w:proofErr w:type="spellStart"/>
      <w:r w:rsidR="338C5E83" w:rsidRPr="00BC3363">
        <w:rPr>
          <w:rFonts w:ascii="Arial" w:eastAsia="Arial" w:hAnsi="Arial" w:cs="Arial"/>
          <w:sz w:val="15"/>
          <w:szCs w:val="15"/>
        </w:rPr>
        <w:t>Krilasevic</w:t>
      </w:r>
      <w:proofErr w:type="spellEnd"/>
      <w:r w:rsidR="338C5E83" w:rsidRPr="00BC3363">
        <w:rPr>
          <w:rFonts w:ascii="Arial" w:eastAsia="Arial" w:hAnsi="Arial" w:cs="Arial"/>
          <w:sz w:val="15"/>
          <w:szCs w:val="15"/>
        </w:rPr>
        <w:t xml:space="preserve">, E.; Venturini, S.; </w:t>
      </w:r>
      <w:proofErr w:type="spellStart"/>
      <w:r w:rsidR="338C5E83" w:rsidRPr="00BC3363">
        <w:rPr>
          <w:rFonts w:ascii="Arial" w:eastAsia="Arial" w:hAnsi="Arial" w:cs="Arial"/>
          <w:sz w:val="15"/>
          <w:szCs w:val="15"/>
        </w:rPr>
        <w:t>Bajrovic</w:t>
      </w:r>
      <w:proofErr w:type="spellEnd"/>
      <w:r w:rsidR="338C5E83" w:rsidRPr="00BC3363">
        <w:rPr>
          <w:rFonts w:ascii="Arial" w:eastAsia="Arial" w:hAnsi="Arial" w:cs="Arial"/>
          <w:sz w:val="15"/>
          <w:szCs w:val="15"/>
        </w:rPr>
        <w:t xml:space="preserve">, S.; Jurek, M.; Schoolmeester, T., Sandei, P.C., Egerer, H, and Kurvits, T. (2015). </w:t>
      </w:r>
      <w:r w:rsidR="338C5E83" w:rsidRPr="00BC3363">
        <w:rPr>
          <w:rFonts w:ascii="Arial" w:eastAsia="Arial" w:hAnsi="Arial" w:cs="Arial"/>
          <w:i/>
          <w:iCs/>
          <w:sz w:val="15"/>
          <w:szCs w:val="15"/>
        </w:rPr>
        <w:t>Outlook on Climate Change Adaptation in the Western Balkan Mountains</w:t>
      </w:r>
      <w:r w:rsidR="338C5E83" w:rsidRPr="00BC3363">
        <w:rPr>
          <w:rFonts w:ascii="Arial" w:eastAsia="Arial" w:hAnsi="Arial" w:cs="Arial"/>
          <w:sz w:val="15"/>
          <w:szCs w:val="15"/>
        </w:rPr>
        <w:t>. United Nations Environment Programme (UNEP), GRID-Arendal, and Environmental Innovations Association (EIA). Vienna, Arendal and Sarajevo. www.grida.no., p. 16.</w:t>
      </w:r>
    </w:p>
  </w:footnote>
  <w:footnote w:id="49">
    <w:p w14:paraId="6C224F09" w14:textId="24C90DD1" w:rsidR="4186447D" w:rsidRPr="00BC3363" w:rsidRDefault="4186447D" w:rsidP="00680E77">
      <w:pPr>
        <w:spacing w:after="0" w:line="240" w:lineRule="auto"/>
        <w:jc w:val="both"/>
        <w:rPr>
          <w:rFonts w:ascii="Arial" w:hAnsi="Arial" w:cs="Arial"/>
          <w:sz w:val="15"/>
          <w:szCs w:val="15"/>
        </w:rPr>
      </w:pPr>
      <w:r w:rsidRPr="00BC3363">
        <w:rPr>
          <w:rFonts w:ascii="Arial" w:eastAsia="Arial" w:hAnsi="Arial" w:cs="Arial"/>
          <w:sz w:val="15"/>
          <w:szCs w:val="15"/>
        </w:rPr>
        <w:footnoteRef/>
      </w:r>
      <w:r w:rsidR="338C5E83" w:rsidRPr="00BC3363">
        <w:rPr>
          <w:rFonts w:ascii="Arial" w:eastAsia="Arial" w:hAnsi="Arial" w:cs="Arial"/>
          <w:sz w:val="15"/>
          <w:szCs w:val="15"/>
        </w:rPr>
        <w:t xml:space="preserve"> RCC (2018), p. 20.</w:t>
      </w:r>
    </w:p>
  </w:footnote>
  <w:footnote w:id="50">
    <w:p w14:paraId="3E7CF084" w14:textId="4F815506" w:rsidR="4186447D" w:rsidRPr="00BC3363" w:rsidRDefault="4186447D" w:rsidP="00680E77">
      <w:pPr>
        <w:spacing w:after="0" w:line="240" w:lineRule="auto"/>
        <w:jc w:val="both"/>
        <w:rPr>
          <w:rFonts w:ascii="Arial" w:hAnsi="Arial" w:cs="Arial"/>
          <w:sz w:val="15"/>
          <w:szCs w:val="15"/>
        </w:rPr>
      </w:pPr>
      <w:r w:rsidRPr="00BC3363">
        <w:rPr>
          <w:rFonts w:ascii="Arial" w:eastAsia="Arial" w:hAnsi="Arial" w:cs="Arial"/>
          <w:sz w:val="15"/>
          <w:szCs w:val="15"/>
        </w:rPr>
        <w:footnoteRef/>
      </w:r>
      <w:r w:rsidR="338C5E83" w:rsidRPr="00BC3363">
        <w:rPr>
          <w:rFonts w:ascii="Arial" w:eastAsia="Arial" w:hAnsi="Arial" w:cs="Arial"/>
          <w:sz w:val="15"/>
          <w:szCs w:val="15"/>
        </w:rPr>
        <w:t xml:space="preserve"> Ibid., p. 20.</w:t>
      </w:r>
    </w:p>
  </w:footnote>
  <w:footnote w:id="51">
    <w:p w14:paraId="0A78AEF0" w14:textId="39F42694" w:rsidR="4186447D" w:rsidRPr="00BC3363" w:rsidRDefault="4186447D" w:rsidP="00622F32">
      <w:pPr>
        <w:spacing w:line="240" w:lineRule="auto"/>
        <w:jc w:val="both"/>
        <w:rPr>
          <w:rFonts w:ascii="Arial" w:hAnsi="Arial" w:cs="Arial"/>
          <w:sz w:val="15"/>
          <w:szCs w:val="15"/>
        </w:rPr>
      </w:pPr>
      <w:r w:rsidRPr="00BC3363">
        <w:rPr>
          <w:rFonts w:ascii="Arial" w:eastAsia="Arial" w:hAnsi="Arial" w:cs="Arial"/>
          <w:sz w:val="15"/>
          <w:szCs w:val="15"/>
        </w:rPr>
        <w:footnoteRef/>
      </w:r>
      <w:r w:rsidR="338C5E83" w:rsidRPr="00BC3363">
        <w:rPr>
          <w:rFonts w:ascii="Arial" w:eastAsia="Arial" w:hAnsi="Arial" w:cs="Arial"/>
          <w:sz w:val="15"/>
          <w:szCs w:val="15"/>
        </w:rPr>
        <w:t xml:space="preserve"> Ibid., p. 19-20.</w:t>
      </w:r>
    </w:p>
  </w:footnote>
  <w:footnote w:id="52">
    <w:p w14:paraId="363B471A" w14:textId="14335F6B" w:rsidR="4186447D" w:rsidRPr="00BC3363" w:rsidRDefault="4186447D" w:rsidP="00030E2D">
      <w:pPr>
        <w:spacing w:after="0" w:line="240" w:lineRule="auto"/>
        <w:jc w:val="both"/>
        <w:rPr>
          <w:rFonts w:ascii="Arial" w:hAnsi="Arial" w:cs="Arial"/>
          <w:sz w:val="15"/>
          <w:szCs w:val="15"/>
        </w:rPr>
      </w:pPr>
      <w:r w:rsidRPr="00BC3363">
        <w:rPr>
          <w:rFonts w:ascii="Arial" w:eastAsia="Arial" w:hAnsi="Arial" w:cs="Arial"/>
          <w:sz w:val="15"/>
          <w:szCs w:val="15"/>
        </w:rPr>
        <w:footnoteRef/>
      </w:r>
      <w:r w:rsidR="338C5E83" w:rsidRPr="00BC3363">
        <w:rPr>
          <w:rFonts w:ascii="Arial" w:eastAsia="Arial" w:hAnsi="Arial" w:cs="Arial"/>
          <w:sz w:val="15"/>
          <w:szCs w:val="15"/>
        </w:rPr>
        <w:t xml:space="preserve"> Ibid., p. 20.</w:t>
      </w:r>
    </w:p>
  </w:footnote>
  <w:footnote w:id="53">
    <w:p w14:paraId="22B2086F" w14:textId="5D34A961" w:rsidR="4186447D" w:rsidRPr="00BC3363" w:rsidRDefault="4186447D" w:rsidP="00030E2D">
      <w:pPr>
        <w:spacing w:after="0" w:line="240" w:lineRule="auto"/>
        <w:rPr>
          <w:rFonts w:ascii="Arial" w:hAnsi="Arial" w:cs="Arial"/>
          <w:sz w:val="15"/>
          <w:szCs w:val="15"/>
        </w:rPr>
      </w:pPr>
      <w:r w:rsidRPr="00BC3363">
        <w:rPr>
          <w:rFonts w:ascii="Arial" w:eastAsia="Arial" w:hAnsi="Arial" w:cs="Arial"/>
          <w:sz w:val="15"/>
          <w:szCs w:val="15"/>
        </w:rPr>
        <w:footnoteRef/>
      </w:r>
      <w:r w:rsidR="338C5E83" w:rsidRPr="00BC3363">
        <w:rPr>
          <w:rFonts w:ascii="Arial" w:eastAsia="Arial" w:hAnsi="Arial" w:cs="Arial"/>
          <w:sz w:val="15"/>
          <w:szCs w:val="15"/>
        </w:rPr>
        <w:t xml:space="preserve"> Ibid., p. 19.</w:t>
      </w:r>
    </w:p>
  </w:footnote>
  <w:footnote w:id="54">
    <w:p w14:paraId="622BE923" w14:textId="43FC46B7" w:rsidR="4186447D" w:rsidRPr="00BC3363" w:rsidRDefault="4186447D" w:rsidP="00030E2D">
      <w:pPr>
        <w:spacing w:after="0" w:line="240" w:lineRule="auto"/>
        <w:rPr>
          <w:rFonts w:ascii="Arial" w:hAnsi="Arial" w:cs="Arial"/>
          <w:sz w:val="15"/>
          <w:szCs w:val="15"/>
        </w:rPr>
      </w:pPr>
      <w:r w:rsidRPr="00BC3363">
        <w:rPr>
          <w:rFonts w:ascii="Arial" w:eastAsia="Arial" w:hAnsi="Arial" w:cs="Arial"/>
          <w:sz w:val="15"/>
          <w:szCs w:val="15"/>
        </w:rPr>
        <w:footnoteRef/>
      </w:r>
      <w:r w:rsidR="338C5E83" w:rsidRPr="00BC3363">
        <w:rPr>
          <w:rFonts w:ascii="Arial" w:eastAsia="Arial" w:hAnsi="Arial" w:cs="Arial"/>
          <w:sz w:val="15"/>
          <w:szCs w:val="15"/>
        </w:rPr>
        <w:t xml:space="preserve"> Ibid., p. 21.</w:t>
      </w:r>
    </w:p>
  </w:footnote>
  <w:footnote w:id="55">
    <w:p w14:paraId="65134183" w14:textId="251BEB0C" w:rsidR="4186447D" w:rsidRPr="00BC3363" w:rsidRDefault="4186447D" w:rsidP="00030E2D">
      <w:pPr>
        <w:spacing w:after="0" w:line="240" w:lineRule="auto"/>
        <w:jc w:val="both"/>
        <w:rPr>
          <w:rFonts w:ascii="Arial" w:hAnsi="Arial" w:cs="Arial"/>
          <w:sz w:val="15"/>
          <w:szCs w:val="15"/>
        </w:rPr>
      </w:pPr>
      <w:r w:rsidRPr="00BC3363">
        <w:rPr>
          <w:rFonts w:ascii="Arial" w:eastAsia="Arial" w:hAnsi="Arial" w:cs="Arial"/>
          <w:sz w:val="15"/>
          <w:szCs w:val="15"/>
        </w:rPr>
        <w:footnoteRef/>
      </w:r>
      <w:r w:rsidR="338C5E83" w:rsidRPr="00BC3363">
        <w:rPr>
          <w:rFonts w:ascii="Arial" w:eastAsia="Arial" w:hAnsi="Arial" w:cs="Arial"/>
          <w:sz w:val="15"/>
          <w:szCs w:val="15"/>
        </w:rPr>
        <w:t xml:space="preserve"> Milosevic, D., </w:t>
      </w:r>
      <w:proofErr w:type="spellStart"/>
      <w:r w:rsidR="338C5E83" w:rsidRPr="00BC3363">
        <w:rPr>
          <w:rFonts w:ascii="Arial" w:eastAsia="Arial" w:hAnsi="Arial" w:cs="Arial"/>
          <w:sz w:val="15"/>
          <w:szCs w:val="15"/>
        </w:rPr>
        <w:t>Stojsavljević</w:t>
      </w:r>
      <w:proofErr w:type="spellEnd"/>
      <w:r w:rsidR="338C5E83" w:rsidRPr="00BC3363">
        <w:rPr>
          <w:rFonts w:ascii="Arial" w:eastAsia="Arial" w:hAnsi="Arial" w:cs="Arial"/>
          <w:sz w:val="15"/>
          <w:szCs w:val="15"/>
        </w:rPr>
        <w:t>, R., Szabo, S., Stankov, U., Savic, S., Mitrović, L. (2021). “</w:t>
      </w:r>
      <w:proofErr w:type="spellStart"/>
      <w:r w:rsidR="338C5E83" w:rsidRPr="00BC3363">
        <w:rPr>
          <w:rFonts w:ascii="Arial" w:eastAsia="Arial" w:hAnsi="Arial" w:cs="Arial"/>
          <w:sz w:val="15"/>
          <w:szCs w:val="15"/>
        </w:rPr>
        <w:t>Spatio</w:t>
      </w:r>
      <w:proofErr w:type="spellEnd"/>
      <w:r w:rsidR="338C5E83" w:rsidRPr="00BC3363">
        <w:rPr>
          <w:rFonts w:ascii="Arial" w:eastAsia="Arial" w:hAnsi="Arial" w:cs="Arial"/>
          <w:sz w:val="15"/>
          <w:szCs w:val="15"/>
        </w:rPr>
        <w:t xml:space="preserve">-temporal variability of precipitation over the Western Balkan countries and its links with the atmospheric circulation patterns”, April 2021, </w:t>
      </w:r>
      <w:r w:rsidR="338C5E83" w:rsidRPr="00BC3363">
        <w:rPr>
          <w:rFonts w:ascii="Arial" w:eastAsia="Arial" w:hAnsi="Arial" w:cs="Arial"/>
          <w:i/>
          <w:iCs/>
          <w:sz w:val="15"/>
          <w:szCs w:val="15"/>
        </w:rPr>
        <w:t xml:space="preserve">Journal of the Geographical Institute Jovan </w:t>
      </w:r>
      <w:proofErr w:type="spellStart"/>
      <w:r w:rsidR="338C5E83" w:rsidRPr="00BC3363">
        <w:rPr>
          <w:rFonts w:ascii="Arial" w:eastAsia="Arial" w:hAnsi="Arial" w:cs="Arial"/>
          <w:i/>
          <w:iCs/>
          <w:sz w:val="15"/>
          <w:szCs w:val="15"/>
        </w:rPr>
        <w:t>Cvijic</w:t>
      </w:r>
      <w:proofErr w:type="spellEnd"/>
      <w:r w:rsidR="338C5E83" w:rsidRPr="00BC3363">
        <w:rPr>
          <w:rFonts w:ascii="Arial" w:eastAsia="Arial" w:hAnsi="Arial" w:cs="Arial"/>
          <w:i/>
          <w:iCs/>
          <w:sz w:val="15"/>
          <w:szCs w:val="15"/>
        </w:rPr>
        <w:t xml:space="preserve"> SASA</w:t>
      </w:r>
      <w:r w:rsidR="338C5E83" w:rsidRPr="00BC3363">
        <w:rPr>
          <w:rFonts w:ascii="Arial" w:eastAsia="Arial" w:hAnsi="Arial" w:cs="Arial"/>
          <w:sz w:val="15"/>
          <w:szCs w:val="15"/>
        </w:rPr>
        <w:t xml:space="preserve"> 71(1):29-42. Available at: </w:t>
      </w:r>
      <w:hyperlink r:id="rId24">
        <w:r w:rsidR="338C5E83" w:rsidRPr="00BC3363">
          <w:rPr>
            <w:rStyle w:val="Hyperlink"/>
            <w:rFonts w:ascii="Arial" w:eastAsia="Arial" w:hAnsi="Arial" w:cs="Arial"/>
            <w:sz w:val="15"/>
            <w:szCs w:val="15"/>
          </w:rPr>
          <w:t>http://dx.doi.org/10.2298/IJGI2101029M</w:t>
        </w:r>
      </w:hyperlink>
      <w:r w:rsidR="338C5E83" w:rsidRPr="00BC3363">
        <w:rPr>
          <w:rFonts w:ascii="Arial" w:eastAsia="Arial" w:hAnsi="Arial" w:cs="Arial"/>
          <w:sz w:val="15"/>
          <w:szCs w:val="15"/>
        </w:rPr>
        <w:t>, p. 29.</w:t>
      </w:r>
    </w:p>
  </w:footnote>
  <w:footnote w:id="56">
    <w:p w14:paraId="4C7A6E2E" w14:textId="086B848B" w:rsidR="4186447D" w:rsidRPr="00BC3363" w:rsidRDefault="4186447D" w:rsidP="00030E2D">
      <w:pPr>
        <w:spacing w:after="0" w:line="240" w:lineRule="auto"/>
        <w:rPr>
          <w:rFonts w:ascii="Arial" w:hAnsi="Arial" w:cs="Arial"/>
          <w:sz w:val="15"/>
          <w:szCs w:val="15"/>
        </w:rPr>
      </w:pPr>
      <w:r w:rsidRPr="00BC3363">
        <w:rPr>
          <w:rFonts w:ascii="Arial" w:eastAsia="Arial" w:hAnsi="Arial" w:cs="Arial"/>
          <w:sz w:val="15"/>
          <w:szCs w:val="15"/>
        </w:rPr>
        <w:footnoteRef/>
      </w:r>
      <w:r w:rsidR="338C5E83" w:rsidRPr="00BC3363">
        <w:rPr>
          <w:rFonts w:ascii="Arial" w:eastAsia="Arial" w:hAnsi="Arial" w:cs="Arial"/>
          <w:sz w:val="15"/>
          <w:szCs w:val="15"/>
        </w:rPr>
        <w:t xml:space="preserve"> Ibid., p. 29.</w:t>
      </w:r>
    </w:p>
  </w:footnote>
  <w:footnote w:id="57">
    <w:p w14:paraId="12A361C7" w14:textId="09BB4424" w:rsidR="4186447D" w:rsidRPr="00BC3363" w:rsidRDefault="4186447D" w:rsidP="00030E2D">
      <w:pPr>
        <w:spacing w:after="0" w:line="240" w:lineRule="auto"/>
        <w:jc w:val="both"/>
        <w:rPr>
          <w:rFonts w:ascii="Arial" w:hAnsi="Arial" w:cs="Arial"/>
          <w:sz w:val="15"/>
          <w:szCs w:val="15"/>
        </w:rPr>
      </w:pPr>
      <w:r w:rsidRPr="00BC3363">
        <w:rPr>
          <w:rFonts w:ascii="Arial" w:eastAsia="Arial" w:hAnsi="Arial" w:cs="Arial"/>
          <w:sz w:val="15"/>
          <w:szCs w:val="15"/>
        </w:rPr>
        <w:footnoteRef/>
      </w:r>
      <w:r w:rsidR="338C5E83" w:rsidRPr="00BC3363">
        <w:rPr>
          <w:rFonts w:ascii="Arial" w:eastAsia="Arial" w:hAnsi="Arial" w:cs="Arial"/>
          <w:sz w:val="15"/>
          <w:szCs w:val="15"/>
        </w:rPr>
        <w:t xml:space="preserve"> RCC (2018), p. 19.</w:t>
      </w:r>
    </w:p>
  </w:footnote>
  <w:footnote w:id="58">
    <w:p w14:paraId="058E69B4" w14:textId="7192112C" w:rsidR="4186447D" w:rsidRPr="00BC3363" w:rsidRDefault="4186447D" w:rsidP="00030E2D">
      <w:pPr>
        <w:spacing w:after="0" w:line="240" w:lineRule="auto"/>
        <w:rPr>
          <w:rFonts w:ascii="Arial" w:hAnsi="Arial" w:cs="Arial"/>
          <w:sz w:val="15"/>
          <w:szCs w:val="15"/>
        </w:rPr>
      </w:pPr>
      <w:r w:rsidRPr="00BC3363">
        <w:rPr>
          <w:rFonts w:ascii="Arial" w:eastAsia="Arial" w:hAnsi="Arial" w:cs="Arial"/>
          <w:sz w:val="15"/>
          <w:szCs w:val="15"/>
        </w:rPr>
        <w:footnoteRef/>
      </w:r>
      <w:r w:rsidR="338C5E83" w:rsidRPr="00BC3363">
        <w:rPr>
          <w:rFonts w:ascii="Arial" w:eastAsia="Arial" w:hAnsi="Arial" w:cs="Arial"/>
          <w:sz w:val="15"/>
          <w:szCs w:val="15"/>
        </w:rPr>
        <w:t xml:space="preserve"> Ibid., p. 19.</w:t>
      </w:r>
    </w:p>
  </w:footnote>
  <w:footnote w:id="59">
    <w:p w14:paraId="5A290656" w14:textId="3E6FD615" w:rsidR="4186447D" w:rsidRPr="00BC3363" w:rsidRDefault="4186447D" w:rsidP="00030E2D">
      <w:pPr>
        <w:spacing w:after="0" w:line="240" w:lineRule="auto"/>
        <w:rPr>
          <w:rFonts w:ascii="Arial" w:hAnsi="Arial" w:cs="Arial"/>
          <w:sz w:val="15"/>
          <w:szCs w:val="15"/>
        </w:rPr>
      </w:pPr>
      <w:r w:rsidRPr="00BC3363">
        <w:rPr>
          <w:rFonts w:ascii="Arial" w:eastAsia="Arial" w:hAnsi="Arial" w:cs="Arial"/>
          <w:sz w:val="15"/>
          <w:szCs w:val="15"/>
        </w:rPr>
        <w:footnoteRef/>
      </w:r>
      <w:r w:rsidR="338C5E83" w:rsidRPr="00BC3363">
        <w:rPr>
          <w:rFonts w:ascii="Arial" w:eastAsia="Arial" w:hAnsi="Arial" w:cs="Arial"/>
          <w:sz w:val="15"/>
          <w:szCs w:val="15"/>
        </w:rPr>
        <w:t xml:space="preserve"> Ibid, p. 20.</w:t>
      </w:r>
    </w:p>
  </w:footnote>
  <w:footnote w:id="60">
    <w:p w14:paraId="16AFDEEC" w14:textId="4A95E65C" w:rsidR="4186447D" w:rsidRPr="00BC3363" w:rsidRDefault="4186447D" w:rsidP="00622F32">
      <w:pPr>
        <w:spacing w:line="240" w:lineRule="auto"/>
        <w:jc w:val="both"/>
        <w:rPr>
          <w:rFonts w:ascii="Arial" w:hAnsi="Arial" w:cs="Arial"/>
          <w:sz w:val="15"/>
          <w:szCs w:val="15"/>
        </w:rPr>
      </w:pPr>
      <w:r w:rsidRPr="00BC3363">
        <w:rPr>
          <w:rFonts w:ascii="Arial" w:eastAsia="Arial" w:hAnsi="Arial" w:cs="Arial"/>
          <w:sz w:val="15"/>
          <w:szCs w:val="15"/>
        </w:rPr>
        <w:footnoteRef/>
      </w:r>
      <w:r w:rsidR="338C5E83" w:rsidRPr="00BC3363">
        <w:rPr>
          <w:rFonts w:ascii="Arial" w:eastAsia="Arial" w:hAnsi="Arial" w:cs="Arial"/>
          <w:sz w:val="15"/>
          <w:szCs w:val="15"/>
        </w:rPr>
        <w:t xml:space="preserve"> Milosevic, D., </w:t>
      </w:r>
      <w:proofErr w:type="spellStart"/>
      <w:r w:rsidR="338C5E83" w:rsidRPr="00BC3363">
        <w:rPr>
          <w:rFonts w:ascii="Arial" w:eastAsia="Arial" w:hAnsi="Arial" w:cs="Arial"/>
          <w:sz w:val="15"/>
          <w:szCs w:val="15"/>
        </w:rPr>
        <w:t>Stojsavljević</w:t>
      </w:r>
      <w:proofErr w:type="spellEnd"/>
      <w:r w:rsidR="338C5E83" w:rsidRPr="00BC3363">
        <w:rPr>
          <w:rFonts w:ascii="Arial" w:eastAsia="Arial" w:hAnsi="Arial" w:cs="Arial"/>
          <w:sz w:val="15"/>
          <w:szCs w:val="15"/>
        </w:rPr>
        <w:t>, R., Szabo, S., Stankov, U., Savic, S., Mitrović, L. (2021). “</w:t>
      </w:r>
      <w:proofErr w:type="spellStart"/>
      <w:r w:rsidR="338C5E83" w:rsidRPr="00BC3363">
        <w:rPr>
          <w:rFonts w:ascii="Arial" w:eastAsia="Arial" w:hAnsi="Arial" w:cs="Arial"/>
          <w:sz w:val="15"/>
          <w:szCs w:val="15"/>
        </w:rPr>
        <w:t>Spatio</w:t>
      </w:r>
      <w:proofErr w:type="spellEnd"/>
      <w:r w:rsidR="338C5E83" w:rsidRPr="00BC3363">
        <w:rPr>
          <w:rFonts w:ascii="Arial" w:eastAsia="Arial" w:hAnsi="Arial" w:cs="Arial"/>
          <w:sz w:val="15"/>
          <w:szCs w:val="15"/>
        </w:rPr>
        <w:t xml:space="preserve">-temporal variability of precipitation over the Western Balkan countries and its links with the atmospheric circulation patterns”, April 2021, </w:t>
      </w:r>
      <w:r w:rsidR="338C5E83" w:rsidRPr="00BC3363">
        <w:rPr>
          <w:rFonts w:ascii="Arial" w:eastAsia="Arial" w:hAnsi="Arial" w:cs="Arial"/>
          <w:i/>
          <w:iCs/>
          <w:sz w:val="15"/>
          <w:szCs w:val="15"/>
        </w:rPr>
        <w:t xml:space="preserve">Journal of the Geographical Institute Jovan </w:t>
      </w:r>
      <w:proofErr w:type="spellStart"/>
      <w:r w:rsidR="338C5E83" w:rsidRPr="00BC3363">
        <w:rPr>
          <w:rFonts w:ascii="Arial" w:eastAsia="Arial" w:hAnsi="Arial" w:cs="Arial"/>
          <w:i/>
          <w:iCs/>
          <w:sz w:val="15"/>
          <w:szCs w:val="15"/>
        </w:rPr>
        <w:t>Cvijic</w:t>
      </w:r>
      <w:proofErr w:type="spellEnd"/>
      <w:r w:rsidR="338C5E83" w:rsidRPr="00BC3363">
        <w:rPr>
          <w:rFonts w:ascii="Arial" w:eastAsia="Arial" w:hAnsi="Arial" w:cs="Arial"/>
          <w:i/>
          <w:iCs/>
          <w:sz w:val="15"/>
          <w:szCs w:val="15"/>
        </w:rPr>
        <w:t xml:space="preserve"> SASA</w:t>
      </w:r>
      <w:r w:rsidR="338C5E83" w:rsidRPr="00BC3363">
        <w:rPr>
          <w:rFonts w:ascii="Arial" w:eastAsia="Arial" w:hAnsi="Arial" w:cs="Arial"/>
          <w:sz w:val="15"/>
          <w:szCs w:val="15"/>
        </w:rPr>
        <w:t xml:space="preserve"> 71(1):29-42. Available at: </w:t>
      </w:r>
      <w:hyperlink r:id="rId25">
        <w:r w:rsidR="338C5E83" w:rsidRPr="00BC3363">
          <w:rPr>
            <w:rStyle w:val="Hyperlink"/>
            <w:rFonts w:ascii="Arial" w:eastAsia="Arial" w:hAnsi="Arial" w:cs="Arial"/>
            <w:sz w:val="15"/>
            <w:szCs w:val="15"/>
          </w:rPr>
          <w:t>http://dx.doi.org/10.2298/IJGI2101029M</w:t>
        </w:r>
      </w:hyperlink>
      <w:r w:rsidR="338C5E83" w:rsidRPr="00BC3363">
        <w:rPr>
          <w:rFonts w:ascii="Arial" w:eastAsia="Arial" w:hAnsi="Arial" w:cs="Arial"/>
          <w:sz w:val="15"/>
          <w:szCs w:val="15"/>
        </w:rPr>
        <w:t>, p. 29.</w:t>
      </w:r>
    </w:p>
  </w:footnote>
  <w:footnote w:id="61">
    <w:p w14:paraId="5B254874" w14:textId="015CB1F9" w:rsidR="4186447D" w:rsidRPr="00BC3363" w:rsidRDefault="4186447D" w:rsidP="00030E2D">
      <w:pPr>
        <w:spacing w:after="0" w:line="240" w:lineRule="auto"/>
        <w:jc w:val="both"/>
        <w:rPr>
          <w:rFonts w:ascii="Arial" w:hAnsi="Arial" w:cs="Arial"/>
          <w:sz w:val="15"/>
          <w:szCs w:val="15"/>
        </w:rPr>
      </w:pPr>
      <w:r w:rsidRPr="00BC3363">
        <w:rPr>
          <w:rFonts w:ascii="Arial" w:eastAsia="Arial" w:hAnsi="Arial" w:cs="Arial"/>
          <w:sz w:val="15"/>
          <w:szCs w:val="15"/>
        </w:rPr>
        <w:footnoteRef/>
      </w:r>
      <w:r w:rsidR="338C5E83" w:rsidRPr="00BC3363">
        <w:rPr>
          <w:rFonts w:ascii="Arial" w:eastAsia="Arial" w:hAnsi="Arial" w:cs="Arial"/>
          <w:sz w:val="15"/>
          <w:szCs w:val="15"/>
        </w:rPr>
        <w:t xml:space="preserve"> </w:t>
      </w:r>
      <w:proofErr w:type="spellStart"/>
      <w:r w:rsidR="338C5E83" w:rsidRPr="00BC3363">
        <w:rPr>
          <w:rFonts w:ascii="Arial" w:eastAsia="Arial" w:hAnsi="Arial" w:cs="Arial"/>
          <w:sz w:val="15"/>
          <w:szCs w:val="15"/>
        </w:rPr>
        <w:t>Alfthan</w:t>
      </w:r>
      <w:proofErr w:type="spellEnd"/>
      <w:r w:rsidR="338C5E83" w:rsidRPr="00BC3363">
        <w:rPr>
          <w:rFonts w:ascii="Arial" w:eastAsia="Arial" w:hAnsi="Arial" w:cs="Arial"/>
          <w:sz w:val="15"/>
          <w:szCs w:val="15"/>
        </w:rPr>
        <w:t xml:space="preserve">, B.; </w:t>
      </w:r>
      <w:proofErr w:type="spellStart"/>
      <w:r w:rsidR="338C5E83" w:rsidRPr="00BC3363">
        <w:rPr>
          <w:rFonts w:ascii="Arial" w:eastAsia="Arial" w:hAnsi="Arial" w:cs="Arial"/>
          <w:sz w:val="15"/>
          <w:szCs w:val="15"/>
        </w:rPr>
        <w:t>Krilasevic</w:t>
      </w:r>
      <w:proofErr w:type="spellEnd"/>
      <w:r w:rsidR="338C5E83" w:rsidRPr="00BC3363">
        <w:rPr>
          <w:rFonts w:ascii="Arial" w:eastAsia="Arial" w:hAnsi="Arial" w:cs="Arial"/>
          <w:sz w:val="15"/>
          <w:szCs w:val="15"/>
        </w:rPr>
        <w:t xml:space="preserve">, E.; Venturini, S.; </w:t>
      </w:r>
      <w:proofErr w:type="spellStart"/>
      <w:r w:rsidR="338C5E83" w:rsidRPr="00BC3363">
        <w:rPr>
          <w:rFonts w:ascii="Arial" w:eastAsia="Arial" w:hAnsi="Arial" w:cs="Arial"/>
          <w:sz w:val="15"/>
          <w:szCs w:val="15"/>
        </w:rPr>
        <w:t>Bajrovic</w:t>
      </w:r>
      <w:proofErr w:type="spellEnd"/>
      <w:r w:rsidR="338C5E83" w:rsidRPr="00BC3363">
        <w:rPr>
          <w:rFonts w:ascii="Arial" w:eastAsia="Arial" w:hAnsi="Arial" w:cs="Arial"/>
          <w:sz w:val="15"/>
          <w:szCs w:val="15"/>
        </w:rPr>
        <w:t xml:space="preserve">, S.; Jurek, M.; Schoolmeester, T., Sandei, P.C., Egerer, H, and Kurvits, T. (2015). </w:t>
      </w:r>
      <w:r w:rsidR="338C5E83" w:rsidRPr="00BC3363">
        <w:rPr>
          <w:rFonts w:ascii="Arial" w:eastAsia="Arial" w:hAnsi="Arial" w:cs="Arial"/>
          <w:i/>
          <w:iCs/>
          <w:sz w:val="15"/>
          <w:szCs w:val="15"/>
        </w:rPr>
        <w:t>Outlook on Climate Change Adaptation in the Western Balkan Mountains</w:t>
      </w:r>
      <w:r w:rsidR="338C5E83" w:rsidRPr="00BC3363">
        <w:rPr>
          <w:rFonts w:ascii="Arial" w:eastAsia="Arial" w:hAnsi="Arial" w:cs="Arial"/>
          <w:sz w:val="15"/>
          <w:szCs w:val="15"/>
        </w:rPr>
        <w:t>. United Nations Environment Programme (UNEP), GRID-Arendal, and Environmental Innovations Association (EIA). Vienna, Arendal and Sarajevo. www.grida.no., p. 17.</w:t>
      </w:r>
    </w:p>
  </w:footnote>
  <w:footnote w:id="62">
    <w:p w14:paraId="2F3BA2A1" w14:textId="00D550D5" w:rsidR="4186447D" w:rsidRPr="00BC3363" w:rsidRDefault="4186447D" w:rsidP="00030E2D">
      <w:pPr>
        <w:spacing w:after="0" w:line="240" w:lineRule="auto"/>
        <w:rPr>
          <w:rFonts w:ascii="Arial" w:hAnsi="Arial" w:cs="Arial"/>
          <w:sz w:val="15"/>
          <w:szCs w:val="15"/>
        </w:rPr>
      </w:pPr>
      <w:r w:rsidRPr="00BC3363">
        <w:rPr>
          <w:rFonts w:ascii="Arial" w:eastAsia="Arial" w:hAnsi="Arial" w:cs="Arial"/>
          <w:sz w:val="15"/>
          <w:szCs w:val="15"/>
        </w:rPr>
        <w:footnoteRef/>
      </w:r>
      <w:r w:rsidR="338C5E83" w:rsidRPr="00BC3363">
        <w:rPr>
          <w:rFonts w:ascii="Arial" w:eastAsia="Arial" w:hAnsi="Arial" w:cs="Arial"/>
          <w:sz w:val="15"/>
          <w:szCs w:val="15"/>
        </w:rPr>
        <w:t xml:space="preserve"> RCC (2018), p. 7.</w:t>
      </w:r>
    </w:p>
  </w:footnote>
  <w:footnote w:id="63">
    <w:p w14:paraId="347A7DA0" w14:textId="3CF39381" w:rsidR="4186447D" w:rsidRPr="00BC3363" w:rsidRDefault="4186447D" w:rsidP="00030E2D">
      <w:pPr>
        <w:spacing w:after="0" w:line="240" w:lineRule="auto"/>
        <w:rPr>
          <w:rFonts w:ascii="Arial" w:hAnsi="Arial" w:cs="Arial"/>
          <w:sz w:val="15"/>
          <w:szCs w:val="15"/>
        </w:rPr>
      </w:pPr>
      <w:r w:rsidRPr="00BC3363">
        <w:rPr>
          <w:rFonts w:ascii="Arial" w:eastAsia="Arial" w:hAnsi="Arial" w:cs="Arial"/>
          <w:sz w:val="15"/>
          <w:szCs w:val="15"/>
        </w:rPr>
        <w:footnoteRef/>
      </w:r>
      <w:r w:rsidR="338C5E83" w:rsidRPr="00BC3363">
        <w:rPr>
          <w:rFonts w:ascii="Arial" w:eastAsia="Arial" w:hAnsi="Arial" w:cs="Arial"/>
          <w:sz w:val="15"/>
          <w:szCs w:val="15"/>
        </w:rPr>
        <w:t xml:space="preserve"> Ibid., p. 22.</w:t>
      </w:r>
    </w:p>
  </w:footnote>
  <w:footnote w:id="64">
    <w:p w14:paraId="248191A2" w14:textId="4BAB0C4C" w:rsidR="4186447D" w:rsidRPr="00BC3363" w:rsidRDefault="4186447D" w:rsidP="00030E2D">
      <w:pPr>
        <w:spacing w:after="0" w:line="240" w:lineRule="auto"/>
        <w:jc w:val="both"/>
        <w:rPr>
          <w:rFonts w:ascii="Arial" w:hAnsi="Arial" w:cs="Arial"/>
          <w:sz w:val="15"/>
          <w:szCs w:val="15"/>
        </w:rPr>
      </w:pPr>
      <w:r w:rsidRPr="00BC3363">
        <w:rPr>
          <w:rFonts w:ascii="Arial" w:eastAsia="Arial" w:hAnsi="Arial" w:cs="Arial"/>
          <w:sz w:val="15"/>
          <w:szCs w:val="15"/>
        </w:rPr>
        <w:footnoteRef/>
      </w:r>
      <w:r w:rsidR="338C5E83" w:rsidRPr="00BC3363">
        <w:rPr>
          <w:rFonts w:ascii="Arial" w:eastAsia="Arial" w:hAnsi="Arial" w:cs="Arial"/>
          <w:sz w:val="15"/>
          <w:szCs w:val="15"/>
        </w:rPr>
        <w:t xml:space="preserve"> World Bank (2014). </w:t>
      </w:r>
      <w:r w:rsidR="338C5E83" w:rsidRPr="00BC3363">
        <w:rPr>
          <w:rFonts w:ascii="Arial" w:eastAsia="Arial" w:hAnsi="Arial" w:cs="Arial"/>
          <w:i/>
          <w:iCs/>
          <w:sz w:val="15"/>
          <w:szCs w:val="15"/>
        </w:rPr>
        <w:t>Turn Down the Heat: Confronting the New Climate Normal</w:t>
      </w:r>
      <w:r w:rsidR="338C5E83" w:rsidRPr="00BC3363">
        <w:rPr>
          <w:rFonts w:ascii="Arial" w:eastAsia="Arial" w:hAnsi="Arial" w:cs="Arial"/>
          <w:sz w:val="15"/>
          <w:szCs w:val="15"/>
        </w:rPr>
        <w:t>, Turn Down the Heat Report No. 3, November 2014, World Bank Group, p. xix. See also: UNEP/GRID-Arendal (2015), p. 6.</w:t>
      </w:r>
    </w:p>
  </w:footnote>
  <w:footnote w:id="65">
    <w:p w14:paraId="4D574298" w14:textId="1205A70D" w:rsidR="4186447D" w:rsidRPr="00BC3363" w:rsidRDefault="4186447D" w:rsidP="00030E2D">
      <w:pPr>
        <w:spacing w:after="0" w:line="240" w:lineRule="auto"/>
        <w:rPr>
          <w:rFonts w:ascii="Arial" w:hAnsi="Arial" w:cs="Arial"/>
          <w:sz w:val="15"/>
          <w:szCs w:val="15"/>
        </w:rPr>
      </w:pPr>
      <w:r w:rsidRPr="00BC3363">
        <w:rPr>
          <w:rFonts w:ascii="Arial" w:eastAsia="Arial" w:hAnsi="Arial" w:cs="Arial"/>
          <w:sz w:val="15"/>
          <w:szCs w:val="15"/>
        </w:rPr>
        <w:footnoteRef/>
      </w:r>
      <w:r w:rsidR="338C5E83" w:rsidRPr="00BC3363">
        <w:rPr>
          <w:rFonts w:ascii="Arial" w:eastAsia="Arial" w:hAnsi="Arial" w:cs="Arial"/>
          <w:sz w:val="15"/>
          <w:szCs w:val="15"/>
        </w:rPr>
        <w:t xml:space="preserve"> Ibid., p. 4.</w:t>
      </w:r>
    </w:p>
  </w:footnote>
  <w:footnote w:id="66">
    <w:p w14:paraId="6B8681B5" w14:textId="575F3C3A" w:rsidR="4186447D" w:rsidRPr="00BC3363" w:rsidRDefault="4186447D" w:rsidP="00030E2D">
      <w:pPr>
        <w:spacing w:after="0" w:line="240" w:lineRule="auto"/>
        <w:rPr>
          <w:rFonts w:ascii="Arial" w:hAnsi="Arial" w:cs="Arial"/>
          <w:sz w:val="15"/>
          <w:szCs w:val="15"/>
        </w:rPr>
      </w:pPr>
      <w:r w:rsidRPr="00BC3363">
        <w:rPr>
          <w:rFonts w:ascii="Arial" w:eastAsia="Arial" w:hAnsi="Arial" w:cs="Arial"/>
          <w:sz w:val="15"/>
          <w:szCs w:val="15"/>
        </w:rPr>
        <w:footnoteRef/>
      </w:r>
      <w:r w:rsidR="338C5E83" w:rsidRPr="00BC3363">
        <w:rPr>
          <w:rFonts w:ascii="Arial" w:eastAsia="Arial" w:hAnsi="Arial" w:cs="Arial"/>
          <w:sz w:val="15"/>
          <w:szCs w:val="15"/>
        </w:rPr>
        <w:t xml:space="preserve"> RCC (2018), p. 6.</w:t>
      </w:r>
    </w:p>
  </w:footnote>
  <w:footnote w:id="67">
    <w:p w14:paraId="159B1990" w14:textId="77777777" w:rsidR="005151B3" w:rsidRPr="00BC3363" w:rsidRDefault="005151B3" w:rsidP="00622F32">
      <w:pPr>
        <w:pStyle w:val="FootnoteText"/>
        <w:contextualSpacing/>
        <w:jc w:val="both"/>
        <w:rPr>
          <w:rFonts w:ascii="Arial" w:hAnsi="Arial" w:cs="Arial"/>
          <w:sz w:val="15"/>
          <w:szCs w:val="15"/>
        </w:rPr>
      </w:pPr>
      <w:r w:rsidRPr="00BC3363">
        <w:rPr>
          <w:rStyle w:val="FootnoteReference"/>
          <w:rFonts w:ascii="Arial" w:eastAsia="Calibri" w:hAnsi="Arial" w:cs="Arial"/>
          <w:sz w:val="15"/>
          <w:szCs w:val="15"/>
        </w:rPr>
        <w:footnoteRef/>
      </w:r>
      <w:r w:rsidR="338C5E83" w:rsidRPr="00BC3363">
        <w:rPr>
          <w:rFonts w:ascii="Arial" w:eastAsia="Arial" w:hAnsi="Arial" w:cs="Arial"/>
          <w:sz w:val="15"/>
          <w:szCs w:val="15"/>
        </w:rPr>
        <w:t xml:space="preserve"> </w:t>
      </w:r>
      <w:proofErr w:type="spellStart"/>
      <w:r w:rsidR="338C5E83" w:rsidRPr="00BC3363">
        <w:rPr>
          <w:rFonts w:ascii="Arial" w:eastAsia="Arial" w:hAnsi="Arial" w:cs="Arial"/>
          <w:sz w:val="15"/>
          <w:szCs w:val="15"/>
        </w:rPr>
        <w:t>Lelieveld</w:t>
      </w:r>
      <w:proofErr w:type="spellEnd"/>
      <w:r w:rsidR="338C5E83" w:rsidRPr="00BC3363">
        <w:rPr>
          <w:rFonts w:ascii="Arial" w:eastAsia="Arial" w:hAnsi="Arial" w:cs="Arial"/>
          <w:sz w:val="15"/>
          <w:szCs w:val="15"/>
        </w:rPr>
        <w:t xml:space="preserve">, J., </w:t>
      </w:r>
      <w:proofErr w:type="spellStart"/>
      <w:r w:rsidR="338C5E83" w:rsidRPr="00BC3363">
        <w:rPr>
          <w:rFonts w:ascii="Arial" w:eastAsia="Arial" w:hAnsi="Arial" w:cs="Arial"/>
          <w:sz w:val="15"/>
          <w:szCs w:val="15"/>
        </w:rPr>
        <w:t>Hadjinicolaou</w:t>
      </w:r>
      <w:proofErr w:type="spellEnd"/>
      <w:r w:rsidR="338C5E83" w:rsidRPr="00BC3363">
        <w:rPr>
          <w:rFonts w:ascii="Arial" w:eastAsia="Arial" w:hAnsi="Arial" w:cs="Arial"/>
          <w:sz w:val="15"/>
          <w:szCs w:val="15"/>
        </w:rPr>
        <w:t xml:space="preserve">, P., </w:t>
      </w:r>
      <w:proofErr w:type="spellStart"/>
      <w:r w:rsidR="338C5E83" w:rsidRPr="00BC3363">
        <w:rPr>
          <w:rFonts w:ascii="Arial" w:eastAsia="Arial" w:hAnsi="Arial" w:cs="Arial"/>
          <w:sz w:val="15"/>
          <w:szCs w:val="15"/>
        </w:rPr>
        <w:t>Kostopoulou</w:t>
      </w:r>
      <w:proofErr w:type="spellEnd"/>
      <w:r w:rsidR="338C5E83" w:rsidRPr="00BC3363">
        <w:rPr>
          <w:rFonts w:ascii="Arial" w:eastAsia="Arial" w:hAnsi="Arial" w:cs="Arial"/>
          <w:sz w:val="15"/>
          <w:szCs w:val="15"/>
        </w:rPr>
        <w:t xml:space="preserve">, E., Giannakopoulos, C., </w:t>
      </w:r>
      <w:proofErr w:type="spellStart"/>
      <w:r w:rsidR="338C5E83" w:rsidRPr="00BC3363">
        <w:rPr>
          <w:rFonts w:ascii="Arial" w:eastAsia="Arial" w:hAnsi="Arial" w:cs="Arial"/>
          <w:sz w:val="15"/>
          <w:szCs w:val="15"/>
        </w:rPr>
        <w:t>Pozzer</w:t>
      </w:r>
      <w:proofErr w:type="spellEnd"/>
      <w:r w:rsidR="338C5E83" w:rsidRPr="00BC3363">
        <w:rPr>
          <w:rFonts w:ascii="Arial" w:eastAsia="Arial" w:hAnsi="Arial" w:cs="Arial"/>
          <w:sz w:val="15"/>
          <w:szCs w:val="15"/>
        </w:rPr>
        <w:t xml:space="preserve">, A., </w:t>
      </w:r>
      <w:proofErr w:type="spellStart"/>
      <w:r w:rsidR="338C5E83" w:rsidRPr="00BC3363">
        <w:rPr>
          <w:rFonts w:ascii="Arial" w:eastAsia="Arial" w:hAnsi="Arial" w:cs="Arial"/>
          <w:sz w:val="15"/>
          <w:szCs w:val="15"/>
        </w:rPr>
        <w:t>Tanarhte</w:t>
      </w:r>
      <w:proofErr w:type="spellEnd"/>
      <w:r w:rsidR="338C5E83" w:rsidRPr="00BC3363">
        <w:rPr>
          <w:rFonts w:ascii="Arial" w:eastAsia="Arial" w:hAnsi="Arial" w:cs="Arial"/>
          <w:sz w:val="15"/>
          <w:szCs w:val="15"/>
        </w:rPr>
        <w:t xml:space="preserve">, M., &amp; </w:t>
      </w:r>
      <w:proofErr w:type="spellStart"/>
      <w:r w:rsidR="338C5E83" w:rsidRPr="00BC3363">
        <w:rPr>
          <w:rFonts w:ascii="Arial" w:eastAsia="Arial" w:hAnsi="Arial" w:cs="Arial"/>
          <w:sz w:val="15"/>
          <w:szCs w:val="15"/>
        </w:rPr>
        <w:t>Tyrlis</w:t>
      </w:r>
      <w:proofErr w:type="spellEnd"/>
      <w:r w:rsidR="338C5E83" w:rsidRPr="00BC3363">
        <w:rPr>
          <w:rFonts w:ascii="Arial" w:eastAsia="Arial" w:hAnsi="Arial" w:cs="Arial"/>
          <w:sz w:val="15"/>
          <w:szCs w:val="15"/>
        </w:rPr>
        <w:t xml:space="preserve">, E. (2012). </w:t>
      </w:r>
      <w:proofErr w:type="gramStart"/>
      <w:r w:rsidR="338C5E83" w:rsidRPr="00BC3363">
        <w:rPr>
          <w:rFonts w:ascii="Arial" w:eastAsia="Arial" w:hAnsi="Arial" w:cs="Arial"/>
          <w:sz w:val="15"/>
          <w:szCs w:val="15"/>
        </w:rPr>
        <w:t>”Climate</w:t>
      </w:r>
      <w:proofErr w:type="gramEnd"/>
      <w:r w:rsidR="338C5E83" w:rsidRPr="00BC3363">
        <w:rPr>
          <w:rFonts w:ascii="Arial" w:eastAsia="Arial" w:hAnsi="Arial" w:cs="Arial"/>
          <w:sz w:val="15"/>
          <w:szCs w:val="15"/>
        </w:rPr>
        <w:t xml:space="preserve"> change and impacts in the Eastern Mediterranean and the Middle East.“ </w:t>
      </w:r>
      <w:r w:rsidR="338C5E83" w:rsidRPr="00BC3363">
        <w:rPr>
          <w:rFonts w:ascii="Arial" w:eastAsia="Arial" w:hAnsi="Arial" w:cs="Arial"/>
          <w:i/>
          <w:iCs/>
          <w:sz w:val="15"/>
          <w:szCs w:val="15"/>
        </w:rPr>
        <w:t>Climatic Change</w:t>
      </w:r>
      <w:r w:rsidR="338C5E83" w:rsidRPr="00BC3363">
        <w:rPr>
          <w:rFonts w:ascii="Arial" w:eastAsia="Arial" w:hAnsi="Arial" w:cs="Arial"/>
          <w:sz w:val="15"/>
          <w:szCs w:val="15"/>
        </w:rPr>
        <w:t>, 114(3-4), 667–687. Available at:</w:t>
      </w:r>
      <w:r w:rsidRPr="00BC3363">
        <w:rPr>
          <w:rFonts w:ascii="Arial" w:hAnsi="Arial" w:cs="Arial"/>
          <w:sz w:val="15"/>
          <w:szCs w:val="15"/>
        </w:rPr>
        <w:br/>
      </w:r>
      <w:r w:rsidR="338C5E83" w:rsidRPr="00BC3363">
        <w:rPr>
          <w:rFonts w:ascii="Arial" w:eastAsia="Arial" w:hAnsi="Arial" w:cs="Arial"/>
          <w:sz w:val="15"/>
          <w:szCs w:val="15"/>
        </w:rPr>
        <w:t>https://doi.org/10.1007/s10584-012-0418-4.</w:t>
      </w:r>
    </w:p>
  </w:footnote>
  <w:footnote w:id="68">
    <w:p w14:paraId="531AEFA5" w14:textId="49DC3A45" w:rsidR="4186447D" w:rsidRPr="00BC3363" w:rsidRDefault="4186447D" w:rsidP="00030E2D">
      <w:pPr>
        <w:spacing w:after="0" w:line="240" w:lineRule="auto"/>
        <w:jc w:val="both"/>
        <w:rPr>
          <w:rFonts w:ascii="Arial" w:hAnsi="Arial" w:cs="Arial"/>
          <w:sz w:val="15"/>
          <w:szCs w:val="15"/>
        </w:rPr>
      </w:pPr>
      <w:r w:rsidRPr="00BC3363">
        <w:rPr>
          <w:rFonts w:ascii="Arial" w:eastAsia="Arial" w:hAnsi="Arial" w:cs="Arial"/>
          <w:sz w:val="15"/>
          <w:szCs w:val="15"/>
        </w:rPr>
        <w:footnoteRef/>
      </w:r>
      <w:r w:rsidR="338C5E83" w:rsidRPr="00BC3363">
        <w:rPr>
          <w:rFonts w:ascii="Arial" w:eastAsia="Arial" w:hAnsi="Arial" w:cs="Arial"/>
          <w:sz w:val="15"/>
          <w:szCs w:val="15"/>
        </w:rPr>
        <w:t xml:space="preserve"> </w:t>
      </w:r>
      <w:proofErr w:type="spellStart"/>
      <w:r w:rsidR="338C5E83" w:rsidRPr="00BC3363">
        <w:rPr>
          <w:rFonts w:ascii="Arial" w:eastAsia="Arial" w:hAnsi="Arial" w:cs="Arial"/>
          <w:sz w:val="15"/>
          <w:szCs w:val="15"/>
        </w:rPr>
        <w:t>Alfthan</w:t>
      </w:r>
      <w:proofErr w:type="spellEnd"/>
      <w:r w:rsidR="338C5E83" w:rsidRPr="00BC3363">
        <w:rPr>
          <w:rFonts w:ascii="Arial" w:eastAsia="Arial" w:hAnsi="Arial" w:cs="Arial"/>
          <w:sz w:val="15"/>
          <w:szCs w:val="15"/>
        </w:rPr>
        <w:t xml:space="preserve">, B.; </w:t>
      </w:r>
      <w:proofErr w:type="spellStart"/>
      <w:r w:rsidR="338C5E83" w:rsidRPr="00BC3363">
        <w:rPr>
          <w:rFonts w:ascii="Arial" w:eastAsia="Arial" w:hAnsi="Arial" w:cs="Arial"/>
          <w:sz w:val="15"/>
          <w:szCs w:val="15"/>
        </w:rPr>
        <w:t>Krilasevic</w:t>
      </w:r>
      <w:proofErr w:type="spellEnd"/>
      <w:r w:rsidR="338C5E83" w:rsidRPr="00BC3363">
        <w:rPr>
          <w:rFonts w:ascii="Arial" w:eastAsia="Arial" w:hAnsi="Arial" w:cs="Arial"/>
          <w:sz w:val="15"/>
          <w:szCs w:val="15"/>
        </w:rPr>
        <w:t xml:space="preserve">, E.; Venturini, S.; </w:t>
      </w:r>
      <w:proofErr w:type="spellStart"/>
      <w:r w:rsidR="338C5E83" w:rsidRPr="00BC3363">
        <w:rPr>
          <w:rFonts w:ascii="Arial" w:eastAsia="Arial" w:hAnsi="Arial" w:cs="Arial"/>
          <w:sz w:val="15"/>
          <w:szCs w:val="15"/>
        </w:rPr>
        <w:t>Bajrovic</w:t>
      </w:r>
      <w:proofErr w:type="spellEnd"/>
      <w:r w:rsidR="338C5E83" w:rsidRPr="00BC3363">
        <w:rPr>
          <w:rFonts w:ascii="Arial" w:eastAsia="Arial" w:hAnsi="Arial" w:cs="Arial"/>
          <w:sz w:val="15"/>
          <w:szCs w:val="15"/>
        </w:rPr>
        <w:t xml:space="preserve">, S.; Jurek, M.; Schoolmeester, T., Sandei, P.C., Egerer, H, and Kurvits, T. (2015). </w:t>
      </w:r>
      <w:r w:rsidR="338C5E83" w:rsidRPr="00BC3363">
        <w:rPr>
          <w:rFonts w:ascii="Arial" w:eastAsia="Arial" w:hAnsi="Arial" w:cs="Arial"/>
          <w:i/>
          <w:iCs/>
          <w:sz w:val="15"/>
          <w:szCs w:val="15"/>
        </w:rPr>
        <w:t>Outlook on Climate Change Adaptation in the Western Balkan Mountains</w:t>
      </w:r>
      <w:r w:rsidR="338C5E83" w:rsidRPr="00BC3363">
        <w:rPr>
          <w:rFonts w:ascii="Arial" w:eastAsia="Arial" w:hAnsi="Arial" w:cs="Arial"/>
          <w:sz w:val="15"/>
          <w:szCs w:val="15"/>
        </w:rPr>
        <w:t>. United Nations Environment Programme (UNEP), GRID-Arendal, and Environmental Innovations Association (EIA). Vienna, Arendal and Sarajevo. www.grida.no., p. 17.</w:t>
      </w:r>
    </w:p>
  </w:footnote>
  <w:footnote w:id="69">
    <w:p w14:paraId="62CF0B6F" w14:textId="5B51CB20" w:rsidR="4186447D" w:rsidRPr="00BC3363" w:rsidRDefault="4186447D" w:rsidP="00622F32">
      <w:pPr>
        <w:spacing w:line="240" w:lineRule="auto"/>
        <w:rPr>
          <w:rFonts w:ascii="Arial" w:hAnsi="Arial" w:cs="Arial"/>
          <w:sz w:val="15"/>
          <w:szCs w:val="15"/>
        </w:rPr>
      </w:pPr>
      <w:r w:rsidRPr="00BC3363">
        <w:rPr>
          <w:rFonts w:ascii="Arial" w:eastAsia="Arial" w:hAnsi="Arial" w:cs="Arial"/>
          <w:sz w:val="15"/>
          <w:szCs w:val="15"/>
        </w:rPr>
        <w:footnoteRef/>
      </w:r>
      <w:r w:rsidR="338C5E83" w:rsidRPr="00BC3363">
        <w:rPr>
          <w:rFonts w:ascii="Arial" w:eastAsia="Arial" w:hAnsi="Arial" w:cs="Arial"/>
          <w:sz w:val="15"/>
          <w:szCs w:val="15"/>
        </w:rPr>
        <w:t xml:space="preserve"> RCC (2018), UNEP-GRID-Arendal (2015), p. 17, World Bank (2014), p. 205.</w:t>
      </w:r>
    </w:p>
  </w:footnote>
  <w:footnote w:id="70">
    <w:p w14:paraId="371CBF15" w14:textId="55AC243F" w:rsidR="006A71D6" w:rsidRPr="00BC3363" w:rsidRDefault="006A71D6" w:rsidP="00622F32">
      <w:pPr>
        <w:pStyle w:val="FootnoteText"/>
        <w:contextualSpacing/>
        <w:jc w:val="both"/>
        <w:rPr>
          <w:rFonts w:ascii="Arial" w:hAnsi="Arial" w:cs="Arial"/>
          <w:sz w:val="15"/>
          <w:szCs w:val="15"/>
        </w:rPr>
      </w:pPr>
      <w:r w:rsidRPr="00BC3363">
        <w:rPr>
          <w:rStyle w:val="FootnoteReference"/>
          <w:rFonts w:ascii="Arial" w:eastAsia="Arial" w:hAnsi="Arial" w:cs="Arial"/>
          <w:sz w:val="15"/>
          <w:szCs w:val="15"/>
        </w:rPr>
        <w:footnoteRef/>
      </w:r>
      <w:r w:rsidR="338C5E83" w:rsidRPr="00BC3363">
        <w:rPr>
          <w:rFonts w:ascii="Arial" w:eastAsia="Arial" w:hAnsi="Arial" w:cs="Arial"/>
          <w:sz w:val="15"/>
          <w:szCs w:val="15"/>
          <w:lang w:val="sv-SE"/>
        </w:rPr>
        <w:t xml:space="preserve"> Kotlarski, S., Keuler, K., Christensen, O. B., Déqué, M., Gobiet, A., Goergen, K., ... </w:t>
      </w:r>
      <w:r w:rsidR="338C5E83" w:rsidRPr="00BC3363">
        <w:rPr>
          <w:rFonts w:ascii="Arial" w:eastAsia="Arial" w:hAnsi="Arial" w:cs="Arial"/>
          <w:sz w:val="15"/>
          <w:szCs w:val="15"/>
        </w:rPr>
        <w:t xml:space="preserve">&amp; van </w:t>
      </w:r>
      <w:proofErr w:type="spellStart"/>
      <w:r w:rsidR="338C5E83" w:rsidRPr="00BC3363">
        <w:rPr>
          <w:rFonts w:ascii="Arial" w:eastAsia="Arial" w:hAnsi="Arial" w:cs="Arial"/>
          <w:sz w:val="15"/>
          <w:szCs w:val="15"/>
        </w:rPr>
        <w:t>Meijgaard</w:t>
      </w:r>
      <w:proofErr w:type="spellEnd"/>
      <w:r w:rsidR="338C5E83" w:rsidRPr="00BC3363">
        <w:rPr>
          <w:rFonts w:ascii="Arial" w:eastAsia="Arial" w:hAnsi="Arial" w:cs="Arial"/>
          <w:sz w:val="15"/>
          <w:szCs w:val="15"/>
        </w:rPr>
        <w:t>, E. (2014). Regional climate modeling on European scales: A joint standard evaluation of the EURO-CORDEX RCM ensemble. </w:t>
      </w:r>
      <w:r w:rsidR="338C5E83" w:rsidRPr="00BC3363">
        <w:rPr>
          <w:rFonts w:ascii="Arial" w:eastAsia="Arial" w:hAnsi="Arial" w:cs="Arial"/>
          <w:i/>
          <w:iCs/>
          <w:sz w:val="15"/>
          <w:szCs w:val="15"/>
        </w:rPr>
        <w:t>Geoscientific Model Development</w:t>
      </w:r>
      <w:r w:rsidR="338C5E83" w:rsidRPr="00BC3363">
        <w:rPr>
          <w:rFonts w:ascii="Arial" w:eastAsia="Arial" w:hAnsi="Arial" w:cs="Arial"/>
          <w:sz w:val="15"/>
          <w:szCs w:val="15"/>
        </w:rPr>
        <w:t>, 7(4), 1297–1333. Available at: https://doi.org/10.5194/gmd-7-1297-2014</w:t>
      </w:r>
    </w:p>
  </w:footnote>
  <w:footnote w:id="71">
    <w:p w14:paraId="50E810B1" w14:textId="050BCBAA" w:rsidR="4186447D" w:rsidRPr="00BC3363" w:rsidRDefault="4186447D" w:rsidP="00622F32">
      <w:pPr>
        <w:spacing w:line="240" w:lineRule="auto"/>
        <w:rPr>
          <w:rFonts w:ascii="Arial" w:hAnsi="Arial" w:cs="Arial"/>
          <w:sz w:val="15"/>
          <w:szCs w:val="15"/>
        </w:rPr>
      </w:pPr>
      <w:r w:rsidRPr="00BC3363">
        <w:rPr>
          <w:rFonts w:ascii="Arial" w:eastAsia="Arial" w:hAnsi="Arial" w:cs="Arial"/>
          <w:sz w:val="15"/>
          <w:szCs w:val="15"/>
        </w:rPr>
        <w:footnoteRef/>
      </w:r>
      <w:r w:rsidR="338C5E83" w:rsidRPr="00BC3363">
        <w:rPr>
          <w:rFonts w:ascii="Arial" w:eastAsia="Arial" w:hAnsi="Arial" w:cs="Arial"/>
          <w:sz w:val="15"/>
          <w:szCs w:val="15"/>
        </w:rPr>
        <w:t xml:space="preserve"> </w:t>
      </w:r>
      <w:proofErr w:type="spellStart"/>
      <w:r w:rsidR="338C5E83" w:rsidRPr="00BC3363">
        <w:rPr>
          <w:rFonts w:ascii="Arial" w:eastAsia="Arial" w:hAnsi="Arial" w:cs="Arial"/>
          <w:sz w:val="15"/>
          <w:szCs w:val="15"/>
        </w:rPr>
        <w:t>Lelieveld</w:t>
      </w:r>
      <w:proofErr w:type="spellEnd"/>
      <w:r w:rsidR="338C5E83" w:rsidRPr="00BC3363">
        <w:rPr>
          <w:rFonts w:ascii="Arial" w:eastAsia="Arial" w:hAnsi="Arial" w:cs="Arial"/>
          <w:sz w:val="15"/>
          <w:szCs w:val="15"/>
        </w:rPr>
        <w:t xml:space="preserve">, J., </w:t>
      </w:r>
      <w:proofErr w:type="spellStart"/>
      <w:r w:rsidR="338C5E83" w:rsidRPr="00BC3363">
        <w:rPr>
          <w:rFonts w:ascii="Arial" w:eastAsia="Arial" w:hAnsi="Arial" w:cs="Arial"/>
          <w:sz w:val="15"/>
          <w:szCs w:val="15"/>
        </w:rPr>
        <w:t>Hadjinicolaou</w:t>
      </w:r>
      <w:proofErr w:type="spellEnd"/>
      <w:r w:rsidR="338C5E83" w:rsidRPr="00BC3363">
        <w:rPr>
          <w:rFonts w:ascii="Arial" w:eastAsia="Arial" w:hAnsi="Arial" w:cs="Arial"/>
          <w:sz w:val="15"/>
          <w:szCs w:val="15"/>
        </w:rPr>
        <w:t xml:space="preserve">, P., </w:t>
      </w:r>
      <w:proofErr w:type="spellStart"/>
      <w:r w:rsidR="338C5E83" w:rsidRPr="00BC3363">
        <w:rPr>
          <w:rFonts w:ascii="Arial" w:eastAsia="Arial" w:hAnsi="Arial" w:cs="Arial"/>
          <w:sz w:val="15"/>
          <w:szCs w:val="15"/>
        </w:rPr>
        <w:t>Kostopoulou</w:t>
      </w:r>
      <w:proofErr w:type="spellEnd"/>
      <w:r w:rsidR="338C5E83" w:rsidRPr="00BC3363">
        <w:rPr>
          <w:rFonts w:ascii="Arial" w:eastAsia="Arial" w:hAnsi="Arial" w:cs="Arial"/>
          <w:sz w:val="15"/>
          <w:szCs w:val="15"/>
        </w:rPr>
        <w:t xml:space="preserve">, E., Giannakopoulos, C., </w:t>
      </w:r>
      <w:proofErr w:type="spellStart"/>
      <w:r w:rsidR="338C5E83" w:rsidRPr="00BC3363">
        <w:rPr>
          <w:rFonts w:ascii="Arial" w:eastAsia="Arial" w:hAnsi="Arial" w:cs="Arial"/>
          <w:sz w:val="15"/>
          <w:szCs w:val="15"/>
        </w:rPr>
        <w:t>Pozzer</w:t>
      </w:r>
      <w:proofErr w:type="spellEnd"/>
      <w:r w:rsidR="338C5E83" w:rsidRPr="00BC3363">
        <w:rPr>
          <w:rFonts w:ascii="Arial" w:eastAsia="Arial" w:hAnsi="Arial" w:cs="Arial"/>
          <w:sz w:val="15"/>
          <w:szCs w:val="15"/>
        </w:rPr>
        <w:t xml:space="preserve">, A., </w:t>
      </w:r>
      <w:proofErr w:type="spellStart"/>
      <w:r w:rsidR="338C5E83" w:rsidRPr="00BC3363">
        <w:rPr>
          <w:rFonts w:ascii="Arial" w:eastAsia="Arial" w:hAnsi="Arial" w:cs="Arial"/>
          <w:sz w:val="15"/>
          <w:szCs w:val="15"/>
        </w:rPr>
        <w:t>Tanarhte</w:t>
      </w:r>
      <w:proofErr w:type="spellEnd"/>
      <w:r w:rsidR="338C5E83" w:rsidRPr="00BC3363">
        <w:rPr>
          <w:rFonts w:ascii="Arial" w:eastAsia="Arial" w:hAnsi="Arial" w:cs="Arial"/>
          <w:sz w:val="15"/>
          <w:szCs w:val="15"/>
        </w:rPr>
        <w:t xml:space="preserve">, M., &amp; </w:t>
      </w:r>
      <w:proofErr w:type="spellStart"/>
      <w:r w:rsidR="338C5E83" w:rsidRPr="00BC3363">
        <w:rPr>
          <w:rFonts w:ascii="Arial" w:eastAsia="Arial" w:hAnsi="Arial" w:cs="Arial"/>
          <w:sz w:val="15"/>
          <w:szCs w:val="15"/>
        </w:rPr>
        <w:t>Tyrlis</w:t>
      </w:r>
      <w:proofErr w:type="spellEnd"/>
      <w:r w:rsidR="338C5E83" w:rsidRPr="00BC3363">
        <w:rPr>
          <w:rFonts w:ascii="Arial" w:eastAsia="Arial" w:hAnsi="Arial" w:cs="Arial"/>
          <w:sz w:val="15"/>
          <w:szCs w:val="15"/>
        </w:rPr>
        <w:t xml:space="preserve">, E. (2012). </w:t>
      </w:r>
      <w:proofErr w:type="gramStart"/>
      <w:r w:rsidR="338C5E83" w:rsidRPr="00BC3363">
        <w:rPr>
          <w:rFonts w:ascii="Arial" w:eastAsia="Arial" w:hAnsi="Arial" w:cs="Arial"/>
          <w:sz w:val="15"/>
          <w:szCs w:val="15"/>
        </w:rPr>
        <w:t>”Climate</w:t>
      </w:r>
      <w:proofErr w:type="gramEnd"/>
      <w:r w:rsidR="338C5E83" w:rsidRPr="00BC3363">
        <w:rPr>
          <w:rFonts w:ascii="Arial" w:eastAsia="Arial" w:hAnsi="Arial" w:cs="Arial"/>
          <w:sz w:val="15"/>
          <w:szCs w:val="15"/>
        </w:rPr>
        <w:t xml:space="preserve"> change and impacts in the Eastern Mediterranean and the Middle East.“ </w:t>
      </w:r>
      <w:r w:rsidR="338C5E83" w:rsidRPr="00BC3363">
        <w:rPr>
          <w:rFonts w:ascii="Arial" w:eastAsia="Arial" w:hAnsi="Arial" w:cs="Arial"/>
          <w:i/>
          <w:iCs/>
          <w:sz w:val="15"/>
          <w:szCs w:val="15"/>
        </w:rPr>
        <w:t>Climatic Change</w:t>
      </w:r>
      <w:r w:rsidR="338C5E83" w:rsidRPr="00BC3363">
        <w:rPr>
          <w:rFonts w:ascii="Arial" w:eastAsia="Arial" w:hAnsi="Arial" w:cs="Arial"/>
          <w:sz w:val="15"/>
          <w:szCs w:val="15"/>
        </w:rPr>
        <w:t>, 114(3-4), 667–687. Available at:</w:t>
      </w:r>
      <w:r w:rsidRPr="00BC3363">
        <w:rPr>
          <w:rFonts w:ascii="Arial" w:hAnsi="Arial" w:cs="Arial"/>
          <w:sz w:val="15"/>
          <w:szCs w:val="15"/>
        </w:rPr>
        <w:br/>
      </w:r>
      <w:hyperlink r:id="rId26">
        <w:r w:rsidR="338C5E83" w:rsidRPr="00BC3363">
          <w:rPr>
            <w:rStyle w:val="Hyperlink"/>
            <w:rFonts w:ascii="Arial" w:eastAsia="Arial" w:hAnsi="Arial" w:cs="Arial"/>
            <w:sz w:val="15"/>
            <w:szCs w:val="15"/>
          </w:rPr>
          <w:t>https://doi.org/10.1007/s10584-012-0418-4</w:t>
        </w:r>
      </w:hyperlink>
      <w:r w:rsidR="338C5E83" w:rsidRPr="00BC3363">
        <w:rPr>
          <w:rFonts w:ascii="Arial" w:eastAsia="Arial" w:hAnsi="Arial" w:cs="Arial"/>
          <w:sz w:val="15"/>
          <w:szCs w:val="15"/>
        </w:rPr>
        <w:t xml:space="preserve"> in UNEP/GRID-Arendal (2015), p. 17.</w:t>
      </w:r>
    </w:p>
  </w:footnote>
  <w:footnote w:id="72">
    <w:p w14:paraId="6C08EC7D" w14:textId="373E9C29" w:rsidR="4AC6ABBF" w:rsidRPr="00BC3363" w:rsidRDefault="4AC6ABBF" w:rsidP="00622F32">
      <w:pPr>
        <w:spacing w:line="240" w:lineRule="auto"/>
        <w:rPr>
          <w:rFonts w:ascii="Arial" w:hAnsi="Arial" w:cs="Arial"/>
          <w:sz w:val="15"/>
          <w:szCs w:val="15"/>
        </w:rPr>
      </w:pPr>
      <w:r w:rsidRPr="00BC3363">
        <w:rPr>
          <w:rFonts w:ascii="Arial" w:eastAsia="Arial" w:hAnsi="Arial" w:cs="Arial"/>
          <w:sz w:val="15"/>
          <w:szCs w:val="15"/>
        </w:rPr>
        <w:footnoteRef/>
      </w:r>
      <w:r w:rsidR="338C5E83" w:rsidRPr="00BC3363">
        <w:rPr>
          <w:rFonts w:ascii="Arial" w:eastAsia="Arial" w:hAnsi="Arial" w:cs="Arial"/>
          <w:sz w:val="15"/>
          <w:szCs w:val="15"/>
        </w:rPr>
        <w:t xml:space="preserve"> </w:t>
      </w:r>
      <w:proofErr w:type="gramStart"/>
      <w:r w:rsidR="338C5E83" w:rsidRPr="00BC3363">
        <w:rPr>
          <w:rFonts w:ascii="Arial" w:eastAsia="Arial" w:hAnsi="Arial" w:cs="Arial"/>
          <w:sz w:val="15"/>
          <w:szCs w:val="15"/>
        </w:rPr>
        <w:t>”Tn</w:t>
      </w:r>
      <w:proofErr w:type="gramEnd"/>
      <w:r w:rsidR="338C5E83" w:rsidRPr="00BC3363">
        <w:rPr>
          <w:rFonts w:ascii="Arial" w:eastAsia="Arial" w:hAnsi="Arial" w:cs="Arial"/>
          <w:sz w:val="15"/>
          <w:szCs w:val="15"/>
        </w:rPr>
        <w:t xml:space="preserve">” denotes Temperature (Minimum). </w:t>
      </w:r>
      <w:proofErr w:type="gramStart"/>
      <w:r w:rsidR="338C5E83" w:rsidRPr="00BC3363">
        <w:rPr>
          <w:rFonts w:ascii="Arial" w:eastAsia="Arial" w:hAnsi="Arial" w:cs="Arial"/>
          <w:sz w:val="15"/>
          <w:szCs w:val="15"/>
        </w:rPr>
        <w:t>”Tx</w:t>
      </w:r>
      <w:proofErr w:type="gramEnd"/>
      <w:r w:rsidR="338C5E83" w:rsidRPr="00BC3363">
        <w:rPr>
          <w:rFonts w:ascii="Arial" w:eastAsia="Arial" w:hAnsi="Arial" w:cs="Arial"/>
          <w:sz w:val="15"/>
          <w:szCs w:val="15"/>
        </w:rPr>
        <w:t>” Temperature (Maximum).</w:t>
      </w:r>
    </w:p>
  </w:footnote>
  <w:footnote w:id="73">
    <w:p w14:paraId="1C8C1B0E" w14:textId="2728C8CD" w:rsidR="4186447D" w:rsidRPr="00BC3363" w:rsidRDefault="4186447D" w:rsidP="00622F32">
      <w:pPr>
        <w:spacing w:line="240" w:lineRule="auto"/>
        <w:rPr>
          <w:rFonts w:ascii="Arial" w:hAnsi="Arial" w:cs="Arial"/>
          <w:sz w:val="15"/>
          <w:szCs w:val="15"/>
        </w:rPr>
      </w:pPr>
      <w:r w:rsidRPr="00BC3363">
        <w:rPr>
          <w:rFonts w:ascii="Arial" w:eastAsia="Arial" w:hAnsi="Arial" w:cs="Arial"/>
          <w:sz w:val="15"/>
          <w:szCs w:val="15"/>
        </w:rPr>
        <w:footnoteRef/>
      </w:r>
      <w:r w:rsidR="338C5E83" w:rsidRPr="00BC3363">
        <w:rPr>
          <w:rFonts w:ascii="Arial" w:eastAsia="Arial" w:hAnsi="Arial" w:cs="Arial"/>
          <w:sz w:val="15"/>
          <w:szCs w:val="15"/>
        </w:rPr>
        <w:t xml:space="preserve"> RCC (2018), p. 23.</w:t>
      </w:r>
    </w:p>
  </w:footnote>
  <w:footnote w:id="74">
    <w:p w14:paraId="05963E62" w14:textId="1C513E54" w:rsidR="4186447D" w:rsidRPr="00BC3363" w:rsidRDefault="4186447D" w:rsidP="00672099">
      <w:pPr>
        <w:spacing w:after="0" w:line="240" w:lineRule="auto"/>
        <w:rPr>
          <w:rFonts w:ascii="Arial" w:hAnsi="Arial" w:cs="Arial"/>
          <w:sz w:val="15"/>
          <w:szCs w:val="15"/>
        </w:rPr>
      </w:pPr>
      <w:r w:rsidRPr="00BC3363">
        <w:rPr>
          <w:rFonts w:ascii="Arial" w:eastAsia="Arial" w:hAnsi="Arial" w:cs="Arial"/>
          <w:sz w:val="15"/>
          <w:szCs w:val="15"/>
        </w:rPr>
        <w:footnoteRef/>
      </w:r>
      <w:r w:rsidR="338C5E83" w:rsidRPr="00BC3363">
        <w:rPr>
          <w:rFonts w:ascii="Arial" w:eastAsia="Arial" w:hAnsi="Arial" w:cs="Arial"/>
          <w:sz w:val="15"/>
          <w:szCs w:val="15"/>
        </w:rPr>
        <w:t xml:space="preserve"> Ibid., p. 23.</w:t>
      </w:r>
    </w:p>
  </w:footnote>
  <w:footnote w:id="75">
    <w:p w14:paraId="1BD8CE67" w14:textId="2376EFF7" w:rsidR="4186447D" w:rsidRPr="00BC3363" w:rsidRDefault="4186447D" w:rsidP="00672099">
      <w:pPr>
        <w:spacing w:after="0" w:line="240" w:lineRule="auto"/>
        <w:rPr>
          <w:rFonts w:ascii="Arial" w:hAnsi="Arial" w:cs="Arial"/>
          <w:sz w:val="15"/>
          <w:szCs w:val="15"/>
        </w:rPr>
      </w:pPr>
      <w:r w:rsidRPr="00BC3363">
        <w:rPr>
          <w:rFonts w:ascii="Arial" w:eastAsia="Arial" w:hAnsi="Arial" w:cs="Arial"/>
          <w:sz w:val="15"/>
          <w:szCs w:val="15"/>
        </w:rPr>
        <w:footnoteRef/>
      </w:r>
      <w:r w:rsidR="338C5E83" w:rsidRPr="00BC3363">
        <w:rPr>
          <w:rFonts w:ascii="Arial" w:eastAsia="Arial" w:hAnsi="Arial" w:cs="Arial"/>
          <w:sz w:val="15"/>
          <w:szCs w:val="15"/>
        </w:rPr>
        <w:t xml:space="preserve"> Ibid., p. 24.</w:t>
      </w:r>
    </w:p>
  </w:footnote>
  <w:footnote w:id="76">
    <w:p w14:paraId="322CA627" w14:textId="4BC75843" w:rsidR="4186447D" w:rsidRPr="00BC3363" w:rsidRDefault="4186447D" w:rsidP="00672099">
      <w:pPr>
        <w:spacing w:after="0" w:line="240" w:lineRule="auto"/>
        <w:rPr>
          <w:rFonts w:ascii="Arial" w:hAnsi="Arial" w:cs="Arial"/>
          <w:sz w:val="15"/>
          <w:szCs w:val="15"/>
        </w:rPr>
      </w:pPr>
      <w:r w:rsidRPr="00BC3363">
        <w:rPr>
          <w:rFonts w:ascii="Arial" w:eastAsia="Arial" w:hAnsi="Arial" w:cs="Arial"/>
          <w:sz w:val="15"/>
          <w:szCs w:val="15"/>
        </w:rPr>
        <w:footnoteRef/>
      </w:r>
      <w:r w:rsidR="338C5E83" w:rsidRPr="00BC3363">
        <w:rPr>
          <w:rFonts w:ascii="Arial" w:eastAsia="Arial" w:hAnsi="Arial" w:cs="Arial"/>
          <w:sz w:val="15"/>
          <w:szCs w:val="15"/>
        </w:rPr>
        <w:t xml:space="preserve"> Ibid., p. 24.</w:t>
      </w:r>
    </w:p>
  </w:footnote>
  <w:footnote w:id="77">
    <w:p w14:paraId="543A93CF" w14:textId="2558697C" w:rsidR="4186447D" w:rsidRPr="00BC3363" w:rsidRDefault="4186447D" w:rsidP="00672099">
      <w:pPr>
        <w:spacing w:after="0" w:line="240" w:lineRule="auto"/>
        <w:rPr>
          <w:rFonts w:ascii="Arial" w:hAnsi="Arial" w:cs="Arial"/>
          <w:sz w:val="15"/>
          <w:szCs w:val="15"/>
        </w:rPr>
      </w:pPr>
      <w:r w:rsidRPr="00BC3363">
        <w:rPr>
          <w:rFonts w:ascii="Arial" w:eastAsia="Arial" w:hAnsi="Arial" w:cs="Arial"/>
          <w:sz w:val="15"/>
          <w:szCs w:val="15"/>
        </w:rPr>
        <w:footnoteRef/>
      </w:r>
      <w:r w:rsidR="338C5E83" w:rsidRPr="00BC3363">
        <w:rPr>
          <w:rFonts w:ascii="Arial" w:eastAsia="Arial" w:hAnsi="Arial" w:cs="Arial"/>
          <w:sz w:val="15"/>
          <w:szCs w:val="15"/>
        </w:rPr>
        <w:t xml:space="preserve"> RCC (2018), p. 25.</w:t>
      </w:r>
    </w:p>
  </w:footnote>
  <w:footnote w:id="78">
    <w:p w14:paraId="4BD09AC7" w14:textId="6B851658" w:rsidR="4186447D" w:rsidRPr="00BC3363" w:rsidRDefault="4186447D" w:rsidP="00672099">
      <w:pPr>
        <w:spacing w:after="0" w:line="240" w:lineRule="auto"/>
        <w:jc w:val="both"/>
        <w:rPr>
          <w:rFonts w:ascii="Arial" w:hAnsi="Arial" w:cs="Arial"/>
          <w:sz w:val="15"/>
          <w:szCs w:val="15"/>
        </w:rPr>
      </w:pPr>
      <w:r w:rsidRPr="00BC3363">
        <w:rPr>
          <w:rFonts w:ascii="Arial" w:eastAsia="Arial" w:hAnsi="Arial" w:cs="Arial"/>
          <w:sz w:val="15"/>
          <w:szCs w:val="15"/>
        </w:rPr>
        <w:footnoteRef/>
      </w:r>
      <w:r w:rsidR="338C5E83" w:rsidRPr="00BC3363">
        <w:rPr>
          <w:rFonts w:ascii="Arial" w:eastAsia="Arial" w:hAnsi="Arial" w:cs="Arial"/>
          <w:sz w:val="15"/>
          <w:szCs w:val="15"/>
        </w:rPr>
        <w:t xml:space="preserve"> Ibid., p. 25.</w:t>
      </w:r>
    </w:p>
  </w:footnote>
  <w:footnote w:id="79">
    <w:p w14:paraId="5C94FEBA" w14:textId="7B106C53" w:rsidR="42042D4E" w:rsidRPr="00BC3363" w:rsidRDefault="42042D4E" w:rsidP="00030E2D">
      <w:pPr>
        <w:spacing w:after="0" w:line="240" w:lineRule="auto"/>
        <w:rPr>
          <w:rFonts w:ascii="Arial" w:hAnsi="Arial" w:cs="Arial"/>
          <w:sz w:val="15"/>
          <w:szCs w:val="15"/>
        </w:rPr>
      </w:pPr>
      <w:r w:rsidRPr="00BC3363">
        <w:rPr>
          <w:rFonts w:ascii="Arial" w:eastAsia="Arial" w:hAnsi="Arial" w:cs="Arial"/>
          <w:sz w:val="15"/>
          <w:szCs w:val="15"/>
        </w:rPr>
        <w:footnoteRef/>
      </w:r>
      <w:r w:rsidR="338C5E83" w:rsidRPr="00BC3363">
        <w:rPr>
          <w:rFonts w:ascii="Arial" w:eastAsia="Arial" w:hAnsi="Arial" w:cs="Arial"/>
          <w:sz w:val="15"/>
          <w:szCs w:val="15"/>
        </w:rPr>
        <w:t xml:space="preserve"> UNEP/GRID--Arendal (2015), p. 17.</w:t>
      </w:r>
    </w:p>
  </w:footnote>
  <w:footnote w:id="80">
    <w:p w14:paraId="2D29A741" w14:textId="13827AA6" w:rsidR="42042D4E" w:rsidRPr="00BC3363" w:rsidRDefault="42042D4E" w:rsidP="00030E2D">
      <w:pPr>
        <w:spacing w:after="0" w:line="240" w:lineRule="auto"/>
        <w:rPr>
          <w:rFonts w:ascii="Arial" w:hAnsi="Arial" w:cs="Arial"/>
          <w:sz w:val="15"/>
          <w:szCs w:val="15"/>
        </w:rPr>
      </w:pPr>
      <w:r w:rsidRPr="00BC3363">
        <w:rPr>
          <w:rFonts w:ascii="Arial" w:eastAsia="Arial" w:hAnsi="Arial" w:cs="Arial"/>
          <w:sz w:val="15"/>
          <w:szCs w:val="15"/>
        </w:rPr>
        <w:footnoteRef/>
      </w:r>
      <w:r w:rsidR="338C5E83" w:rsidRPr="00BC3363">
        <w:rPr>
          <w:rFonts w:ascii="Arial" w:eastAsia="Arial" w:hAnsi="Arial" w:cs="Arial"/>
          <w:sz w:val="15"/>
          <w:szCs w:val="15"/>
        </w:rPr>
        <w:t xml:space="preserve"> RCC (2018), p. 19, UNEP/GRID-Arendal, p. 17.</w:t>
      </w:r>
    </w:p>
  </w:footnote>
  <w:footnote w:id="81">
    <w:p w14:paraId="29C85073" w14:textId="16BC3D8A" w:rsidR="42042D4E" w:rsidRPr="00BC3363" w:rsidRDefault="42042D4E" w:rsidP="00030E2D">
      <w:pPr>
        <w:spacing w:after="0" w:line="240" w:lineRule="auto"/>
        <w:jc w:val="both"/>
        <w:rPr>
          <w:rFonts w:ascii="Arial" w:hAnsi="Arial" w:cs="Arial"/>
          <w:sz w:val="15"/>
          <w:szCs w:val="15"/>
        </w:rPr>
      </w:pPr>
      <w:r w:rsidRPr="00BC3363">
        <w:rPr>
          <w:rFonts w:ascii="Arial" w:eastAsia="Arial" w:hAnsi="Arial" w:cs="Arial"/>
          <w:sz w:val="15"/>
          <w:szCs w:val="15"/>
        </w:rPr>
        <w:footnoteRef/>
      </w:r>
      <w:r w:rsidR="338C5E83" w:rsidRPr="00BC3363">
        <w:rPr>
          <w:rFonts w:ascii="Arial" w:eastAsia="Arial" w:hAnsi="Arial" w:cs="Arial"/>
          <w:sz w:val="15"/>
          <w:szCs w:val="15"/>
        </w:rPr>
        <w:t xml:space="preserve"> </w:t>
      </w:r>
      <w:proofErr w:type="spellStart"/>
      <w:r w:rsidR="338C5E83" w:rsidRPr="00BC3363">
        <w:rPr>
          <w:rFonts w:ascii="Arial" w:eastAsia="Arial" w:hAnsi="Arial" w:cs="Arial"/>
          <w:sz w:val="15"/>
          <w:szCs w:val="15"/>
        </w:rPr>
        <w:t>Önol</w:t>
      </w:r>
      <w:proofErr w:type="spellEnd"/>
      <w:r w:rsidR="338C5E83" w:rsidRPr="00BC3363">
        <w:rPr>
          <w:rFonts w:ascii="Arial" w:eastAsia="Arial" w:hAnsi="Arial" w:cs="Arial"/>
          <w:sz w:val="15"/>
          <w:szCs w:val="15"/>
        </w:rPr>
        <w:t xml:space="preserve">, B. and </w:t>
      </w:r>
      <w:proofErr w:type="spellStart"/>
      <w:r w:rsidR="338C5E83" w:rsidRPr="00BC3363">
        <w:rPr>
          <w:rFonts w:ascii="Arial" w:eastAsia="Arial" w:hAnsi="Arial" w:cs="Arial"/>
          <w:sz w:val="15"/>
          <w:szCs w:val="15"/>
        </w:rPr>
        <w:t>Semazzi</w:t>
      </w:r>
      <w:proofErr w:type="spellEnd"/>
      <w:r w:rsidR="338C5E83" w:rsidRPr="00BC3363">
        <w:rPr>
          <w:rFonts w:ascii="Arial" w:eastAsia="Arial" w:hAnsi="Arial" w:cs="Arial"/>
          <w:sz w:val="15"/>
          <w:szCs w:val="15"/>
        </w:rPr>
        <w:t xml:space="preserve">, F.H.M (2009). Regionalization of Climate Change Simulations over the Eastern Mediterranean. </w:t>
      </w:r>
      <w:r w:rsidR="338C5E83" w:rsidRPr="00BC3363">
        <w:rPr>
          <w:rFonts w:ascii="Arial" w:eastAsia="Arial" w:hAnsi="Arial" w:cs="Arial"/>
          <w:i/>
          <w:iCs/>
          <w:sz w:val="15"/>
          <w:szCs w:val="15"/>
        </w:rPr>
        <w:t>J. Climate</w:t>
      </w:r>
      <w:r w:rsidR="338C5E83" w:rsidRPr="00BC3363">
        <w:rPr>
          <w:rFonts w:ascii="Arial" w:eastAsia="Arial" w:hAnsi="Arial" w:cs="Arial"/>
          <w:sz w:val="15"/>
          <w:szCs w:val="15"/>
        </w:rPr>
        <w:t>, 22, 1944–1961, in UNEP/GRID-Arendal, p. 17.</w:t>
      </w:r>
    </w:p>
  </w:footnote>
  <w:footnote w:id="82">
    <w:p w14:paraId="4F829227" w14:textId="428637C3" w:rsidR="42042D4E" w:rsidRPr="00BC3363" w:rsidRDefault="42042D4E" w:rsidP="00030E2D">
      <w:pPr>
        <w:spacing w:after="0" w:line="240" w:lineRule="auto"/>
        <w:jc w:val="both"/>
        <w:rPr>
          <w:rFonts w:ascii="Arial" w:hAnsi="Arial" w:cs="Arial"/>
          <w:sz w:val="15"/>
          <w:szCs w:val="15"/>
        </w:rPr>
      </w:pPr>
      <w:r w:rsidRPr="00BC3363">
        <w:rPr>
          <w:rFonts w:ascii="Arial" w:eastAsia="Arial" w:hAnsi="Arial" w:cs="Arial"/>
          <w:sz w:val="15"/>
          <w:szCs w:val="15"/>
        </w:rPr>
        <w:footnoteRef/>
      </w:r>
      <w:r w:rsidR="338C5E83" w:rsidRPr="00BC3363">
        <w:rPr>
          <w:rFonts w:ascii="Arial" w:eastAsia="Arial" w:hAnsi="Arial" w:cs="Arial"/>
          <w:sz w:val="15"/>
          <w:szCs w:val="15"/>
        </w:rPr>
        <w:t xml:space="preserve"> Kotlarski, S., Bosshard, T., </w:t>
      </w:r>
      <w:proofErr w:type="spellStart"/>
      <w:r w:rsidR="338C5E83" w:rsidRPr="00BC3363">
        <w:rPr>
          <w:rFonts w:ascii="Arial" w:eastAsia="Arial" w:hAnsi="Arial" w:cs="Arial"/>
          <w:sz w:val="15"/>
          <w:szCs w:val="15"/>
        </w:rPr>
        <w:t>Lüthi</w:t>
      </w:r>
      <w:proofErr w:type="spellEnd"/>
      <w:r w:rsidR="338C5E83" w:rsidRPr="00BC3363">
        <w:rPr>
          <w:rFonts w:ascii="Arial" w:eastAsia="Arial" w:hAnsi="Arial" w:cs="Arial"/>
          <w:sz w:val="15"/>
          <w:szCs w:val="15"/>
        </w:rPr>
        <w:t xml:space="preserve">, D., Pall, P., </w:t>
      </w:r>
      <w:proofErr w:type="spellStart"/>
      <w:r w:rsidR="338C5E83" w:rsidRPr="00BC3363">
        <w:rPr>
          <w:rFonts w:ascii="Arial" w:eastAsia="Arial" w:hAnsi="Arial" w:cs="Arial"/>
          <w:sz w:val="15"/>
          <w:szCs w:val="15"/>
        </w:rPr>
        <w:t>Schär</w:t>
      </w:r>
      <w:proofErr w:type="spellEnd"/>
      <w:r w:rsidR="338C5E83" w:rsidRPr="00BC3363">
        <w:rPr>
          <w:rFonts w:ascii="Arial" w:eastAsia="Arial" w:hAnsi="Arial" w:cs="Arial"/>
          <w:sz w:val="15"/>
          <w:szCs w:val="15"/>
        </w:rPr>
        <w:t xml:space="preserve">, C. (2011). Elevation gradients of European climate change in the regional climate model COSMO-CLM, </w:t>
      </w:r>
      <w:r w:rsidR="338C5E83" w:rsidRPr="00BC3363">
        <w:rPr>
          <w:rFonts w:ascii="Arial" w:eastAsia="Arial" w:hAnsi="Arial" w:cs="Arial"/>
          <w:i/>
          <w:iCs/>
          <w:sz w:val="15"/>
          <w:szCs w:val="15"/>
        </w:rPr>
        <w:t>Climate Change</w:t>
      </w:r>
      <w:r w:rsidR="338C5E83" w:rsidRPr="00BC3363">
        <w:rPr>
          <w:rFonts w:ascii="Arial" w:eastAsia="Arial" w:hAnsi="Arial" w:cs="Arial"/>
          <w:sz w:val="15"/>
          <w:szCs w:val="15"/>
        </w:rPr>
        <w:t>, vol. 112, pp. 189–215. doi:10.1007/s10584-011-0195-5, in UNEP/GRID-Arendal, p. 17.</w:t>
      </w:r>
    </w:p>
  </w:footnote>
  <w:footnote w:id="83">
    <w:p w14:paraId="3019036A" w14:textId="5FEC4DCB" w:rsidR="00B116A4" w:rsidRPr="00BC3363" w:rsidRDefault="00B116A4" w:rsidP="00622F32">
      <w:pPr>
        <w:pStyle w:val="FootnoteText"/>
        <w:contextualSpacing/>
        <w:jc w:val="both"/>
        <w:rPr>
          <w:rFonts w:ascii="Arial" w:hAnsi="Arial" w:cs="Arial"/>
          <w:sz w:val="15"/>
          <w:szCs w:val="15"/>
        </w:rPr>
      </w:pPr>
      <w:r w:rsidRPr="00BC3363">
        <w:rPr>
          <w:rStyle w:val="FootnoteReference"/>
          <w:rFonts w:ascii="Arial" w:eastAsia="Arial" w:hAnsi="Arial" w:cs="Arial"/>
          <w:sz w:val="15"/>
          <w:szCs w:val="15"/>
        </w:rPr>
        <w:footnoteRef/>
      </w:r>
      <w:r w:rsidR="338C5E83" w:rsidRPr="00BC3363">
        <w:rPr>
          <w:rFonts w:ascii="Arial" w:eastAsia="Arial" w:hAnsi="Arial" w:cs="Arial"/>
          <w:sz w:val="15"/>
          <w:szCs w:val="15"/>
        </w:rPr>
        <w:t xml:space="preserve"> </w:t>
      </w:r>
      <w:proofErr w:type="spellStart"/>
      <w:r w:rsidR="338C5E83" w:rsidRPr="00BC3363">
        <w:rPr>
          <w:rFonts w:ascii="Arial" w:eastAsia="Arial" w:hAnsi="Arial" w:cs="Arial"/>
          <w:sz w:val="15"/>
          <w:szCs w:val="15"/>
        </w:rPr>
        <w:t>Sillmann</w:t>
      </w:r>
      <w:proofErr w:type="spellEnd"/>
      <w:r w:rsidR="338C5E83" w:rsidRPr="00BC3363">
        <w:rPr>
          <w:rFonts w:ascii="Arial" w:eastAsia="Arial" w:hAnsi="Arial" w:cs="Arial"/>
          <w:sz w:val="15"/>
          <w:szCs w:val="15"/>
        </w:rPr>
        <w:t xml:space="preserve">, J., Kharin, V. V., Zwiers, F. W., Zhang, X., &amp; Bronaugh, D. (2013). Climate extremes indices in the CMIP5 </w:t>
      </w:r>
      <w:proofErr w:type="spellStart"/>
      <w:r w:rsidR="338C5E83" w:rsidRPr="00BC3363">
        <w:rPr>
          <w:rFonts w:ascii="Arial" w:eastAsia="Arial" w:hAnsi="Arial" w:cs="Arial"/>
          <w:sz w:val="15"/>
          <w:szCs w:val="15"/>
        </w:rPr>
        <w:t>multimodel</w:t>
      </w:r>
      <w:proofErr w:type="spellEnd"/>
      <w:r w:rsidR="338C5E83" w:rsidRPr="00BC3363">
        <w:rPr>
          <w:rFonts w:ascii="Arial" w:eastAsia="Arial" w:hAnsi="Arial" w:cs="Arial"/>
          <w:sz w:val="15"/>
          <w:szCs w:val="15"/>
        </w:rPr>
        <w:t xml:space="preserve"> ensemble: Part 2. Future climate projections. </w:t>
      </w:r>
      <w:r w:rsidR="338C5E83" w:rsidRPr="00BC3363">
        <w:rPr>
          <w:rFonts w:ascii="Arial" w:eastAsia="Arial" w:hAnsi="Arial" w:cs="Arial"/>
          <w:i/>
          <w:iCs/>
          <w:sz w:val="15"/>
          <w:szCs w:val="15"/>
        </w:rPr>
        <w:t>Journal of Geophysical Research: Atmospheres</w:t>
      </w:r>
      <w:r w:rsidR="338C5E83" w:rsidRPr="00BC3363">
        <w:rPr>
          <w:rFonts w:ascii="Arial" w:eastAsia="Arial" w:hAnsi="Arial" w:cs="Arial"/>
          <w:sz w:val="15"/>
          <w:szCs w:val="15"/>
        </w:rPr>
        <w:t>, 118(6), 2473–2493. Available at: https://doi.org/10.1002/jgrd.50188.</w:t>
      </w:r>
    </w:p>
  </w:footnote>
  <w:footnote w:id="84">
    <w:p w14:paraId="36986106" w14:textId="7C605723" w:rsidR="7E083B57" w:rsidRPr="00BC3363" w:rsidRDefault="7E083B57" w:rsidP="00030E2D">
      <w:pPr>
        <w:spacing w:after="0" w:line="240" w:lineRule="auto"/>
        <w:jc w:val="both"/>
        <w:rPr>
          <w:rFonts w:ascii="Arial" w:hAnsi="Arial" w:cs="Arial"/>
          <w:sz w:val="15"/>
          <w:szCs w:val="15"/>
        </w:rPr>
      </w:pPr>
      <w:r w:rsidRPr="00BC3363">
        <w:rPr>
          <w:rFonts w:ascii="Arial" w:eastAsia="Arial" w:hAnsi="Arial" w:cs="Arial"/>
          <w:sz w:val="15"/>
          <w:szCs w:val="15"/>
        </w:rPr>
        <w:footnoteRef/>
      </w:r>
      <w:r w:rsidR="338C5E83" w:rsidRPr="00BC3363">
        <w:rPr>
          <w:rFonts w:ascii="Arial" w:eastAsia="Arial" w:hAnsi="Arial" w:cs="Arial"/>
          <w:sz w:val="15"/>
          <w:szCs w:val="15"/>
        </w:rPr>
        <w:t xml:space="preserve"> Islami, B., Kamberi, M., Bruci, E.D., and Fida, E. (2009). </w:t>
      </w:r>
      <w:r w:rsidR="338C5E83" w:rsidRPr="00BC3363">
        <w:rPr>
          <w:rFonts w:ascii="Arial" w:eastAsia="Arial" w:hAnsi="Arial" w:cs="Arial"/>
          <w:i/>
          <w:iCs/>
          <w:sz w:val="15"/>
          <w:szCs w:val="15"/>
        </w:rPr>
        <w:t xml:space="preserve">Albania’s Second National Communication to the Conference of Parties under the United Nations Framework Convention on Climate Change. </w:t>
      </w:r>
      <w:r w:rsidR="338C5E83" w:rsidRPr="00BC3363">
        <w:rPr>
          <w:rFonts w:ascii="Arial" w:eastAsia="Arial" w:hAnsi="Arial" w:cs="Arial"/>
          <w:sz w:val="15"/>
          <w:szCs w:val="15"/>
        </w:rPr>
        <w:t>Ministry of Environment, Forestry, and Water Administration: Tirana, Albania, in UNEP/GRID-Arendal (2015), p. 17.</w:t>
      </w:r>
    </w:p>
  </w:footnote>
  <w:footnote w:id="85">
    <w:p w14:paraId="6BE66236" w14:textId="54567D1A" w:rsidR="00A2F75B" w:rsidRPr="00BC3363" w:rsidRDefault="00A2F75B" w:rsidP="00030E2D">
      <w:pPr>
        <w:spacing w:after="0" w:line="240" w:lineRule="auto"/>
        <w:rPr>
          <w:rFonts w:ascii="Arial" w:hAnsi="Arial" w:cs="Arial"/>
          <w:sz w:val="15"/>
          <w:szCs w:val="15"/>
        </w:rPr>
      </w:pPr>
      <w:r w:rsidRPr="00BC3363">
        <w:rPr>
          <w:rFonts w:ascii="Arial" w:eastAsia="Arial" w:hAnsi="Arial" w:cs="Arial"/>
          <w:sz w:val="15"/>
          <w:szCs w:val="15"/>
        </w:rPr>
        <w:footnoteRef/>
      </w:r>
      <w:r w:rsidR="338C5E83" w:rsidRPr="00BC3363">
        <w:rPr>
          <w:rFonts w:ascii="Arial" w:eastAsia="Arial" w:hAnsi="Arial" w:cs="Arial"/>
          <w:sz w:val="15"/>
          <w:szCs w:val="15"/>
        </w:rPr>
        <w:t xml:space="preserve"> Ibid., p. 24.</w:t>
      </w:r>
    </w:p>
  </w:footnote>
  <w:footnote w:id="86">
    <w:p w14:paraId="3D4A53CC" w14:textId="3BA68148" w:rsidR="21D6F375" w:rsidRPr="00BC3363" w:rsidRDefault="21D6F375" w:rsidP="00622F32">
      <w:pPr>
        <w:spacing w:line="240" w:lineRule="auto"/>
        <w:rPr>
          <w:rFonts w:ascii="Arial" w:hAnsi="Arial" w:cs="Arial"/>
          <w:sz w:val="15"/>
          <w:szCs w:val="15"/>
        </w:rPr>
      </w:pPr>
      <w:r w:rsidRPr="00BC3363">
        <w:rPr>
          <w:rFonts w:ascii="Arial" w:eastAsia="Arial" w:hAnsi="Arial" w:cs="Arial"/>
          <w:sz w:val="15"/>
          <w:szCs w:val="15"/>
        </w:rPr>
        <w:footnoteRef/>
      </w:r>
      <w:r w:rsidR="338C5E83" w:rsidRPr="00BC3363">
        <w:rPr>
          <w:rFonts w:ascii="Arial" w:eastAsia="Arial" w:hAnsi="Arial" w:cs="Arial"/>
          <w:sz w:val="15"/>
          <w:szCs w:val="15"/>
        </w:rPr>
        <w:t xml:space="preserve"> RCC (2018), p. 25.</w:t>
      </w:r>
    </w:p>
  </w:footnote>
  <w:footnote w:id="87">
    <w:p w14:paraId="66204572" w14:textId="11E54B9D" w:rsidR="5D6420C3" w:rsidRPr="00BC3363" w:rsidRDefault="5D6420C3" w:rsidP="00622F32">
      <w:pPr>
        <w:spacing w:line="240" w:lineRule="auto"/>
        <w:rPr>
          <w:rFonts w:ascii="Arial" w:hAnsi="Arial" w:cs="Arial"/>
          <w:sz w:val="15"/>
          <w:szCs w:val="15"/>
        </w:rPr>
      </w:pPr>
      <w:r w:rsidRPr="00BC3363">
        <w:rPr>
          <w:rFonts w:ascii="Arial" w:eastAsia="Arial" w:hAnsi="Arial" w:cs="Arial"/>
          <w:sz w:val="15"/>
          <w:szCs w:val="15"/>
        </w:rPr>
        <w:footnoteRef/>
      </w:r>
      <w:r w:rsidR="338C5E83" w:rsidRPr="00BC3363">
        <w:rPr>
          <w:rFonts w:ascii="Arial" w:eastAsia="Arial" w:hAnsi="Arial" w:cs="Arial"/>
          <w:sz w:val="15"/>
          <w:szCs w:val="15"/>
        </w:rPr>
        <w:t xml:space="preserve"> Ibid., p. 26.</w:t>
      </w:r>
    </w:p>
  </w:footnote>
  <w:footnote w:id="88">
    <w:p w14:paraId="216CFC8B" w14:textId="2B9BCFF6" w:rsidR="3ED30A4C" w:rsidRPr="00BC3363" w:rsidRDefault="3ED30A4C" w:rsidP="00622F32">
      <w:pPr>
        <w:spacing w:line="240" w:lineRule="auto"/>
        <w:rPr>
          <w:rFonts w:ascii="Arial" w:eastAsiaTheme="minorEastAsia" w:hAnsi="Arial" w:cs="Arial"/>
          <w:sz w:val="15"/>
          <w:szCs w:val="15"/>
          <w:lang w:val="en-GB"/>
        </w:rPr>
      </w:pPr>
      <w:r w:rsidRPr="00BC3363">
        <w:rPr>
          <w:rFonts w:ascii="Arial" w:eastAsia="Arial" w:hAnsi="Arial" w:cs="Arial"/>
          <w:sz w:val="15"/>
          <w:szCs w:val="15"/>
        </w:rPr>
        <w:footnoteRef/>
      </w:r>
      <w:r w:rsidR="338C5E83" w:rsidRPr="00BC3363">
        <w:rPr>
          <w:rFonts w:ascii="Arial" w:eastAsia="Arial" w:hAnsi="Arial" w:cs="Arial"/>
          <w:sz w:val="15"/>
          <w:szCs w:val="15"/>
        </w:rPr>
        <w:t xml:space="preserve"> </w:t>
      </w:r>
      <w:r w:rsidR="338C5E83" w:rsidRPr="00BC3363">
        <w:rPr>
          <w:rFonts w:ascii="Arial" w:eastAsia="Arial" w:hAnsi="Arial" w:cs="Arial"/>
          <w:sz w:val="15"/>
          <w:szCs w:val="15"/>
          <w:lang w:val="en-GB"/>
        </w:rPr>
        <w:t xml:space="preserve">Bosnia NAP (2021). </w:t>
      </w:r>
      <w:r w:rsidR="338C5E83" w:rsidRPr="00BC3363">
        <w:rPr>
          <w:rFonts w:ascii="Arial" w:eastAsia="Arial" w:hAnsi="Arial" w:cs="Arial"/>
          <w:i/>
          <w:iCs/>
          <w:sz w:val="15"/>
          <w:szCs w:val="15"/>
          <w:lang w:val="en-GB"/>
        </w:rPr>
        <w:t>Bosnia and Herzegovina National Adaptation Plan and Proposed Measures 2021.</w:t>
      </w:r>
    </w:p>
  </w:footnote>
  <w:footnote w:id="89">
    <w:p w14:paraId="10C189C8" w14:textId="77777777" w:rsidR="00391505" w:rsidRPr="00BC3363" w:rsidRDefault="00391505" w:rsidP="00622F32">
      <w:pPr>
        <w:spacing w:line="240" w:lineRule="auto"/>
        <w:rPr>
          <w:rFonts w:ascii="Arial" w:hAnsi="Arial" w:cs="Arial"/>
          <w:sz w:val="15"/>
          <w:szCs w:val="15"/>
          <w:lang w:val="it-IT"/>
        </w:rPr>
      </w:pPr>
      <w:r w:rsidRPr="00BC3363">
        <w:rPr>
          <w:rFonts w:ascii="Arial" w:hAnsi="Arial" w:cs="Arial"/>
          <w:sz w:val="15"/>
          <w:szCs w:val="15"/>
        </w:rPr>
        <w:footnoteRef/>
      </w:r>
      <w:r w:rsidR="338C5E83" w:rsidRPr="00BC3363">
        <w:rPr>
          <w:rFonts w:ascii="Arial" w:eastAsia="Arial" w:hAnsi="Arial" w:cs="Arial"/>
          <w:sz w:val="15"/>
          <w:szCs w:val="15"/>
          <w:lang w:val="it-IT"/>
        </w:rPr>
        <w:t xml:space="preserve"> Bosnia NAP (2021), p. 16.</w:t>
      </w:r>
    </w:p>
  </w:footnote>
  <w:footnote w:id="90">
    <w:p w14:paraId="06BBEDD4" w14:textId="77777777" w:rsidR="00E77F5D" w:rsidRPr="00BC3363" w:rsidRDefault="00E77F5D" w:rsidP="00622F32">
      <w:pPr>
        <w:spacing w:line="240" w:lineRule="auto"/>
        <w:rPr>
          <w:rFonts w:ascii="Arial" w:hAnsi="Arial" w:cs="Arial"/>
          <w:sz w:val="15"/>
          <w:szCs w:val="15"/>
          <w:lang w:val="it-IT"/>
        </w:rPr>
      </w:pPr>
      <w:r w:rsidRPr="00BC3363">
        <w:rPr>
          <w:rFonts w:ascii="Arial" w:hAnsi="Arial" w:cs="Arial"/>
          <w:sz w:val="15"/>
          <w:szCs w:val="15"/>
        </w:rPr>
        <w:footnoteRef/>
      </w:r>
      <w:r w:rsidR="338C5E83" w:rsidRPr="00BC3363">
        <w:rPr>
          <w:rFonts w:ascii="Arial" w:eastAsia="Arial" w:hAnsi="Arial" w:cs="Arial"/>
          <w:sz w:val="15"/>
          <w:szCs w:val="15"/>
          <w:lang w:val="fi-FI"/>
        </w:rPr>
        <w:t xml:space="preserve"> </w:t>
      </w:r>
      <w:r w:rsidR="338C5E83" w:rsidRPr="00BC3363">
        <w:rPr>
          <w:rFonts w:ascii="Arial" w:eastAsia="Arial" w:hAnsi="Arial" w:cs="Arial"/>
          <w:sz w:val="15"/>
          <w:szCs w:val="15"/>
          <w:lang w:val="it-IT"/>
        </w:rPr>
        <w:t>Bosnia NAP (2021), p. 52.</w:t>
      </w:r>
    </w:p>
  </w:footnote>
  <w:footnote w:id="91">
    <w:p w14:paraId="729F8247" w14:textId="77777777" w:rsidR="00E77F5D" w:rsidRPr="00BC3363" w:rsidRDefault="00E77F5D" w:rsidP="00622F32">
      <w:pPr>
        <w:spacing w:line="240" w:lineRule="auto"/>
        <w:rPr>
          <w:rFonts w:ascii="Arial" w:hAnsi="Arial" w:cs="Arial"/>
          <w:sz w:val="15"/>
          <w:szCs w:val="15"/>
          <w:lang w:val="it-IT"/>
        </w:rPr>
      </w:pPr>
      <w:r w:rsidRPr="00BC3363">
        <w:rPr>
          <w:rFonts w:ascii="Arial" w:hAnsi="Arial" w:cs="Arial"/>
          <w:sz w:val="15"/>
          <w:szCs w:val="15"/>
        </w:rPr>
        <w:footnoteRef/>
      </w:r>
      <w:r w:rsidR="338C5E83" w:rsidRPr="00BC3363">
        <w:rPr>
          <w:rFonts w:ascii="Arial" w:eastAsia="Arial" w:hAnsi="Arial" w:cs="Arial"/>
          <w:sz w:val="15"/>
          <w:szCs w:val="15"/>
        </w:rPr>
        <w:t xml:space="preserve"> B</w:t>
      </w:r>
      <w:r w:rsidR="338C5E83" w:rsidRPr="00BC3363">
        <w:rPr>
          <w:rFonts w:ascii="Arial" w:eastAsia="Arial" w:hAnsi="Arial" w:cs="Arial"/>
          <w:sz w:val="15"/>
          <w:szCs w:val="15"/>
          <w:lang w:val="it-IT"/>
        </w:rPr>
        <w:t>osnia NAP (2021), p. 52.</w:t>
      </w:r>
    </w:p>
  </w:footnote>
  <w:footnote w:id="92">
    <w:p w14:paraId="5916F04F" w14:textId="312C01BB" w:rsidR="7C5C7BB0" w:rsidRPr="00BC3363" w:rsidRDefault="7C5C7BB0" w:rsidP="00622F32">
      <w:pPr>
        <w:spacing w:line="240" w:lineRule="auto"/>
        <w:rPr>
          <w:rFonts w:ascii="Arial" w:hAnsi="Arial" w:cs="Arial"/>
          <w:sz w:val="15"/>
          <w:szCs w:val="15"/>
        </w:rPr>
      </w:pPr>
      <w:r w:rsidRPr="00BC3363">
        <w:rPr>
          <w:rFonts w:ascii="Arial" w:eastAsia="Arial" w:hAnsi="Arial" w:cs="Arial"/>
          <w:sz w:val="15"/>
          <w:szCs w:val="15"/>
        </w:rPr>
        <w:footnoteRef/>
      </w:r>
      <w:r w:rsidR="338C5E83" w:rsidRPr="00BC3363">
        <w:rPr>
          <w:rFonts w:ascii="Arial" w:eastAsia="Arial" w:hAnsi="Arial" w:cs="Arial"/>
          <w:sz w:val="15"/>
          <w:szCs w:val="15"/>
        </w:rPr>
        <w:t xml:space="preserve">  Montenegro Draft NAP</w:t>
      </w:r>
    </w:p>
  </w:footnote>
  <w:footnote w:id="93">
    <w:p w14:paraId="59F756F0" w14:textId="16D24726" w:rsidR="427593C4" w:rsidRPr="00BC3363" w:rsidRDefault="427593C4" w:rsidP="00622F32">
      <w:pPr>
        <w:spacing w:line="240" w:lineRule="auto"/>
        <w:contextualSpacing/>
        <w:rPr>
          <w:rFonts w:ascii="Arial" w:hAnsi="Arial" w:cs="Arial"/>
          <w:sz w:val="15"/>
          <w:szCs w:val="15"/>
        </w:rPr>
      </w:pPr>
      <w:r w:rsidRPr="00BC3363">
        <w:rPr>
          <w:rFonts w:ascii="Arial" w:eastAsia="Arial" w:hAnsi="Arial" w:cs="Arial"/>
          <w:sz w:val="15"/>
          <w:szCs w:val="15"/>
        </w:rPr>
        <w:footnoteRef/>
      </w:r>
      <w:r w:rsidR="338C5E83" w:rsidRPr="00BC3363">
        <w:rPr>
          <w:rFonts w:ascii="Arial" w:eastAsia="Arial" w:hAnsi="Arial" w:cs="Arial"/>
          <w:sz w:val="15"/>
          <w:szCs w:val="15"/>
        </w:rPr>
        <w:t xml:space="preserve"> https://www.worldbank.org/en/country/northmacedonia/overview</w:t>
      </w:r>
    </w:p>
  </w:footnote>
  <w:footnote w:id="94">
    <w:p w14:paraId="42164DC6" w14:textId="35E143FF" w:rsidR="2B6068E9" w:rsidRPr="00BC3363" w:rsidDel="000860CD" w:rsidRDefault="2B6068E9" w:rsidP="00622F32">
      <w:pPr>
        <w:spacing w:line="240" w:lineRule="auto"/>
        <w:contextualSpacing/>
        <w:rPr>
          <w:rFonts w:ascii="Arial" w:hAnsi="Arial" w:cs="Arial"/>
          <w:sz w:val="15"/>
          <w:szCs w:val="15"/>
        </w:rPr>
      </w:pPr>
      <w:r w:rsidRPr="00BC3363">
        <w:rPr>
          <w:rFonts w:ascii="Arial" w:hAnsi="Arial" w:cs="Arial"/>
          <w:sz w:val="15"/>
          <w:szCs w:val="15"/>
        </w:rPr>
        <w:footnoteRef/>
      </w:r>
      <w:r w:rsidR="338C5E83" w:rsidRPr="00BC3363" w:rsidDel="000860CD">
        <w:rPr>
          <w:rFonts w:ascii="Arial" w:eastAsia="Arial" w:hAnsi="Arial" w:cs="Arial"/>
          <w:sz w:val="15"/>
          <w:szCs w:val="15"/>
        </w:rPr>
        <w:t xml:space="preserve"> Climate Risk in North Macedonia: Country Risk Profile. USAID 2018 Report on climate change projections and changes in climate extremes for the Republic of North Macedonia. Available at: https://api.klimatskipromeni.mk/data/rest/file/download/5e8046fa4761fb1b91d41c7fa0a0f34b621b19acc537ff9f45b79af5b623255e.p</w:t>
      </w:r>
    </w:p>
  </w:footnote>
  <w:footnote w:id="95">
    <w:p w14:paraId="1D552CF0" w14:textId="205B2B10" w:rsidR="338C5E83" w:rsidRPr="00BC3363" w:rsidRDefault="338C5E83" w:rsidP="00622F32">
      <w:pPr>
        <w:spacing w:line="240" w:lineRule="auto"/>
        <w:rPr>
          <w:rFonts w:ascii="Arial" w:hAnsi="Arial" w:cs="Arial"/>
          <w:sz w:val="15"/>
          <w:szCs w:val="15"/>
        </w:rPr>
      </w:pPr>
      <w:r w:rsidRPr="00BC3363">
        <w:rPr>
          <w:rFonts w:ascii="Arial" w:hAnsi="Arial" w:cs="Arial"/>
          <w:sz w:val="15"/>
          <w:szCs w:val="15"/>
        </w:rPr>
        <w:footnoteRef/>
      </w:r>
      <w:r w:rsidRPr="00BC3363">
        <w:rPr>
          <w:rFonts w:ascii="Arial" w:hAnsi="Arial" w:cs="Arial"/>
          <w:sz w:val="15"/>
          <w:szCs w:val="15"/>
        </w:rPr>
        <w:t xml:space="preserve"> </w:t>
      </w:r>
      <w:r w:rsidRPr="00BC3363">
        <w:rPr>
          <w:rFonts w:ascii="Arial" w:eastAsia="Arial" w:hAnsi="Arial" w:cs="Arial"/>
          <w:sz w:val="15"/>
          <w:szCs w:val="15"/>
        </w:rPr>
        <w:t>https://documents1.worldbank.org/curated/en/116521576516981237/txt/Air-Quality-Management-in-North-Macedonia.txt</w:t>
      </w:r>
    </w:p>
  </w:footnote>
  <w:footnote w:id="96">
    <w:p w14:paraId="31C5FCDC" w14:textId="3B3E4458" w:rsidR="3F6DF760" w:rsidRPr="00BC3363" w:rsidRDefault="3F6DF760" w:rsidP="00CF7C3B">
      <w:pPr>
        <w:spacing w:after="0" w:line="240" w:lineRule="auto"/>
        <w:contextualSpacing/>
        <w:rPr>
          <w:rStyle w:val="Hyperlink"/>
          <w:rFonts w:ascii="Arial" w:hAnsi="Arial" w:cs="Arial"/>
          <w:sz w:val="15"/>
          <w:szCs w:val="15"/>
        </w:rPr>
      </w:pPr>
      <w:r w:rsidRPr="00BC3363">
        <w:rPr>
          <w:rFonts w:ascii="Arial" w:eastAsia="Arial" w:hAnsi="Arial" w:cs="Arial"/>
          <w:sz w:val="15"/>
          <w:szCs w:val="15"/>
        </w:rPr>
        <w:footnoteRef/>
      </w:r>
      <w:r w:rsidR="338C5E83" w:rsidRPr="00BC3363">
        <w:rPr>
          <w:rFonts w:ascii="Arial" w:eastAsia="Arial" w:hAnsi="Arial" w:cs="Arial"/>
          <w:sz w:val="15"/>
          <w:szCs w:val="15"/>
        </w:rPr>
        <w:t xml:space="preserve"> Republic Hydrometeorological Service of Serbia (RHMSS). "Temperature Regime in Serbia". Available at: </w:t>
      </w:r>
      <w:hyperlink r:id="rId27">
        <w:r w:rsidR="338C5E83" w:rsidRPr="00BC3363">
          <w:rPr>
            <w:rStyle w:val="Hyperlink"/>
            <w:rFonts w:ascii="Arial" w:eastAsia="Arial" w:hAnsi="Arial" w:cs="Arial"/>
            <w:sz w:val="15"/>
            <w:szCs w:val="15"/>
          </w:rPr>
          <w:t>https://www.hidmet.gov.rs/eng/meteorologija/klimatologija_temp_rezim.php</w:t>
        </w:r>
      </w:hyperlink>
      <w:r w:rsidR="338C5E83" w:rsidRPr="00BC3363">
        <w:rPr>
          <w:rFonts w:ascii="Arial" w:eastAsia="Arial" w:hAnsi="Arial" w:cs="Arial"/>
          <w:sz w:val="15"/>
          <w:szCs w:val="15"/>
        </w:rPr>
        <w:t>.</w:t>
      </w:r>
    </w:p>
  </w:footnote>
  <w:footnote w:id="97">
    <w:p w14:paraId="0DF738A0" w14:textId="057843B4" w:rsidR="338C5E83" w:rsidRPr="00BC3363" w:rsidRDefault="338C5E83" w:rsidP="00CF7C3B">
      <w:pPr>
        <w:spacing w:after="0" w:line="240" w:lineRule="auto"/>
        <w:rPr>
          <w:rFonts w:ascii="Arial" w:hAnsi="Arial" w:cs="Arial"/>
          <w:sz w:val="15"/>
          <w:szCs w:val="15"/>
        </w:rPr>
      </w:pPr>
      <w:r w:rsidRPr="00BC3363">
        <w:rPr>
          <w:rFonts w:ascii="Arial" w:hAnsi="Arial" w:cs="Arial"/>
          <w:sz w:val="15"/>
          <w:szCs w:val="15"/>
        </w:rPr>
        <w:footnoteRef/>
      </w:r>
      <w:r w:rsidRPr="00BC3363">
        <w:rPr>
          <w:rFonts w:ascii="Arial" w:hAnsi="Arial" w:cs="Arial"/>
          <w:sz w:val="15"/>
          <w:szCs w:val="15"/>
        </w:rPr>
        <w:t xml:space="preserve"> </w:t>
      </w:r>
      <w:r w:rsidRPr="00BC3363">
        <w:rPr>
          <w:rFonts w:ascii="Arial" w:eastAsia="Arial" w:hAnsi="Arial" w:cs="Arial"/>
          <w:sz w:val="15"/>
          <w:szCs w:val="15"/>
        </w:rPr>
        <w:t xml:space="preserve">Serbia NAP (2023). </w:t>
      </w:r>
      <w:r w:rsidRPr="00BC3363">
        <w:rPr>
          <w:rFonts w:ascii="Arial" w:eastAsia="Arial" w:hAnsi="Arial" w:cs="Arial"/>
          <w:i/>
          <w:iCs/>
          <w:sz w:val="15"/>
          <w:szCs w:val="15"/>
        </w:rPr>
        <w:t>Republic of Serbia: Climate Change Adaptation Program for the Period 2023-2030</w:t>
      </w:r>
      <w:r w:rsidRPr="00BC3363">
        <w:rPr>
          <w:rFonts w:ascii="Arial" w:eastAsia="Arial" w:hAnsi="Arial" w:cs="Arial"/>
          <w:sz w:val="15"/>
          <w:szCs w:val="15"/>
        </w:rPr>
        <w:t>, referred to informally as the National Adaptation Plan (NAP) or “Serbia NAP 2023”.</w:t>
      </w:r>
    </w:p>
  </w:footnote>
  <w:footnote w:id="98">
    <w:p w14:paraId="02E2098F" w14:textId="299C0E72" w:rsidR="01D769F8" w:rsidRPr="00BC3363" w:rsidRDefault="01D769F8" w:rsidP="00CF7C3B">
      <w:pPr>
        <w:spacing w:after="0" w:line="240" w:lineRule="auto"/>
        <w:rPr>
          <w:rFonts w:ascii="Arial" w:hAnsi="Arial" w:cs="Arial"/>
          <w:sz w:val="15"/>
          <w:szCs w:val="15"/>
          <w:lang w:val="it-IT"/>
        </w:rPr>
      </w:pPr>
      <w:r w:rsidRPr="00BC3363">
        <w:rPr>
          <w:rFonts w:ascii="Arial" w:eastAsia="Arial" w:hAnsi="Arial" w:cs="Arial"/>
          <w:sz w:val="15"/>
          <w:szCs w:val="15"/>
        </w:rPr>
        <w:footnoteRef/>
      </w:r>
      <w:r w:rsidR="338C5E83" w:rsidRPr="00BC3363">
        <w:rPr>
          <w:rFonts w:ascii="Arial" w:eastAsia="Arial" w:hAnsi="Arial" w:cs="Arial"/>
          <w:sz w:val="15"/>
          <w:szCs w:val="15"/>
          <w:lang w:val="it-IT"/>
        </w:rPr>
        <w:t xml:space="preserve"> Serbia NAP (2023), pp. 22-25.</w:t>
      </w:r>
    </w:p>
  </w:footnote>
  <w:footnote w:id="99">
    <w:p w14:paraId="13A91DA2" w14:textId="7F4CAF75" w:rsidR="1C9F301F" w:rsidRPr="00BC3363" w:rsidRDefault="1C9F301F" w:rsidP="00CF7C3B">
      <w:pPr>
        <w:spacing w:after="0" w:line="240" w:lineRule="auto"/>
        <w:contextualSpacing/>
        <w:rPr>
          <w:rFonts w:ascii="Arial" w:hAnsi="Arial" w:cs="Arial"/>
          <w:sz w:val="15"/>
          <w:szCs w:val="15"/>
          <w:lang w:val="en-GB"/>
        </w:rPr>
      </w:pPr>
      <w:r w:rsidRPr="00BC3363">
        <w:rPr>
          <w:rFonts w:ascii="Arial" w:eastAsia="Arial" w:hAnsi="Arial" w:cs="Arial"/>
          <w:sz w:val="15"/>
          <w:szCs w:val="15"/>
        </w:rPr>
        <w:footnoteRef/>
      </w:r>
      <w:r w:rsidR="338C5E83" w:rsidRPr="00BC3363">
        <w:rPr>
          <w:rFonts w:ascii="Arial" w:eastAsia="Arial" w:hAnsi="Arial" w:cs="Arial"/>
          <w:sz w:val="15"/>
          <w:szCs w:val="15"/>
          <w:lang w:val="it-IT"/>
        </w:rPr>
        <w:t xml:space="preserve"> Lukić, T.; Bjelajac, D.; Fitzsimmons, K.E.; Marković, S.B.; Basarin, B.; Mlađan, D.; Micić, T.; Schaetzl, R.J.; Gavrilov, M.B.; Milanović, M.; et al. </w:t>
      </w:r>
      <w:r w:rsidR="338C5E83" w:rsidRPr="00BC3363">
        <w:rPr>
          <w:rFonts w:ascii="Arial" w:eastAsia="Arial" w:hAnsi="Arial" w:cs="Arial"/>
          <w:sz w:val="15"/>
          <w:szCs w:val="15"/>
          <w:lang w:val="en-GB"/>
        </w:rPr>
        <w:t xml:space="preserve">Factors triggering landslide occurrence on the </w:t>
      </w:r>
      <w:proofErr w:type="spellStart"/>
      <w:r w:rsidR="338C5E83" w:rsidRPr="00BC3363">
        <w:rPr>
          <w:rFonts w:ascii="Arial" w:eastAsia="Arial" w:hAnsi="Arial" w:cs="Arial"/>
          <w:sz w:val="15"/>
          <w:szCs w:val="15"/>
          <w:lang w:val="en-GB"/>
        </w:rPr>
        <w:t>Zemun</w:t>
      </w:r>
      <w:proofErr w:type="spellEnd"/>
      <w:r w:rsidR="338C5E83" w:rsidRPr="00BC3363">
        <w:rPr>
          <w:rFonts w:ascii="Arial" w:eastAsia="Arial" w:hAnsi="Arial" w:cs="Arial"/>
          <w:sz w:val="15"/>
          <w:szCs w:val="15"/>
          <w:lang w:val="en-GB"/>
        </w:rPr>
        <w:t xml:space="preserve"> loess plateau, Belgrade area, Serbia. Environ. Earth Sci. 2018, 77, 1–15.</w:t>
      </w:r>
    </w:p>
  </w:footnote>
  <w:footnote w:id="100">
    <w:p w14:paraId="44CCA004" w14:textId="1AA832BE" w:rsidR="338C5E83" w:rsidRPr="00BC3363" w:rsidRDefault="338C5E83" w:rsidP="00CF7C3B">
      <w:pPr>
        <w:spacing w:after="0" w:line="240" w:lineRule="auto"/>
        <w:rPr>
          <w:rFonts w:ascii="Arial" w:hAnsi="Arial" w:cs="Arial"/>
          <w:sz w:val="15"/>
          <w:szCs w:val="15"/>
          <w:lang w:val="it-IT"/>
        </w:rPr>
      </w:pPr>
      <w:r w:rsidRPr="00BC3363">
        <w:rPr>
          <w:rFonts w:ascii="Arial" w:hAnsi="Arial" w:cs="Arial"/>
          <w:sz w:val="15"/>
          <w:szCs w:val="15"/>
        </w:rPr>
        <w:footnoteRef/>
      </w:r>
      <w:r w:rsidRPr="00BC3363">
        <w:rPr>
          <w:rFonts w:ascii="Arial" w:hAnsi="Arial" w:cs="Arial"/>
          <w:sz w:val="15"/>
          <w:szCs w:val="15"/>
        </w:rPr>
        <w:t xml:space="preserve"> </w:t>
      </w:r>
      <w:r w:rsidRPr="00BC3363">
        <w:rPr>
          <w:rFonts w:ascii="Arial" w:eastAsia="Arial" w:hAnsi="Arial" w:cs="Arial"/>
          <w:sz w:val="15"/>
          <w:szCs w:val="15"/>
          <w:lang w:val="it-IT"/>
        </w:rPr>
        <w:t>Serbia NAP (2023), p. 28.</w:t>
      </w:r>
    </w:p>
  </w:footnote>
  <w:footnote w:id="101">
    <w:p w14:paraId="1FAB5F87" w14:textId="1825F8B2" w:rsidR="338C5E83" w:rsidRPr="00BC3363" w:rsidRDefault="338C5E83" w:rsidP="00CF7C3B">
      <w:pPr>
        <w:spacing w:after="0" w:line="240" w:lineRule="auto"/>
        <w:rPr>
          <w:rFonts w:ascii="Arial" w:hAnsi="Arial" w:cs="Arial"/>
          <w:sz w:val="15"/>
          <w:szCs w:val="15"/>
          <w:lang w:val="it-IT"/>
        </w:rPr>
      </w:pPr>
      <w:r w:rsidRPr="00BC3363">
        <w:rPr>
          <w:rStyle w:val="FootnoteReference"/>
          <w:rFonts w:ascii="Arial" w:eastAsia="Arial" w:hAnsi="Arial" w:cs="Arial"/>
          <w:sz w:val="15"/>
          <w:szCs w:val="15"/>
        </w:rPr>
        <w:footnoteRef/>
      </w:r>
      <w:r w:rsidRPr="00BC3363">
        <w:rPr>
          <w:rStyle w:val="FootnoteReference"/>
          <w:rFonts w:ascii="Arial" w:eastAsia="Arial" w:hAnsi="Arial" w:cs="Arial"/>
          <w:sz w:val="15"/>
          <w:szCs w:val="15"/>
        </w:rPr>
        <w:t xml:space="preserve"> </w:t>
      </w:r>
      <w:r w:rsidRPr="00BC3363">
        <w:rPr>
          <w:rFonts w:ascii="Arial" w:eastAsia="Arial" w:hAnsi="Arial" w:cs="Arial"/>
          <w:sz w:val="15"/>
          <w:szCs w:val="15"/>
          <w:lang w:val="it-IT"/>
        </w:rPr>
        <w:t>Serbia NAP (2023), P. 52.</w:t>
      </w:r>
    </w:p>
  </w:footnote>
  <w:footnote w:id="102">
    <w:p w14:paraId="70903BA4" w14:textId="668BF1E3" w:rsidR="000C24DB" w:rsidRPr="00BC3363" w:rsidRDefault="000C24DB" w:rsidP="00CF7C3B">
      <w:pPr>
        <w:spacing w:after="0" w:line="240" w:lineRule="auto"/>
        <w:rPr>
          <w:rFonts w:ascii="Arial" w:hAnsi="Arial" w:cs="Arial"/>
          <w:sz w:val="15"/>
          <w:szCs w:val="15"/>
        </w:rPr>
      </w:pPr>
      <w:r w:rsidRPr="00BC3363">
        <w:rPr>
          <w:rStyle w:val="FootnoteReference"/>
          <w:rFonts w:ascii="Arial" w:eastAsia="Arial" w:hAnsi="Arial" w:cs="Arial"/>
          <w:sz w:val="15"/>
          <w:szCs w:val="15"/>
        </w:rPr>
        <w:footnoteRef/>
      </w:r>
      <w:r w:rsidR="338C5E83" w:rsidRPr="00BC3363">
        <w:rPr>
          <w:rFonts w:ascii="Arial" w:eastAsia="Arial" w:hAnsi="Arial" w:cs="Arial"/>
          <w:sz w:val="15"/>
          <w:szCs w:val="15"/>
        </w:rPr>
        <w:t xml:space="preserve"> World Bank. (2024). Western Balkan Economies Need to Strengthen Climate Resilience. https://www.worldbank.org/en/news/press-release/2024/03/06/western-balkan-economies-need-to-strengthen-climate-resilience</w:t>
      </w:r>
    </w:p>
  </w:footnote>
  <w:footnote w:id="103">
    <w:p w14:paraId="7F849A63" w14:textId="423B7878" w:rsidR="00E1458E" w:rsidRPr="00BC3363" w:rsidRDefault="00E1458E" w:rsidP="00622F32">
      <w:pPr>
        <w:pStyle w:val="FootnoteText"/>
        <w:rPr>
          <w:rFonts w:ascii="Arial" w:hAnsi="Arial" w:cs="Arial"/>
          <w:sz w:val="15"/>
          <w:szCs w:val="15"/>
        </w:rPr>
      </w:pPr>
      <w:r w:rsidRPr="00BC3363">
        <w:rPr>
          <w:rStyle w:val="FootnoteReference"/>
          <w:rFonts w:ascii="Arial" w:eastAsia="Arial" w:hAnsi="Arial" w:cs="Arial"/>
          <w:sz w:val="15"/>
          <w:szCs w:val="15"/>
        </w:rPr>
        <w:footnoteRef/>
      </w:r>
      <w:r w:rsidR="338C5E83" w:rsidRPr="00BC3363">
        <w:rPr>
          <w:rFonts w:ascii="Arial" w:eastAsia="Arial" w:hAnsi="Arial" w:cs="Arial"/>
          <w:sz w:val="15"/>
          <w:szCs w:val="15"/>
        </w:rPr>
        <w:t xml:space="preserve"> FAO. (2021). Climate-Smart Agriculture in the Western Balkans. UN Women. (2020). Gender and Climate Change in the Western Balkans.</w:t>
      </w:r>
    </w:p>
  </w:footnote>
  <w:footnote w:id="104">
    <w:p w14:paraId="25219487" w14:textId="30EBAD45" w:rsidR="00065C66" w:rsidRPr="00BC3363" w:rsidRDefault="00065C66" w:rsidP="00622F32">
      <w:pPr>
        <w:spacing w:line="240" w:lineRule="auto"/>
        <w:rPr>
          <w:rFonts w:ascii="Arial" w:hAnsi="Arial" w:cs="Arial"/>
          <w:sz w:val="15"/>
          <w:szCs w:val="15"/>
        </w:rPr>
      </w:pPr>
      <w:r w:rsidRPr="00BC3363">
        <w:rPr>
          <w:rStyle w:val="FootnoteReference"/>
          <w:rFonts w:ascii="Arial" w:eastAsia="Arial" w:hAnsi="Arial" w:cs="Arial"/>
          <w:sz w:val="15"/>
          <w:szCs w:val="15"/>
        </w:rPr>
        <w:footnoteRef/>
      </w:r>
      <w:r w:rsidR="338C5E83" w:rsidRPr="00BC3363">
        <w:rPr>
          <w:rFonts w:ascii="Arial" w:eastAsia="Arial" w:hAnsi="Arial" w:cs="Arial"/>
          <w:sz w:val="15"/>
          <w:szCs w:val="15"/>
        </w:rPr>
        <w:t xml:space="preserve"> World Bank. (2022). Country Climate and Development Reports: Western Balkans.</w:t>
      </w:r>
    </w:p>
  </w:footnote>
  <w:footnote w:id="105">
    <w:p w14:paraId="3DE74CD6" w14:textId="05AD498B" w:rsidR="441409A5" w:rsidRPr="00BC3363" w:rsidRDefault="441409A5" w:rsidP="00622F32">
      <w:pPr>
        <w:spacing w:line="240" w:lineRule="auto"/>
        <w:rPr>
          <w:rFonts w:ascii="Arial" w:hAnsi="Arial" w:cs="Arial"/>
          <w:sz w:val="15"/>
          <w:szCs w:val="15"/>
        </w:rPr>
      </w:pPr>
      <w:r w:rsidRPr="00BC3363">
        <w:rPr>
          <w:rStyle w:val="FootnoteReference"/>
          <w:rFonts w:ascii="Arial" w:eastAsia="Arial" w:hAnsi="Arial" w:cs="Arial"/>
          <w:sz w:val="15"/>
          <w:szCs w:val="15"/>
        </w:rPr>
        <w:footnoteRef/>
      </w:r>
      <w:r w:rsidR="338C5E83" w:rsidRPr="00BC3363">
        <w:rPr>
          <w:rStyle w:val="FootnoteReference"/>
          <w:rFonts w:ascii="Arial" w:eastAsia="Arial" w:hAnsi="Arial" w:cs="Arial"/>
          <w:sz w:val="15"/>
          <w:szCs w:val="15"/>
        </w:rPr>
        <w:t xml:space="preserve"> </w:t>
      </w:r>
      <w:r w:rsidR="338C5E83" w:rsidRPr="00BC3363">
        <w:rPr>
          <w:rFonts w:ascii="Arial" w:eastAsia="Arial" w:hAnsi="Arial" w:cs="Arial"/>
          <w:sz w:val="15"/>
          <w:szCs w:val="15"/>
        </w:rPr>
        <w:t>World Bank. (2024). Western Balkan Economies Need to Strengthen Climate Resilience. Press Release.</w:t>
      </w:r>
    </w:p>
  </w:footnote>
  <w:footnote w:id="106">
    <w:p w14:paraId="302572E0" w14:textId="1B95782D" w:rsidR="4186447D" w:rsidRPr="00BC3363" w:rsidRDefault="4186447D" w:rsidP="00CF7C3B">
      <w:pPr>
        <w:spacing w:after="0" w:line="240" w:lineRule="auto"/>
        <w:rPr>
          <w:rFonts w:ascii="Arial" w:hAnsi="Arial" w:cs="Arial"/>
          <w:sz w:val="15"/>
          <w:szCs w:val="15"/>
        </w:rPr>
      </w:pPr>
      <w:r w:rsidRPr="00BC3363">
        <w:rPr>
          <w:rFonts w:ascii="Arial" w:eastAsia="Arial" w:hAnsi="Arial" w:cs="Arial"/>
          <w:sz w:val="15"/>
          <w:szCs w:val="15"/>
        </w:rPr>
        <w:footnoteRef/>
      </w:r>
      <w:r w:rsidR="338C5E83" w:rsidRPr="00BC3363">
        <w:rPr>
          <w:rFonts w:ascii="Arial" w:eastAsia="Arial" w:hAnsi="Arial" w:cs="Arial"/>
          <w:sz w:val="15"/>
          <w:szCs w:val="15"/>
        </w:rPr>
        <w:t xml:space="preserve"> World Bank. (2019). Breaking the cycle of Roma exclusion in the Western Balkans. Retrieved from https://www.worldbank.org</w:t>
      </w:r>
    </w:p>
  </w:footnote>
  <w:footnote w:id="107">
    <w:p w14:paraId="026D02B8" w14:textId="0A415055" w:rsidR="4186447D" w:rsidRPr="00BC3363" w:rsidRDefault="4186447D" w:rsidP="00CF7C3B">
      <w:pPr>
        <w:spacing w:after="0" w:line="240" w:lineRule="auto"/>
        <w:rPr>
          <w:rFonts w:ascii="Arial" w:hAnsi="Arial" w:cs="Arial"/>
          <w:sz w:val="15"/>
          <w:szCs w:val="15"/>
        </w:rPr>
      </w:pPr>
      <w:r w:rsidRPr="00BC3363">
        <w:rPr>
          <w:rFonts w:ascii="Arial" w:eastAsia="Arial" w:hAnsi="Arial" w:cs="Arial"/>
          <w:sz w:val="15"/>
          <w:szCs w:val="15"/>
        </w:rPr>
        <w:footnoteRef/>
      </w:r>
      <w:r w:rsidR="338C5E83" w:rsidRPr="00BC3363">
        <w:rPr>
          <w:rFonts w:ascii="Arial" w:eastAsia="Arial" w:hAnsi="Arial" w:cs="Arial"/>
          <w:sz w:val="15"/>
          <w:szCs w:val="15"/>
        </w:rPr>
        <w:t xml:space="preserve"> UNDP, World Bank, &amp; European Commission. (2017). Regional Roma Survey. Retrieved from https://www.worldbank.org</w:t>
      </w:r>
    </w:p>
  </w:footnote>
  <w:footnote w:id="108">
    <w:p w14:paraId="31DE4CD4" w14:textId="75962691" w:rsidR="4186447D" w:rsidRPr="00BC3363" w:rsidRDefault="4186447D" w:rsidP="00CF7C3B">
      <w:pPr>
        <w:spacing w:after="0" w:line="240" w:lineRule="auto"/>
        <w:rPr>
          <w:rFonts w:ascii="Arial" w:hAnsi="Arial" w:cs="Arial"/>
          <w:color w:val="D6D6D6"/>
          <w:sz w:val="15"/>
          <w:szCs w:val="15"/>
        </w:rPr>
      </w:pPr>
      <w:r w:rsidRPr="00BC3363">
        <w:rPr>
          <w:rFonts w:ascii="Arial" w:eastAsia="Arial" w:hAnsi="Arial" w:cs="Arial"/>
          <w:sz w:val="15"/>
          <w:szCs w:val="15"/>
        </w:rPr>
        <w:footnoteRef/>
      </w:r>
      <w:r w:rsidR="338C5E83" w:rsidRPr="00BC3363">
        <w:rPr>
          <w:rFonts w:ascii="Arial" w:eastAsia="Arial" w:hAnsi="Arial" w:cs="Arial"/>
          <w:sz w:val="15"/>
          <w:szCs w:val="15"/>
        </w:rPr>
        <w:t xml:space="preserve"> </w:t>
      </w:r>
      <w:r w:rsidR="338C5E83" w:rsidRPr="00BC3363">
        <w:rPr>
          <w:rFonts w:ascii="Arial" w:eastAsia="Arial" w:hAnsi="Arial" w:cs="Arial"/>
          <w:color w:val="000000" w:themeColor="text1"/>
          <w:sz w:val="15"/>
          <w:szCs w:val="15"/>
        </w:rPr>
        <w:t xml:space="preserve">European Union Agency for Fundamental Rights. (2014). </w:t>
      </w:r>
      <w:r w:rsidR="338C5E83" w:rsidRPr="00BC3363">
        <w:rPr>
          <w:rFonts w:ascii="Arial" w:eastAsia="Arial" w:hAnsi="Arial" w:cs="Arial"/>
          <w:i/>
          <w:iCs/>
          <w:color w:val="000000" w:themeColor="text1"/>
          <w:sz w:val="15"/>
          <w:szCs w:val="15"/>
        </w:rPr>
        <w:t>Discrimination against and living conditions of Roma women in 11 EU Member States: Roma survey – Data in focus</w:t>
      </w:r>
      <w:r w:rsidR="338C5E83" w:rsidRPr="00BC3363">
        <w:rPr>
          <w:rFonts w:ascii="Arial" w:eastAsia="Arial" w:hAnsi="Arial" w:cs="Arial"/>
          <w:color w:val="000000" w:themeColor="text1"/>
          <w:sz w:val="15"/>
          <w:szCs w:val="15"/>
        </w:rPr>
        <w:t>. Publications Office of the European Union. https://fra.europa.eu/sites/default/files/fra_uploads/fra-2014-roma-survey-dif-women-2_en.pdf</w:t>
      </w:r>
    </w:p>
  </w:footnote>
  <w:footnote w:id="109">
    <w:p w14:paraId="15AE1285" w14:textId="4A4DF1F9" w:rsidR="4186447D" w:rsidRPr="00BC3363" w:rsidRDefault="4186447D" w:rsidP="00CF7C3B">
      <w:pPr>
        <w:spacing w:after="0" w:line="240" w:lineRule="auto"/>
        <w:rPr>
          <w:rFonts w:ascii="Arial" w:hAnsi="Arial" w:cs="Arial"/>
          <w:sz w:val="15"/>
          <w:szCs w:val="15"/>
        </w:rPr>
      </w:pPr>
      <w:r w:rsidRPr="00BC3363">
        <w:rPr>
          <w:rFonts w:ascii="Arial" w:eastAsia="Arial" w:hAnsi="Arial" w:cs="Arial"/>
          <w:sz w:val="15"/>
          <w:szCs w:val="15"/>
        </w:rPr>
        <w:footnoteRef/>
      </w:r>
      <w:r w:rsidR="338C5E83" w:rsidRPr="00BC3363">
        <w:rPr>
          <w:rFonts w:ascii="Arial" w:eastAsia="Arial" w:hAnsi="Arial" w:cs="Arial"/>
          <w:sz w:val="15"/>
          <w:szCs w:val="15"/>
        </w:rPr>
        <w:t xml:space="preserve"> Minority Rights Group International. (2024). Aromanians in Albania. https://minorityrights.org/communities/aromanians-in-albania/</w:t>
      </w:r>
    </w:p>
  </w:footnote>
  <w:footnote w:id="110">
    <w:p w14:paraId="3AD4BDA1" w14:textId="46A6081D" w:rsidR="4186447D" w:rsidRPr="00BC3363" w:rsidRDefault="4186447D" w:rsidP="00CF7C3B">
      <w:pPr>
        <w:spacing w:after="0" w:line="240" w:lineRule="auto"/>
        <w:rPr>
          <w:rFonts w:ascii="Arial" w:hAnsi="Arial" w:cs="Arial"/>
          <w:sz w:val="15"/>
          <w:szCs w:val="15"/>
        </w:rPr>
      </w:pPr>
      <w:r w:rsidRPr="00BC3363">
        <w:rPr>
          <w:rFonts w:ascii="Arial" w:eastAsia="Arial" w:hAnsi="Arial" w:cs="Arial"/>
          <w:sz w:val="15"/>
          <w:szCs w:val="15"/>
        </w:rPr>
        <w:footnoteRef/>
      </w:r>
      <w:r w:rsidR="338C5E83" w:rsidRPr="00BC3363">
        <w:rPr>
          <w:rFonts w:ascii="Arial" w:eastAsia="Arial" w:hAnsi="Arial" w:cs="Arial"/>
          <w:sz w:val="15"/>
          <w:szCs w:val="15"/>
        </w:rPr>
        <w:t xml:space="preserve"> Council of Europe. (2024). Tackling the backlash against human rights. Retrieved from https://www.coe.int/en/web/inclusion-and-antidiscrimination/-/tackling-the-backlash-against-human-rights</w:t>
      </w:r>
    </w:p>
  </w:footnote>
  <w:footnote w:id="111">
    <w:p w14:paraId="7B4AC875" w14:textId="69F506C9" w:rsidR="441409A5" w:rsidRPr="00BC3363" w:rsidRDefault="441409A5" w:rsidP="00622F32">
      <w:pPr>
        <w:spacing w:line="240" w:lineRule="auto"/>
        <w:rPr>
          <w:rFonts w:ascii="Arial" w:hAnsi="Arial" w:cs="Arial"/>
          <w:sz w:val="15"/>
          <w:szCs w:val="15"/>
        </w:rPr>
      </w:pPr>
      <w:r w:rsidRPr="00BC3363">
        <w:rPr>
          <w:rFonts w:ascii="Arial" w:eastAsia="Arial" w:hAnsi="Arial" w:cs="Arial"/>
          <w:sz w:val="15"/>
          <w:szCs w:val="15"/>
        </w:rPr>
        <w:footnoteRef/>
      </w:r>
      <w:r w:rsidR="338C5E83" w:rsidRPr="00BC3363">
        <w:rPr>
          <w:rFonts w:ascii="Arial" w:eastAsia="Arial" w:hAnsi="Arial" w:cs="Arial"/>
          <w:sz w:val="15"/>
          <w:szCs w:val="15"/>
        </w:rPr>
        <w:t xml:space="preserve"> UNDP Kosovo. 'Inclusive and Just Pathway to 2030.</w:t>
      </w:r>
    </w:p>
  </w:footnote>
  <w:footnote w:id="112">
    <w:p w14:paraId="689E41A3" w14:textId="51C247B3" w:rsidR="441409A5" w:rsidRPr="00BC3363" w:rsidRDefault="441409A5" w:rsidP="004413B0">
      <w:pPr>
        <w:spacing w:after="0" w:line="240" w:lineRule="auto"/>
        <w:rPr>
          <w:rFonts w:ascii="Arial" w:hAnsi="Arial" w:cs="Arial"/>
          <w:sz w:val="15"/>
          <w:szCs w:val="15"/>
        </w:rPr>
      </w:pPr>
      <w:r w:rsidRPr="00BC3363">
        <w:rPr>
          <w:rFonts w:ascii="Arial" w:eastAsia="Arial" w:hAnsi="Arial" w:cs="Arial"/>
          <w:sz w:val="15"/>
          <w:szCs w:val="15"/>
        </w:rPr>
        <w:footnoteRef/>
      </w:r>
      <w:r w:rsidR="338C5E83" w:rsidRPr="00BC3363">
        <w:rPr>
          <w:rFonts w:ascii="Arial" w:eastAsia="Arial" w:hAnsi="Arial" w:cs="Arial"/>
          <w:sz w:val="15"/>
          <w:szCs w:val="15"/>
        </w:rPr>
        <w:t xml:space="preserve"> International </w:t>
      </w:r>
      <w:proofErr w:type="spellStart"/>
      <w:r w:rsidR="338C5E83" w:rsidRPr="00BC3363">
        <w:rPr>
          <w:rFonts w:ascii="Arial" w:eastAsia="Arial" w:hAnsi="Arial" w:cs="Arial"/>
          <w:sz w:val="15"/>
          <w:szCs w:val="15"/>
        </w:rPr>
        <w:t>Labour</w:t>
      </w:r>
      <w:proofErr w:type="spellEnd"/>
      <w:r w:rsidR="338C5E83" w:rsidRPr="00BC3363">
        <w:rPr>
          <w:rFonts w:ascii="Arial" w:eastAsia="Arial" w:hAnsi="Arial" w:cs="Arial"/>
          <w:sz w:val="15"/>
          <w:szCs w:val="15"/>
        </w:rPr>
        <w:t xml:space="preserve"> Organization. 'Informal Employment in the Western Balkans.' https://www.ilo.org/global/about-the-ilo/newsroom/news/WCMS_834485/lang--en/index.htm</w:t>
      </w:r>
    </w:p>
  </w:footnote>
  <w:footnote w:id="113">
    <w:p w14:paraId="0F5F06F5" w14:textId="14D325A9" w:rsidR="441409A5" w:rsidRPr="00BC3363" w:rsidRDefault="441409A5" w:rsidP="004413B0">
      <w:pPr>
        <w:spacing w:after="0" w:line="240" w:lineRule="auto"/>
        <w:rPr>
          <w:rFonts w:ascii="Arial" w:hAnsi="Arial" w:cs="Arial"/>
          <w:sz w:val="15"/>
          <w:szCs w:val="15"/>
        </w:rPr>
      </w:pPr>
      <w:r w:rsidRPr="00BC3363">
        <w:rPr>
          <w:rFonts w:ascii="Arial" w:eastAsia="Arial" w:hAnsi="Arial" w:cs="Arial"/>
          <w:sz w:val="15"/>
          <w:szCs w:val="15"/>
        </w:rPr>
        <w:footnoteRef/>
      </w:r>
      <w:r w:rsidR="338C5E83" w:rsidRPr="00BC3363">
        <w:rPr>
          <w:rFonts w:ascii="Arial" w:eastAsia="Arial" w:hAnsi="Arial" w:cs="Arial"/>
          <w:sz w:val="15"/>
          <w:szCs w:val="15"/>
        </w:rPr>
        <w:t xml:space="preserve"> World Bank. 'Western Balkans Labor Market Trends.' https://www.worldbank.org/en/news/feature/2022/04/12/western-balkans-labor-market-trends-2022</w:t>
      </w:r>
    </w:p>
  </w:footnote>
  <w:footnote w:id="114">
    <w:p w14:paraId="2523DA25" w14:textId="62D88047" w:rsidR="441409A5" w:rsidRPr="00BC3363" w:rsidRDefault="441409A5" w:rsidP="004413B0">
      <w:pPr>
        <w:spacing w:after="0" w:line="240" w:lineRule="auto"/>
        <w:rPr>
          <w:rFonts w:ascii="Arial" w:hAnsi="Arial" w:cs="Arial"/>
          <w:sz w:val="15"/>
          <w:szCs w:val="15"/>
        </w:rPr>
      </w:pPr>
      <w:r w:rsidRPr="00BC3363">
        <w:rPr>
          <w:rFonts w:ascii="Arial" w:eastAsia="Arial" w:hAnsi="Arial" w:cs="Arial"/>
          <w:sz w:val="15"/>
          <w:szCs w:val="15"/>
        </w:rPr>
        <w:footnoteRef/>
      </w:r>
      <w:r w:rsidR="338C5E83" w:rsidRPr="00BC3363">
        <w:rPr>
          <w:rFonts w:ascii="Arial" w:eastAsia="Arial" w:hAnsi="Arial" w:cs="Arial"/>
          <w:sz w:val="15"/>
          <w:szCs w:val="15"/>
        </w:rPr>
        <w:t xml:space="preserve"> World Bank. (2022). Climate Risk Profile: Western Balkans. Washington, DC.</w:t>
      </w:r>
    </w:p>
  </w:footnote>
  <w:footnote w:id="115">
    <w:p w14:paraId="5E1DD8B3" w14:textId="67921EBC" w:rsidR="441409A5" w:rsidRPr="00BC3363" w:rsidRDefault="441409A5" w:rsidP="004413B0">
      <w:pPr>
        <w:spacing w:after="0" w:line="240" w:lineRule="auto"/>
        <w:rPr>
          <w:rFonts w:ascii="Arial" w:hAnsi="Arial" w:cs="Arial"/>
          <w:sz w:val="15"/>
          <w:szCs w:val="15"/>
        </w:rPr>
      </w:pPr>
      <w:r w:rsidRPr="00BC3363">
        <w:rPr>
          <w:rFonts w:ascii="Arial" w:eastAsia="Arial" w:hAnsi="Arial" w:cs="Arial"/>
          <w:sz w:val="15"/>
          <w:szCs w:val="15"/>
        </w:rPr>
        <w:footnoteRef/>
      </w:r>
      <w:r w:rsidR="338C5E83" w:rsidRPr="00BC3363">
        <w:rPr>
          <w:rFonts w:ascii="Arial" w:eastAsia="Arial" w:hAnsi="Arial" w:cs="Arial"/>
          <w:sz w:val="15"/>
          <w:szCs w:val="15"/>
        </w:rPr>
        <w:t xml:space="preserve"> World Bank. (2022). Climate Risk Profile: Western Balkans. Washington, DC.</w:t>
      </w:r>
    </w:p>
  </w:footnote>
  <w:footnote w:id="116">
    <w:p w14:paraId="5C9F475D" w14:textId="5480FD75" w:rsidR="441409A5" w:rsidRPr="00BC3363" w:rsidRDefault="441409A5" w:rsidP="004413B0">
      <w:pPr>
        <w:spacing w:after="0" w:line="240" w:lineRule="auto"/>
        <w:rPr>
          <w:rFonts w:ascii="Arial" w:hAnsi="Arial" w:cs="Arial"/>
          <w:sz w:val="15"/>
          <w:szCs w:val="15"/>
        </w:rPr>
      </w:pPr>
      <w:r w:rsidRPr="00BC3363">
        <w:rPr>
          <w:rFonts w:ascii="Arial" w:eastAsia="Arial" w:hAnsi="Arial" w:cs="Arial"/>
          <w:sz w:val="15"/>
          <w:szCs w:val="15"/>
        </w:rPr>
        <w:footnoteRef/>
      </w:r>
      <w:r w:rsidR="338C5E83" w:rsidRPr="00BC3363">
        <w:rPr>
          <w:rFonts w:ascii="Arial" w:eastAsia="Arial" w:hAnsi="Arial" w:cs="Arial"/>
          <w:sz w:val="15"/>
          <w:szCs w:val="15"/>
        </w:rPr>
        <w:t xml:space="preserve"> Regional Cooperation Council. (2023). Western Balkans Climate Resilience Assessment. Sarajevo.</w:t>
      </w:r>
    </w:p>
  </w:footnote>
  <w:footnote w:id="117">
    <w:p w14:paraId="55F57631" w14:textId="7D01AF81" w:rsidR="441409A5" w:rsidRPr="00BC3363" w:rsidRDefault="441409A5" w:rsidP="004413B0">
      <w:pPr>
        <w:spacing w:after="0" w:line="240" w:lineRule="auto"/>
        <w:rPr>
          <w:rFonts w:ascii="Arial" w:hAnsi="Arial" w:cs="Arial"/>
          <w:sz w:val="15"/>
          <w:szCs w:val="15"/>
        </w:rPr>
      </w:pPr>
      <w:r w:rsidRPr="00BC3363">
        <w:rPr>
          <w:rFonts w:ascii="Arial" w:eastAsia="Arial" w:hAnsi="Arial" w:cs="Arial"/>
          <w:sz w:val="15"/>
          <w:szCs w:val="15"/>
        </w:rPr>
        <w:footnoteRef/>
      </w:r>
      <w:r w:rsidR="338C5E83" w:rsidRPr="00BC3363">
        <w:rPr>
          <w:rFonts w:ascii="Arial" w:eastAsia="Arial" w:hAnsi="Arial" w:cs="Arial"/>
          <w:sz w:val="15"/>
          <w:szCs w:val="15"/>
        </w:rPr>
        <w:t xml:space="preserve"> Regional Cooperation Council. (2023). Western Balkans Climate Resilience Assessment. Sarajevo</w:t>
      </w:r>
    </w:p>
  </w:footnote>
  <w:footnote w:id="118">
    <w:p w14:paraId="09A9EF23" w14:textId="5C03355F" w:rsidR="00716AF6" w:rsidRPr="00BC3363" w:rsidRDefault="00716AF6" w:rsidP="00622F32">
      <w:pPr>
        <w:pStyle w:val="FootnoteText"/>
        <w:contextualSpacing/>
        <w:rPr>
          <w:rFonts w:ascii="Arial" w:hAnsi="Arial" w:cs="Arial"/>
          <w:sz w:val="15"/>
          <w:szCs w:val="15"/>
        </w:rPr>
      </w:pPr>
      <w:r w:rsidRPr="00BC3363">
        <w:rPr>
          <w:rStyle w:val="FootnoteReference"/>
          <w:rFonts w:ascii="Arial" w:eastAsia="Arial" w:hAnsi="Arial" w:cs="Arial"/>
          <w:sz w:val="15"/>
          <w:szCs w:val="15"/>
        </w:rPr>
        <w:footnoteRef/>
      </w:r>
      <w:r w:rsidR="338C5E83" w:rsidRPr="00BC3363">
        <w:rPr>
          <w:rFonts w:ascii="Arial" w:eastAsia="Arial" w:hAnsi="Arial" w:cs="Arial"/>
          <w:sz w:val="15"/>
          <w:szCs w:val="15"/>
        </w:rPr>
        <w:t xml:space="preserve"> European Commission. (2024). European Innovation Scoreboard 2024. Publications Office of the European Union. Retrieved from https://research-and-innovation.ec.europa.eu/statistics/performance-indicators/european-innovation-scoreboard_en</w:t>
      </w:r>
    </w:p>
  </w:footnote>
  <w:footnote w:id="119">
    <w:p w14:paraId="0B548584" w14:textId="3A7B5418" w:rsidR="00BDE91E" w:rsidRPr="00BC3363" w:rsidRDefault="00BDE91E" w:rsidP="00622F32">
      <w:pPr>
        <w:pStyle w:val="FootnoteText"/>
        <w:contextualSpacing/>
        <w:jc w:val="both"/>
        <w:rPr>
          <w:rFonts w:ascii="Arial" w:hAnsi="Arial" w:cs="Arial"/>
          <w:sz w:val="15"/>
          <w:szCs w:val="15"/>
        </w:rPr>
      </w:pPr>
      <w:r w:rsidRPr="00BC3363">
        <w:rPr>
          <w:rStyle w:val="FootnoteReference"/>
          <w:rFonts w:ascii="Arial" w:eastAsia="Arial" w:hAnsi="Arial" w:cs="Arial"/>
          <w:sz w:val="15"/>
          <w:szCs w:val="15"/>
        </w:rPr>
        <w:footnoteRef/>
      </w:r>
      <w:r w:rsidR="338C5E83" w:rsidRPr="00BC3363">
        <w:rPr>
          <w:rFonts w:ascii="Arial" w:eastAsia="Arial" w:hAnsi="Arial" w:cs="Arial"/>
          <w:sz w:val="15"/>
          <w:szCs w:val="15"/>
        </w:rPr>
        <w:t xml:space="preserve"> </w:t>
      </w:r>
      <w:proofErr w:type="gramStart"/>
      <w:r w:rsidR="338C5E83" w:rsidRPr="00BC3363">
        <w:rPr>
          <w:rFonts w:ascii="Arial" w:eastAsia="Arial" w:hAnsi="Arial" w:cs="Arial"/>
          <w:sz w:val="15"/>
          <w:szCs w:val="15"/>
        </w:rPr>
        <w:t>”To</w:t>
      </w:r>
      <w:proofErr w:type="gramEnd"/>
      <w:r w:rsidR="338C5E83" w:rsidRPr="00BC3363">
        <w:rPr>
          <w:rFonts w:ascii="Arial" w:eastAsia="Arial" w:hAnsi="Arial" w:cs="Arial"/>
          <w:sz w:val="15"/>
          <w:szCs w:val="15"/>
        </w:rPr>
        <w:t xml:space="preserve"> counter the growing risks linked to climate change, WB6 [Western Balkans 6] countries will need to consider large investments in adaptation—investments that will come with significant benefits. An analysis of an initial, comprehensive multi-sectoral adaptation investment package was completed [by the World Bank team] based on data gathered from local documents, literature, and expert knowledge. The undiscounted costs (expressed in 2020 US$) of proposed policy actions and investments for an initial adaptation package following this approach in the six Western Balkan countries include, US$6.0 billion (Albania), US$6.8 billion (Bosnia and Herzegovina), US$2.8 billion (Kosovo), US$5.7 billion (Montenegro), US$6.4 billion (North Macedonia), and US$9.5 billion (Serbia). Multiple sources of information were used to estimate the needs of each country. The total for the region comes to $37.2 billion (in 2020 US$) undiscounted.”</w:t>
      </w:r>
    </w:p>
    <w:p w14:paraId="4F72182A" w14:textId="0A1E8D83" w:rsidR="00BDE91E" w:rsidRPr="00BC3363" w:rsidRDefault="00BDE91E" w:rsidP="00622F32">
      <w:pPr>
        <w:pStyle w:val="FootnoteText"/>
        <w:contextualSpacing/>
        <w:rPr>
          <w:rFonts w:ascii="Arial" w:eastAsia="Calibri" w:hAnsi="Arial" w:cs="Arial"/>
          <w:sz w:val="15"/>
          <w:szCs w:val="15"/>
        </w:rPr>
      </w:pPr>
    </w:p>
    <w:p w14:paraId="3143DD2E" w14:textId="5BE23616" w:rsidR="00BDE91E" w:rsidRPr="00BC3363" w:rsidRDefault="338C5E83" w:rsidP="00622F32">
      <w:pPr>
        <w:pStyle w:val="FootnoteText"/>
        <w:contextualSpacing/>
        <w:rPr>
          <w:rFonts w:ascii="Arial" w:hAnsi="Arial" w:cs="Arial"/>
          <w:sz w:val="15"/>
          <w:szCs w:val="15"/>
        </w:rPr>
      </w:pPr>
      <w:r w:rsidRPr="00BC3363">
        <w:rPr>
          <w:rFonts w:ascii="Arial" w:eastAsia="Arial" w:hAnsi="Arial" w:cs="Arial"/>
          <w:b/>
          <w:bCs/>
          <w:sz w:val="15"/>
          <w:szCs w:val="15"/>
        </w:rPr>
        <w:t>Source:</w:t>
      </w:r>
      <w:r w:rsidRPr="00BC3363">
        <w:rPr>
          <w:rFonts w:ascii="Arial" w:eastAsia="Arial" w:hAnsi="Arial" w:cs="Arial"/>
          <w:sz w:val="15"/>
          <w:szCs w:val="15"/>
        </w:rPr>
        <w:t xml:space="preserve"> World Bank. (2024). Western Balkans 6 Country Climate and Development Report (CCDR). Available at: </w:t>
      </w:r>
      <w:hyperlink r:id="rId28">
        <w:r w:rsidRPr="00BC3363">
          <w:rPr>
            <w:rStyle w:val="Hyperlink"/>
            <w:rFonts w:ascii="Arial" w:eastAsia="Arial" w:hAnsi="Arial" w:cs="Arial"/>
            <w:sz w:val="15"/>
            <w:szCs w:val="15"/>
          </w:rPr>
          <w:t>https://www.worldbank.org/en/region/eca/publication/western-balkans-6-ccdr</w:t>
        </w:r>
      </w:hyperlink>
      <w:r w:rsidRPr="00BC3363">
        <w:rPr>
          <w:rFonts w:ascii="Arial" w:eastAsia="Arial" w:hAnsi="Arial" w:cs="Arial"/>
          <w:sz w:val="15"/>
          <w:szCs w:val="15"/>
        </w:rPr>
        <w:t>.</w:t>
      </w:r>
    </w:p>
    <w:p w14:paraId="313666CA" w14:textId="0E7E5012" w:rsidR="00BDE91E" w:rsidRPr="00BC3363" w:rsidRDefault="00BDE91E" w:rsidP="00622F32">
      <w:pPr>
        <w:pStyle w:val="FootnoteText"/>
        <w:contextualSpacing/>
        <w:rPr>
          <w:rFonts w:ascii="Arial" w:eastAsia="Calibri" w:hAnsi="Arial" w:cs="Arial"/>
          <w:sz w:val="15"/>
          <w:szCs w:val="15"/>
        </w:rPr>
      </w:pPr>
    </w:p>
    <w:p w14:paraId="6270B225" w14:textId="07BE3B08" w:rsidR="00BDE91E" w:rsidRPr="00BC3363" w:rsidRDefault="338C5E83" w:rsidP="00622F32">
      <w:pPr>
        <w:pStyle w:val="FootnoteText"/>
        <w:contextualSpacing/>
        <w:rPr>
          <w:rFonts w:ascii="Arial" w:eastAsia="Calibri" w:hAnsi="Arial" w:cs="Arial"/>
          <w:sz w:val="15"/>
          <w:szCs w:val="15"/>
        </w:rPr>
      </w:pPr>
      <w:r w:rsidRPr="00BC3363">
        <w:rPr>
          <w:rFonts w:ascii="Arial" w:eastAsia="Arial" w:hAnsi="Arial" w:cs="Arial"/>
          <w:b/>
          <w:bCs/>
          <w:sz w:val="15"/>
          <w:szCs w:val="15"/>
        </w:rPr>
        <w:t>Note:</w:t>
      </w:r>
      <w:r w:rsidRPr="00BC3363">
        <w:rPr>
          <w:rFonts w:ascii="Arial" w:eastAsia="Arial" w:hAnsi="Arial" w:cs="Arial"/>
          <w:sz w:val="15"/>
          <w:szCs w:val="15"/>
        </w:rPr>
        <w:t xml:space="preserve"> estimates for each country’s “percent of GDP per year until 2050” are drawn from the individual country reports of the CCDR, available at the same link.</w:t>
      </w:r>
    </w:p>
  </w:footnote>
  <w:footnote w:id="120">
    <w:p w14:paraId="6F639DC9" w14:textId="60A6A1B6" w:rsidR="00BDE91E" w:rsidRPr="00BC3363" w:rsidRDefault="00BDE91E" w:rsidP="00622F32">
      <w:pPr>
        <w:pStyle w:val="FootnoteText"/>
        <w:contextualSpacing/>
        <w:jc w:val="both"/>
        <w:rPr>
          <w:rFonts w:ascii="Arial" w:hAnsi="Arial" w:cs="Arial"/>
          <w:sz w:val="15"/>
          <w:szCs w:val="15"/>
        </w:rPr>
      </w:pPr>
      <w:r w:rsidRPr="00BC3363">
        <w:rPr>
          <w:rStyle w:val="FootnoteReference"/>
          <w:rFonts w:ascii="Arial" w:eastAsia="Arial" w:hAnsi="Arial" w:cs="Arial"/>
          <w:sz w:val="15"/>
          <w:szCs w:val="15"/>
        </w:rPr>
        <w:footnoteRef/>
      </w:r>
      <w:r w:rsidR="338C5E83" w:rsidRPr="00BC3363">
        <w:rPr>
          <w:rFonts w:ascii="Arial" w:eastAsia="Arial" w:hAnsi="Arial" w:cs="Arial"/>
          <w:sz w:val="15"/>
          <w:szCs w:val="15"/>
        </w:rPr>
        <w:t xml:space="preserve"> UNDP. (2023). </w:t>
      </w:r>
      <w:r w:rsidR="338C5E83" w:rsidRPr="00BC3363">
        <w:rPr>
          <w:rFonts w:ascii="Arial" w:eastAsia="Arial" w:hAnsi="Arial" w:cs="Arial"/>
          <w:i/>
          <w:iCs/>
          <w:sz w:val="15"/>
          <w:szCs w:val="15"/>
        </w:rPr>
        <w:t>Why the Western Balkans Are Choosing Decarbonization</w:t>
      </w:r>
      <w:r w:rsidR="338C5E83" w:rsidRPr="00BC3363">
        <w:rPr>
          <w:rFonts w:ascii="Arial" w:eastAsia="Arial" w:hAnsi="Arial" w:cs="Arial"/>
          <w:sz w:val="15"/>
          <w:szCs w:val="15"/>
        </w:rPr>
        <w:t>. https://climatepromise.undp.org/news-and-stories/why-western-balkans-are-choosing-decarbonization-serbia-bosnia-and-herzegovina</w:t>
      </w:r>
    </w:p>
  </w:footnote>
  <w:footnote w:id="121">
    <w:p w14:paraId="5BFBF5A8" w14:textId="55B0EC03" w:rsidR="00BDE91E" w:rsidRPr="00BC3363" w:rsidRDefault="00BDE91E" w:rsidP="00622F32">
      <w:pPr>
        <w:pStyle w:val="FootnoteText"/>
        <w:contextualSpacing/>
        <w:rPr>
          <w:rFonts w:ascii="Arial" w:eastAsia="Calibri" w:hAnsi="Arial" w:cs="Arial"/>
          <w:sz w:val="15"/>
          <w:szCs w:val="15"/>
        </w:rPr>
      </w:pPr>
      <w:r w:rsidRPr="00BC3363">
        <w:rPr>
          <w:rStyle w:val="FootnoteReference"/>
          <w:rFonts w:ascii="Arial" w:eastAsia="Arial" w:hAnsi="Arial" w:cs="Arial"/>
          <w:sz w:val="15"/>
          <w:szCs w:val="15"/>
        </w:rPr>
        <w:footnoteRef/>
      </w:r>
      <w:r w:rsidR="338C5E83" w:rsidRPr="00BC3363">
        <w:rPr>
          <w:rFonts w:ascii="Arial" w:eastAsia="Arial" w:hAnsi="Arial" w:cs="Arial"/>
          <w:sz w:val="15"/>
          <w:szCs w:val="15"/>
        </w:rPr>
        <w:t xml:space="preserve"> United Nations Development Programme. (2023). Immediate action is needed to step up climate adaptation in Eastern Europe and Central Asia. https://www.undp.org/press-releases/immediate-action-needed-step-climate-adaptation-eastern-europe-and-central-asia</w:t>
      </w:r>
    </w:p>
  </w:footnote>
  <w:footnote w:id="122">
    <w:p w14:paraId="44AC1497" w14:textId="3038802B" w:rsidR="00BDE91E" w:rsidRPr="00BC3363" w:rsidRDefault="00BDE91E" w:rsidP="00622F32">
      <w:pPr>
        <w:spacing w:line="240" w:lineRule="auto"/>
        <w:contextualSpacing/>
        <w:jc w:val="both"/>
        <w:rPr>
          <w:rFonts w:ascii="Arial" w:hAnsi="Arial" w:cs="Arial"/>
          <w:sz w:val="15"/>
          <w:szCs w:val="15"/>
        </w:rPr>
      </w:pPr>
      <w:r w:rsidRPr="00BC3363">
        <w:rPr>
          <w:rFonts w:ascii="Arial" w:eastAsia="Arial" w:hAnsi="Arial" w:cs="Arial"/>
          <w:sz w:val="15"/>
          <w:szCs w:val="15"/>
        </w:rPr>
        <w:footnoteRef/>
      </w:r>
      <w:r w:rsidR="338C5E83" w:rsidRPr="00BC3363">
        <w:rPr>
          <w:rFonts w:ascii="Arial" w:eastAsia="Arial" w:hAnsi="Arial" w:cs="Arial"/>
          <w:sz w:val="15"/>
          <w:szCs w:val="15"/>
        </w:rPr>
        <w:t xml:space="preserve"> World Bank. (2024). Western Balkans 6 Country Climate and Development Report (CCDR). Available at: </w:t>
      </w:r>
      <w:hyperlink r:id="rId29">
        <w:r w:rsidR="338C5E83" w:rsidRPr="00BC3363">
          <w:rPr>
            <w:rStyle w:val="Hyperlink"/>
            <w:rFonts w:ascii="Arial" w:eastAsia="Arial" w:hAnsi="Arial" w:cs="Arial"/>
            <w:sz w:val="15"/>
            <w:szCs w:val="15"/>
          </w:rPr>
          <w:t>https://www.worldbank.org/en/region/eca/publication/western-balkans-6-ccdr</w:t>
        </w:r>
      </w:hyperlink>
      <w:r w:rsidR="338C5E83" w:rsidRPr="00BC3363">
        <w:rPr>
          <w:rFonts w:ascii="Arial" w:eastAsia="Arial" w:hAnsi="Arial" w:cs="Arial"/>
          <w:sz w:val="15"/>
          <w:szCs w:val="15"/>
        </w:rPr>
        <w:t xml:space="preserve">. </w:t>
      </w:r>
      <w:r w:rsidR="338C5E83" w:rsidRPr="00BC3363">
        <w:rPr>
          <w:rFonts w:ascii="Arial" w:eastAsia="Arial" w:hAnsi="Arial" w:cs="Arial"/>
          <w:b/>
          <w:bCs/>
          <w:sz w:val="15"/>
          <w:szCs w:val="15"/>
        </w:rPr>
        <w:t>Note:</w:t>
      </w:r>
      <w:r w:rsidR="338C5E83" w:rsidRPr="00BC3363">
        <w:rPr>
          <w:rFonts w:ascii="Arial" w:eastAsia="Arial" w:hAnsi="Arial" w:cs="Arial"/>
          <w:sz w:val="15"/>
          <w:szCs w:val="15"/>
        </w:rPr>
        <w:t xml:space="preserve"> estimates for each country’s required Net Zero investment and its estimate of “percent of GDP per year by 2050” are drawn from the individual country reports of the CCDR, available at the same link.</w:t>
      </w:r>
    </w:p>
  </w:footnote>
  <w:footnote w:id="123">
    <w:p w14:paraId="7C5AE294" w14:textId="48A913B0" w:rsidR="00BDE91E" w:rsidRPr="00BC3363" w:rsidRDefault="00BDE91E" w:rsidP="00622F32">
      <w:pPr>
        <w:pStyle w:val="FootnoteText"/>
        <w:contextualSpacing/>
        <w:jc w:val="both"/>
        <w:rPr>
          <w:rFonts w:ascii="Arial" w:hAnsi="Arial" w:cs="Arial"/>
          <w:sz w:val="15"/>
          <w:szCs w:val="15"/>
        </w:rPr>
      </w:pPr>
      <w:r w:rsidRPr="00BC3363">
        <w:rPr>
          <w:rStyle w:val="FootnoteReference"/>
          <w:rFonts w:ascii="Arial" w:eastAsia="Arial" w:hAnsi="Arial" w:cs="Arial"/>
          <w:sz w:val="15"/>
          <w:szCs w:val="15"/>
        </w:rPr>
        <w:footnoteRef/>
      </w:r>
      <w:r w:rsidR="338C5E83" w:rsidRPr="00BC3363">
        <w:rPr>
          <w:rFonts w:ascii="Arial" w:eastAsia="Arial" w:hAnsi="Arial" w:cs="Arial"/>
          <w:sz w:val="15"/>
          <w:szCs w:val="15"/>
        </w:rPr>
        <w:t xml:space="preserve"> World Health Organization, 'Air pollution and climate change', WHO, 2021</w:t>
      </w:r>
    </w:p>
  </w:footnote>
  <w:footnote w:id="124">
    <w:p w14:paraId="498775B5" w14:textId="19C60102" w:rsidR="00BDE91E" w:rsidRPr="00BC3363" w:rsidRDefault="00BDE91E" w:rsidP="00622F32">
      <w:pPr>
        <w:pStyle w:val="FootnoteText"/>
        <w:contextualSpacing/>
        <w:jc w:val="both"/>
        <w:rPr>
          <w:rFonts w:ascii="Arial" w:hAnsi="Arial" w:cs="Arial"/>
          <w:sz w:val="15"/>
          <w:szCs w:val="15"/>
        </w:rPr>
      </w:pPr>
      <w:r w:rsidRPr="00BC3363">
        <w:rPr>
          <w:rStyle w:val="FootnoteReference"/>
          <w:rFonts w:ascii="Arial" w:eastAsia="Arial" w:hAnsi="Arial" w:cs="Arial"/>
          <w:sz w:val="15"/>
          <w:szCs w:val="15"/>
        </w:rPr>
        <w:footnoteRef/>
      </w:r>
      <w:r w:rsidR="338C5E83" w:rsidRPr="00BC3363">
        <w:rPr>
          <w:rFonts w:ascii="Arial" w:eastAsia="Arial" w:hAnsi="Arial" w:cs="Arial"/>
          <w:sz w:val="15"/>
          <w:szCs w:val="15"/>
        </w:rPr>
        <w:t xml:space="preserve"> Global Commission on Adaptation, 'Adapt Now: A Global Call for Leadership on Climate Resilience', 2019</w:t>
      </w:r>
    </w:p>
  </w:footnote>
  <w:footnote w:id="125">
    <w:p w14:paraId="5F60E529" w14:textId="0A561D2A" w:rsidR="00BDE91E" w:rsidRPr="00BC3363" w:rsidRDefault="00BDE91E" w:rsidP="00622F32">
      <w:pPr>
        <w:pStyle w:val="FootnoteText"/>
        <w:contextualSpacing/>
        <w:jc w:val="both"/>
        <w:rPr>
          <w:rFonts w:ascii="Arial" w:hAnsi="Arial" w:cs="Arial"/>
          <w:sz w:val="15"/>
          <w:szCs w:val="15"/>
        </w:rPr>
      </w:pPr>
      <w:r w:rsidRPr="00BC3363">
        <w:rPr>
          <w:rStyle w:val="FootnoteReference"/>
          <w:rFonts w:ascii="Arial" w:eastAsia="Arial" w:hAnsi="Arial" w:cs="Arial"/>
          <w:sz w:val="15"/>
          <w:szCs w:val="15"/>
        </w:rPr>
        <w:footnoteRef/>
      </w:r>
      <w:r w:rsidR="338C5E83" w:rsidRPr="00BC3363">
        <w:rPr>
          <w:rFonts w:ascii="Arial" w:eastAsia="Arial" w:hAnsi="Arial" w:cs="Arial"/>
          <w:sz w:val="15"/>
          <w:szCs w:val="15"/>
        </w:rPr>
        <w:t xml:space="preserve"> Climate Policy Initiative. (2023). Global Landscape of Climate Finance 2023. Retrieved from https://www.climatepolicyinitiative.org/publication/global-landscape-of-climate-finance-2023/</w:t>
      </w:r>
    </w:p>
  </w:footnote>
  <w:footnote w:id="126">
    <w:p w14:paraId="7E23C782" w14:textId="6E353E4C" w:rsidR="441409A5" w:rsidRPr="00BC3363" w:rsidRDefault="441409A5" w:rsidP="00622F32">
      <w:pPr>
        <w:spacing w:line="240" w:lineRule="auto"/>
        <w:rPr>
          <w:rFonts w:ascii="Arial" w:hAnsi="Arial" w:cs="Arial"/>
          <w:sz w:val="15"/>
          <w:szCs w:val="15"/>
        </w:rPr>
      </w:pPr>
      <w:r w:rsidRPr="00BC3363">
        <w:rPr>
          <w:rStyle w:val="FootnoteReference"/>
          <w:rFonts w:ascii="Arial" w:eastAsia="Arial" w:hAnsi="Arial" w:cs="Arial"/>
          <w:color w:val="auto"/>
          <w:sz w:val="15"/>
          <w:szCs w:val="15"/>
        </w:rPr>
        <w:footnoteRef/>
      </w:r>
      <w:r w:rsidR="338C5E83" w:rsidRPr="00BC3363">
        <w:rPr>
          <w:rStyle w:val="FootnoteReference"/>
          <w:rFonts w:ascii="Arial" w:eastAsia="Arial" w:hAnsi="Arial" w:cs="Arial"/>
          <w:color w:val="auto"/>
          <w:sz w:val="15"/>
          <w:szCs w:val="15"/>
        </w:rPr>
        <w:t xml:space="preserve"> </w:t>
      </w:r>
      <w:r w:rsidR="338C5E83" w:rsidRPr="00BC3363">
        <w:rPr>
          <w:rFonts w:ascii="Arial" w:eastAsia="Arial" w:hAnsi="Arial" w:cs="Arial"/>
          <w:sz w:val="15"/>
          <w:szCs w:val="15"/>
        </w:rPr>
        <w:t>OECD/UNCDF (2020; p.112), Blended Finance in the Least Developed Countries 2020: Supporting a Resilient COVID-19 Recovery, OECD Publishing, Paris, https://doi.org/10.1787/57620d04-en.</w:t>
      </w:r>
    </w:p>
  </w:footnote>
  <w:footnote w:id="127">
    <w:p w14:paraId="46623C2A" w14:textId="7A90E8CA" w:rsidR="00905E97" w:rsidRPr="00BC3363" w:rsidRDefault="00905E97" w:rsidP="00622F32">
      <w:pPr>
        <w:pStyle w:val="FootnoteText"/>
        <w:contextualSpacing/>
        <w:rPr>
          <w:rFonts w:ascii="Arial" w:hAnsi="Arial" w:cs="Arial"/>
          <w:sz w:val="15"/>
          <w:szCs w:val="15"/>
        </w:rPr>
      </w:pPr>
      <w:r w:rsidRPr="00BC3363">
        <w:rPr>
          <w:rStyle w:val="FootnoteReference"/>
          <w:rFonts w:ascii="Arial" w:eastAsia="Arial" w:hAnsi="Arial" w:cs="Arial"/>
          <w:sz w:val="15"/>
          <w:szCs w:val="15"/>
        </w:rPr>
        <w:footnoteRef/>
      </w:r>
      <w:r w:rsidR="338C5E83" w:rsidRPr="00BC3363">
        <w:rPr>
          <w:rFonts w:ascii="Arial" w:eastAsia="Arial" w:hAnsi="Arial" w:cs="Arial"/>
          <w:sz w:val="15"/>
          <w:szCs w:val="15"/>
        </w:rPr>
        <w:t xml:space="preserve"> The Western Balkans' heavy reliance on coal-based energy necessitates integrating adaptation efforts with energy transition and decarbonization. While maintaining focus on adaptation finance, interventions should leverage co-benefits that support green skills development, alternative livelihoods, and local innovation capacity. This approach ensures just transition pathways for coal-dependent communities, providing workers and families with green technology training and livelihood alternatives essential for regional socio-economic stability during the shift toward sustainable resilience.</w:t>
      </w:r>
    </w:p>
  </w:footnote>
  <w:footnote w:id="128">
    <w:p w14:paraId="6A7DB306" w14:textId="5BEE4B4E" w:rsidR="4186447D" w:rsidRPr="00BC3363" w:rsidRDefault="4186447D" w:rsidP="00622F32">
      <w:pPr>
        <w:spacing w:line="240" w:lineRule="auto"/>
        <w:rPr>
          <w:rStyle w:val="Hyperlink"/>
          <w:rFonts w:ascii="Arial" w:hAnsi="Arial" w:cs="Arial"/>
          <w:color w:val="0000EE"/>
          <w:sz w:val="15"/>
          <w:szCs w:val="15"/>
        </w:rPr>
      </w:pPr>
      <w:r w:rsidRPr="00BC3363">
        <w:rPr>
          <w:rFonts w:ascii="Arial" w:eastAsia="Arial" w:hAnsi="Arial" w:cs="Arial"/>
          <w:sz w:val="15"/>
          <w:szCs w:val="15"/>
        </w:rPr>
        <w:footnoteRef/>
      </w:r>
      <w:r w:rsidR="338C5E83" w:rsidRPr="00BC3363">
        <w:rPr>
          <w:rFonts w:ascii="Arial" w:eastAsia="Arial" w:hAnsi="Arial" w:cs="Arial"/>
          <w:sz w:val="15"/>
          <w:szCs w:val="15"/>
        </w:rPr>
        <w:t xml:space="preserve"> Similar to solutions as categorized under:  </w:t>
      </w:r>
      <w:hyperlink r:id="rId30">
        <w:r w:rsidR="338C5E83" w:rsidRPr="00BC3363">
          <w:rPr>
            <w:rStyle w:val="Hyperlink"/>
            <w:rFonts w:ascii="Arial" w:eastAsia="Arial" w:hAnsi="Arial" w:cs="Arial"/>
            <w:color w:val="0000EE"/>
            <w:sz w:val="15"/>
            <w:szCs w:val="15"/>
          </w:rPr>
          <w:t>https://www.adaptation-fund.org/wp-content/uploads/2020/10/AFB.PPRC_.26.b.17-Options-for-further-defining-innovation-in-adaptation-1.pdf</w:t>
        </w:r>
      </w:hyperlink>
    </w:p>
  </w:footnote>
  <w:footnote w:id="129">
    <w:p w14:paraId="5F086281" w14:textId="77777777" w:rsidR="007B7564" w:rsidRPr="00BC3363" w:rsidRDefault="007B7564" w:rsidP="00622F32">
      <w:pPr>
        <w:pStyle w:val="FootnoteText"/>
        <w:rPr>
          <w:rFonts w:ascii="Arial" w:hAnsi="Arial" w:cs="Arial"/>
          <w:sz w:val="15"/>
          <w:szCs w:val="15"/>
        </w:rPr>
      </w:pPr>
      <w:r w:rsidRPr="00BC3363">
        <w:rPr>
          <w:rStyle w:val="FootnoteReference"/>
          <w:rFonts w:ascii="Arial" w:eastAsia="Arial" w:hAnsi="Arial" w:cs="Arial"/>
          <w:sz w:val="15"/>
          <w:szCs w:val="15"/>
        </w:rPr>
        <w:footnoteRef/>
      </w:r>
      <w:r w:rsidR="338C5E83" w:rsidRPr="00BC3363">
        <w:rPr>
          <w:rFonts w:ascii="Arial" w:eastAsia="Arial" w:hAnsi="Arial" w:cs="Arial"/>
          <w:sz w:val="15"/>
          <w:szCs w:val="15"/>
        </w:rPr>
        <w:t xml:space="preserve"> </w:t>
      </w:r>
      <w:hyperlink r:id="rId31" w:history="1">
        <w:r w:rsidR="338C5E83" w:rsidRPr="00BC3363">
          <w:rPr>
            <w:rStyle w:val="Hyperlink"/>
            <w:rFonts w:ascii="Arial" w:eastAsia="Arial" w:hAnsi="Arial" w:cs="Arial"/>
            <w:sz w:val="15"/>
            <w:szCs w:val="15"/>
          </w:rPr>
          <w:t>https://climate.ec.europa.eu/climate-change/consequences-climate-change_en</w:t>
        </w:r>
      </w:hyperlink>
      <w:r w:rsidR="338C5E83" w:rsidRPr="00BC3363">
        <w:rPr>
          <w:rFonts w:ascii="Arial" w:eastAsia="Arial" w:hAnsi="Arial" w:cs="Arial"/>
          <w:sz w:val="15"/>
          <w:szCs w:val="15"/>
        </w:rPr>
        <w:t xml:space="preserve"> </w:t>
      </w:r>
    </w:p>
  </w:footnote>
  <w:footnote w:id="130">
    <w:p w14:paraId="12EF69C2" w14:textId="12468438" w:rsidR="00A94CA3" w:rsidRPr="00BC3363" w:rsidRDefault="00A94CA3" w:rsidP="00622F32">
      <w:pPr>
        <w:pStyle w:val="FootnoteText"/>
        <w:rPr>
          <w:rFonts w:ascii="Arial" w:hAnsi="Arial" w:cs="Arial"/>
          <w:sz w:val="15"/>
          <w:szCs w:val="15"/>
        </w:rPr>
      </w:pPr>
      <w:r w:rsidRPr="00BC3363">
        <w:rPr>
          <w:rStyle w:val="FootnoteReference"/>
          <w:rFonts w:ascii="Arial" w:eastAsia="Arial" w:hAnsi="Arial" w:cs="Arial"/>
          <w:sz w:val="15"/>
          <w:szCs w:val="15"/>
        </w:rPr>
        <w:footnoteRef/>
      </w:r>
      <w:r w:rsidR="338C5E83" w:rsidRPr="00BC3363">
        <w:rPr>
          <w:rFonts w:ascii="Arial" w:eastAsia="Arial" w:hAnsi="Arial" w:cs="Arial"/>
          <w:sz w:val="15"/>
          <w:szCs w:val="15"/>
        </w:rPr>
        <w:t xml:space="preserve"> World Bank (2024) Reshaping Cities: Readying cities in the Western Balkan for a changing climate. </w:t>
      </w:r>
      <w:hyperlink r:id="rId32" w:history="1">
        <w:r w:rsidR="338C5E83" w:rsidRPr="00BC3363">
          <w:rPr>
            <w:rStyle w:val="Hyperlink"/>
            <w:rFonts w:ascii="Arial" w:eastAsia="Arial" w:hAnsi="Arial" w:cs="Arial"/>
            <w:sz w:val="15"/>
            <w:szCs w:val="15"/>
          </w:rPr>
          <w:t>https://openknowledge.worldbank.org/entities/publication/2919885d-84a9-40e6-ab2a-aab21a5c1fcf</w:t>
        </w:r>
      </w:hyperlink>
      <w:r w:rsidR="338C5E83" w:rsidRPr="00BC3363">
        <w:rPr>
          <w:rFonts w:ascii="Arial" w:eastAsia="Arial" w:hAnsi="Arial" w:cs="Arial"/>
          <w:sz w:val="15"/>
          <w:szCs w:val="15"/>
        </w:rPr>
        <w:t xml:space="preserve"> </w:t>
      </w:r>
    </w:p>
  </w:footnote>
  <w:footnote w:id="131">
    <w:p w14:paraId="5FB7EAA5" w14:textId="77777777" w:rsidR="007B7564" w:rsidRPr="00BC3363" w:rsidRDefault="007B7564" w:rsidP="00622F32">
      <w:pPr>
        <w:pStyle w:val="FootnoteText"/>
        <w:rPr>
          <w:rFonts w:ascii="Arial" w:hAnsi="Arial" w:cs="Arial"/>
          <w:sz w:val="15"/>
          <w:szCs w:val="15"/>
        </w:rPr>
      </w:pPr>
      <w:r w:rsidRPr="00BC3363">
        <w:rPr>
          <w:rStyle w:val="FootnoteReference"/>
          <w:rFonts w:ascii="Arial" w:eastAsia="Arial" w:hAnsi="Arial" w:cs="Arial"/>
          <w:sz w:val="15"/>
          <w:szCs w:val="15"/>
        </w:rPr>
        <w:footnoteRef/>
      </w:r>
      <w:r w:rsidR="338C5E83" w:rsidRPr="00BC3363">
        <w:rPr>
          <w:rFonts w:ascii="Arial" w:eastAsia="Arial" w:hAnsi="Arial" w:cs="Arial"/>
          <w:sz w:val="15"/>
          <w:szCs w:val="15"/>
        </w:rPr>
        <w:t xml:space="preserve"> UNDRR (2025) Global Assessment Report (GAR) on Disaster Risk Reduction.</w:t>
      </w:r>
    </w:p>
  </w:footnote>
  <w:footnote w:id="132">
    <w:p w14:paraId="2DB1987B" w14:textId="7094D404" w:rsidR="007B7564" w:rsidRPr="00BC3363" w:rsidRDefault="007B7564" w:rsidP="00622F32">
      <w:pPr>
        <w:pStyle w:val="FootnoteText"/>
        <w:rPr>
          <w:rStyle w:val="Hyperlink"/>
          <w:rFonts w:ascii="Arial" w:hAnsi="Arial" w:cs="Arial"/>
          <w:sz w:val="15"/>
          <w:szCs w:val="15"/>
        </w:rPr>
      </w:pPr>
      <w:r w:rsidRPr="00BC3363">
        <w:rPr>
          <w:rStyle w:val="FootnoteReference"/>
          <w:rFonts w:ascii="Arial" w:eastAsia="Arial" w:hAnsi="Arial" w:cs="Arial"/>
          <w:sz w:val="15"/>
          <w:szCs w:val="15"/>
        </w:rPr>
        <w:footnoteRef/>
      </w:r>
      <w:r w:rsidR="338C5E83" w:rsidRPr="00BC3363">
        <w:rPr>
          <w:rFonts w:ascii="Arial" w:eastAsia="Arial" w:hAnsi="Arial" w:cs="Arial"/>
          <w:sz w:val="15"/>
          <w:szCs w:val="15"/>
          <w:lang w:val="sv-SE"/>
        </w:rPr>
        <w:t xml:space="preserve"> Barendrecht, M. H. et al. </w:t>
      </w:r>
      <w:r w:rsidR="338C5E83" w:rsidRPr="00BC3363">
        <w:rPr>
          <w:rFonts w:ascii="Arial" w:eastAsia="Arial" w:hAnsi="Arial" w:cs="Arial"/>
          <w:sz w:val="15"/>
          <w:szCs w:val="15"/>
        </w:rPr>
        <w:t xml:space="preserve">(2024). Exploring drought-to-flood interactions and dynamics: A global case review. </w:t>
      </w:r>
      <w:r w:rsidR="338C5E83" w:rsidRPr="00BC3363">
        <w:rPr>
          <w:rFonts w:ascii="Arial" w:eastAsia="Arial" w:hAnsi="Arial" w:cs="Arial"/>
          <w:i/>
          <w:iCs/>
          <w:sz w:val="15"/>
          <w:szCs w:val="15"/>
        </w:rPr>
        <w:t>WIREs Water</w:t>
      </w:r>
      <w:r w:rsidR="338C5E83" w:rsidRPr="00BC3363">
        <w:rPr>
          <w:rFonts w:ascii="Arial" w:eastAsia="Arial" w:hAnsi="Arial" w:cs="Arial"/>
          <w:sz w:val="15"/>
          <w:szCs w:val="15"/>
        </w:rPr>
        <w:t xml:space="preserve">, 11(4), e1726. </w:t>
      </w:r>
      <w:hyperlink r:id="rId33" w:history="1">
        <w:r w:rsidR="338C5E83" w:rsidRPr="00BC3363">
          <w:rPr>
            <w:rStyle w:val="Hyperlink"/>
            <w:rFonts w:ascii="Arial" w:eastAsia="Arial" w:hAnsi="Arial" w:cs="Arial"/>
            <w:sz w:val="15"/>
            <w:szCs w:val="15"/>
          </w:rPr>
          <w:t>https://doi.org/10.1002/wat2.1726</w:t>
        </w:r>
      </w:hyperlink>
    </w:p>
    <w:p w14:paraId="113366AD" w14:textId="4261F9DF" w:rsidR="007B7564" w:rsidRPr="00BC3363" w:rsidRDefault="007B7564" w:rsidP="00622F32">
      <w:pPr>
        <w:pStyle w:val="FootnoteText"/>
        <w:rPr>
          <w:rFonts w:ascii="Arial" w:hAnsi="Arial" w:cs="Arial"/>
          <w:sz w:val="15"/>
          <w:szCs w:val="15"/>
        </w:rPr>
      </w:pPr>
    </w:p>
  </w:footnote>
  <w:footnote w:id="133">
    <w:p w14:paraId="799F5EA5" w14:textId="523ADF26" w:rsidR="49C6F20D" w:rsidRPr="00BC3363" w:rsidRDefault="49C6F20D" w:rsidP="00622F32">
      <w:pPr>
        <w:spacing w:line="240" w:lineRule="auto"/>
        <w:rPr>
          <w:rFonts w:ascii="Arial" w:eastAsia="Arial" w:hAnsi="Arial" w:cs="Arial"/>
          <w:sz w:val="15"/>
          <w:szCs w:val="15"/>
        </w:rPr>
      </w:pPr>
      <w:r w:rsidRPr="00BC3363">
        <w:rPr>
          <w:rFonts w:ascii="Arial" w:eastAsia="Arial" w:hAnsi="Arial" w:cs="Arial"/>
          <w:sz w:val="15"/>
          <w:szCs w:val="15"/>
        </w:rPr>
        <w:footnoteRef/>
      </w:r>
      <w:r w:rsidR="338C5E83" w:rsidRPr="00BC3363">
        <w:rPr>
          <w:rFonts w:ascii="Arial" w:eastAsia="Arial" w:hAnsi="Arial" w:cs="Arial"/>
          <w:sz w:val="15"/>
          <w:szCs w:val="15"/>
        </w:rPr>
        <w:t xml:space="preserve"> Under UNDP-AFCIA, 44 grantees received a first round of funding between 60,000 USD and 125,000 USD. Out of those 44, 36 received a second round of funding of 80,000 to 110,000 USD for scaling purposes. Please note that the published factsheets only contain the results of the first round of funding for the 44 grantees. In October 2025, the UNDP-AFCIA team will be updating all factsheets to reflect the final impact and scaling results considering the second round of funding. The revised versions will be made available online by the end of 2025. </w:t>
      </w:r>
    </w:p>
  </w:footnote>
  <w:footnote w:id="134">
    <w:p w14:paraId="47EEC54C" w14:textId="7F064C5D" w:rsidR="00B0224B" w:rsidRPr="00BC3363" w:rsidRDefault="00B0224B" w:rsidP="00622F32">
      <w:pPr>
        <w:pStyle w:val="FootnoteText"/>
        <w:rPr>
          <w:rFonts w:ascii="Arial" w:eastAsia="Calibri" w:hAnsi="Arial" w:cs="Arial"/>
          <w:sz w:val="15"/>
          <w:szCs w:val="15"/>
        </w:rPr>
      </w:pPr>
      <w:r w:rsidRPr="00BC3363">
        <w:rPr>
          <w:rStyle w:val="FootnoteReference"/>
          <w:rFonts w:ascii="Arial" w:eastAsia="Arial" w:hAnsi="Arial" w:cs="Arial"/>
          <w:sz w:val="15"/>
          <w:szCs w:val="15"/>
        </w:rPr>
        <w:footnoteRef/>
      </w:r>
      <w:r w:rsidR="338C5E83" w:rsidRPr="00BC3363">
        <w:rPr>
          <w:rFonts w:ascii="Arial" w:eastAsia="Arial" w:hAnsi="Arial" w:cs="Arial"/>
          <w:sz w:val="15"/>
          <w:szCs w:val="15"/>
        </w:rPr>
        <w:t xml:space="preserve"> Building on UNDP’s extensive experience in supporting local CSOs in their crowdfunding efforts, including under the </w:t>
      </w:r>
      <w:proofErr w:type="spellStart"/>
      <w:r w:rsidR="338C5E83" w:rsidRPr="00BC3363">
        <w:rPr>
          <w:rFonts w:ascii="Arial" w:eastAsia="Arial" w:hAnsi="Arial" w:cs="Arial"/>
          <w:sz w:val="15"/>
          <w:szCs w:val="15"/>
        </w:rPr>
        <w:t>IsDB</w:t>
      </w:r>
      <w:proofErr w:type="spellEnd"/>
      <w:r w:rsidR="338C5E83" w:rsidRPr="00BC3363">
        <w:rPr>
          <w:rFonts w:ascii="Arial" w:eastAsia="Arial" w:hAnsi="Arial" w:cs="Arial"/>
          <w:sz w:val="15"/>
          <w:szCs w:val="15"/>
        </w:rPr>
        <w:t xml:space="preserve"> supported </w:t>
      </w:r>
      <w:proofErr w:type="spellStart"/>
      <w:r w:rsidR="338C5E83" w:rsidRPr="00BC3363">
        <w:rPr>
          <w:rFonts w:ascii="Arial" w:eastAsia="Arial" w:hAnsi="Arial" w:cs="Arial"/>
          <w:sz w:val="15"/>
          <w:szCs w:val="15"/>
        </w:rPr>
        <w:t>Tadamon</w:t>
      </w:r>
      <w:proofErr w:type="spellEnd"/>
      <w:r w:rsidR="338C5E83" w:rsidRPr="00BC3363">
        <w:rPr>
          <w:rFonts w:ascii="Arial" w:eastAsia="Arial" w:hAnsi="Arial" w:cs="Arial"/>
          <w:sz w:val="15"/>
          <w:szCs w:val="15"/>
        </w:rPr>
        <w:t xml:space="preserve"> Crowdfunding Academy, </w:t>
      </w:r>
      <w:hyperlink r:id="rId34">
        <w:r w:rsidR="338C5E83" w:rsidRPr="00BC3363">
          <w:rPr>
            <w:rStyle w:val="Hyperlink"/>
            <w:rFonts w:ascii="Arial" w:eastAsia="Arial" w:hAnsi="Arial" w:cs="Arial"/>
            <w:sz w:val="15"/>
            <w:szCs w:val="15"/>
          </w:rPr>
          <w:t xml:space="preserve">https://tadamon.community/cfa. </w:t>
        </w:r>
      </w:hyperlink>
      <w:proofErr w:type="spellStart"/>
      <w:r w:rsidR="338C5E83" w:rsidRPr="00BC3363">
        <w:rPr>
          <w:rFonts w:ascii="Arial" w:eastAsia="Arial" w:hAnsi="Arial" w:cs="Arial"/>
          <w:sz w:val="15"/>
          <w:szCs w:val="15"/>
        </w:rPr>
        <w:t>Tadamon</w:t>
      </w:r>
      <w:proofErr w:type="spellEnd"/>
      <w:r w:rsidR="338C5E83" w:rsidRPr="00BC3363">
        <w:rPr>
          <w:rFonts w:ascii="Arial" w:eastAsia="Arial" w:hAnsi="Arial" w:cs="Arial"/>
          <w:sz w:val="15"/>
          <w:szCs w:val="15"/>
        </w:rPr>
        <w:t xml:space="preserve"> Crowdfunding Academy was also successfully applied in the UNDP-AFCIA </w:t>
      </w:r>
      <w:proofErr w:type="spellStart"/>
      <w:r w:rsidR="338C5E83" w:rsidRPr="00BC3363">
        <w:rPr>
          <w:rFonts w:ascii="Arial" w:eastAsia="Arial" w:hAnsi="Arial" w:cs="Arial"/>
          <w:sz w:val="15"/>
          <w:szCs w:val="15"/>
        </w:rPr>
        <w:t>programme</w:t>
      </w:r>
      <w:proofErr w:type="spellEnd"/>
      <w:r w:rsidR="338C5E83" w:rsidRPr="00BC3363">
        <w:rPr>
          <w:rFonts w:ascii="Arial" w:eastAsia="Arial" w:hAnsi="Arial" w:cs="Arial"/>
          <w:sz w:val="15"/>
          <w:szCs w:val="15"/>
        </w:rPr>
        <w:t xml:space="preserve"> with evidence of successful crowdfunding campaigns.</w:t>
      </w:r>
    </w:p>
  </w:footnote>
  <w:footnote w:id="135">
    <w:p w14:paraId="13777233" w14:textId="409556E8" w:rsidR="1AE4D4C3" w:rsidRPr="00AA4ACB" w:rsidRDefault="1AE4D4C3" w:rsidP="00AA4ACB">
      <w:pPr>
        <w:spacing w:after="0"/>
        <w:rPr>
          <w:sz w:val="18"/>
          <w:szCs w:val="18"/>
        </w:rPr>
      </w:pPr>
      <w:r w:rsidRPr="00AA4ACB">
        <w:rPr>
          <w:sz w:val="18"/>
          <w:szCs w:val="18"/>
        </w:rPr>
        <w:footnoteRef/>
      </w:r>
      <w:r w:rsidRPr="00AA4ACB">
        <w:rPr>
          <w:sz w:val="18"/>
          <w:szCs w:val="18"/>
        </w:rPr>
        <w:t xml:space="preserve"> </w:t>
      </w:r>
      <w:hyperlink r:id="rId35" w:history="1">
        <w:r w:rsidRPr="00AA4ACB">
          <w:rPr>
            <w:rStyle w:val="Hyperlink"/>
            <w:sz w:val="18"/>
            <w:szCs w:val="18"/>
          </w:rPr>
          <w:t>https://unfccc.int/sites/default/files/resource/FNC%20BiH_ENG%20fin.pdf</w:t>
        </w:r>
      </w:hyperlink>
    </w:p>
  </w:footnote>
  <w:footnote w:id="136">
    <w:p w14:paraId="6FF73F0C" w14:textId="5C8DB826" w:rsidR="6097F6E3" w:rsidRPr="00E03C44" w:rsidRDefault="6097F6E3" w:rsidP="00AA4ACB">
      <w:pPr>
        <w:spacing w:after="0"/>
        <w:rPr>
          <w:sz w:val="15"/>
          <w:szCs w:val="15"/>
        </w:rPr>
      </w:pPr>
      <w:r w:rsidRPr="00AA4ACB">
        <w:rPr>
          <w:sz w:val="18"/>
          <w:szCs w:val="18"/>
        </w:rPr>
        <w:footnoteRef/>
      </w:r>
      <w:r w:rsidR="3DDF65D5" w:rsidRPr="00AA4ACB">
        <w:rPr>
          <w:sz w:val="18"/>
          <w:szCs w:val="18"/>
        </w:rPr>
        <w:t xml:space="preserve"> </w:t>
      </w:r>
      <w:hyperlink r:id="rId36" w:history="1">
        <w:r w:rsidR="3DDF65D5" w:rsidRPr="3DDF65D5">
          <w:rPr>
            <w:rStyle w:val="Hyperlink"/>
            <w:sz w:val="18"/>
            <w:szCs w:val="18"/>
          </w:rPr>
          <w:t>https://unfccc.int/ttclear/TNA/MKD-TNA-TNA_2004.pdf</w:t>
        </w:r>
      </w:hyperlink>
    </w:p>
  </w:footnote>
  <w:footnote w:id="137">
    <w:p w14:paraId="52174023" w14:textId="6EA9C380" w:rsidR="6097F6E3" w:rsidRDefault="6097F6E3">
      <w:r w:rsidRPr="00E03C44">
        <w:rPr>
          <w:vertAlign w:val="superscript"/>
        </w:rPr>
        <w:footnoteRef/>
      </w:r>
      <w:r>
        <w:t xml:space="preserve"> </w:t>
      </w:r>
      <w:hyperlink r:id="rId37" w:history="1">
        <w:r w:rsidR="00E03C44" w:rsidRPr="001232A8">
          <w:rPr>
            <w:rStyle w:val="Hyperlink"/>
            <w:rFonts w:ascii="Arial" w:hAnsi="Arial" w:cs="Arial"/>
            <w:sz w:val="15"/>
            <w:szCs w:val="15"/>
          </w:rPr>
          <w:t>https://www.gov.me/dokumenta/caefb6fa-762c-4e3b-9b11-7f15a6944254</w:t>
        </w:r>
      </w:hyperlink>
    </w:p>
  </w:footnote>
  <w:footnote w:id="138">
    <w:p w14:paraId="7922B56E" w14:textId="3875B1C6" w:rsidR="441409A5" w:rsidRPr="00BC3363" w:rsidRDefault="441409A5" w:rsidP="00622F32">
      <w:pPr>
        <w:spacing w:line="240" w:lineRule="auto"/>
        <w:rPr>
          <w:rFonts w:ascii="Arial" w:hAnsi="Arial" w:cs="Arial"/>
          <w:sz w:val="15"/>
          <w:szCs w:val="15"/>
        </w:rPr>
      </w:pPr>
      <w:r w:rsidRPr="00BC3363">
        <w:rPr>
          <w:rFonts w:ascii="Arial" w:eastAsia="Arial" w:hAnsi="Arial" w:cs="Arial"/>
          <w:sz w:val="15"/>
          <w:szCs w:val="15"/>
        </w:rPr>
        <w:footnoteRef/>
      </w:r>
      <w:r w:rsidR="338C5E83" w:rsidRPr="00BC3363">
        <w:rPr>
          <w:rFonts w:ascii="Arial" w:eastAsia="Arial" w:hAnsi="Arial" w:cs="Arial"/>
          <w:sz w:val="15"/>
          <w:szCs w:val="15"/>
        </w:rPr>
        <w:t xml:space="preserve"> </w:t>
      </w:r>
      <w:r w:rsidR="338C5E83" w:rsidRPr="00BC3363">
        <w:rPr>
          <w:rFonts w:ascii="Arial" w:eastAsia="Arial" w:hAnsi="Arial" w:cs="Arial"/>
          <w:sz w:val="15"/>
          <w:szCs w:val="15"/>
          <w:lang w:val="en-GB"/>
        </w:rPr>
        <w:t>World Bank (2024). Western Balkans 6 Country Climate and Development Report (CCDR).</w:t>
      </w:r>
    </w:p>
  </w:footnote>
  <w:footnote w:id="139">
    <w:p w14:paraId="1B888755" w14:textId="7E7533EE" w:rsidR="441409A5" w:rsidRPr="00BC3363" w:rsidRDefault="441409A5" w:rsidP="00622F32">
      <w:pPr>
        <w:spacing w:line="240" w:lineRule="auto"/>
        <w:rPr>
          <w:rFonts w:ascii="Arial" w:hAnsi="Arial" w:cs="Arial"/>
          <w:sz w:val="15"/>
          <w:szCs w:val="15"/>
        </w:rPr>
      </w:pPr>
      <w:r w:rsidRPr="00BC3363">
        <w:rPr>
          <w:rFonts w:ascii="Arial" w:eastAsia="Arial" w:hAnsi="Arial" w:cs="Arial"/>
          <w:sz w:val="15"/>
          <w:szCs w:val="15"/>
        </w:rPr>
        <w:footnoteRef/>
      </w:r>
      <w:r w:rsidR="338C5E83" w:rsidRPr="00BC3363">
        <w:rPr>
          <w:rFonts w:ascii="Arial" w:eastAsia="Arial" w:hAnsi="Arial" w:cs="Arial"/>
          <w:sz w:val="15"/>
          <w:szCs w:val="15"/>
        </w:rPr>
        <w:t xml:space="preserve"> </w:t>
      </w:r>
      <w:r w:rsidR="338C5E83" w:rsidRPr="00BC3363">
        <w:rPr>
          <w:rFonts w:ascii="Arial" w:eastAsia="Arial" w:hAnsi="Arial" w:cs="Arial"/>
          <w:sz w:val="15"/>
          <w:szCs w:val="15"/>
          <w:lang w:val="en-GB"/>
        </w:rPr>
        <w:t>UNDP (2018). Climate Change Adaptation in Europe and Central Asia: Adapting to a Changing Climate for Resilient Development</w:t>
      </w:r>
    </w:p>
  </w:footnote>
  <w:footnote w:id="140">
    <w:p w14:paraId="2844CC33" w14:textId="144ABE12" w:rsidR="4186447D" w:rsidRPr="00BC3363" w:rsidRDefault="4186447D" w:rsidP="00622F32">
      <w:pPr>
        <w:spacing w:line="240" w:lineRule="auto"/>
        <w:rPr>
          <w:rFonts w:ascii="Arial" w:hAnsi="Arial" w:cs="Arial"/>
          <w:sz w:val="15"/>
          <w:szCs w:val="15"/>
        </w:rPr>
      </w:pPr>
      <w:r w:rsidRPr="00BC3363">
        <w:rPr>
          <w:rFonts w:ascii="Arial" w:eastAsia="Arial" w:hAnsi="Arial" w:cs="Arial"/>
          <w:sz w:val="15"/>
          <w:szCs w:val="15"/>
        </w:rPr>
        <w:footnoteRef/>
      </w:r>
      <w:r w:rsidR="338C5E83" w:rsidRPr="00BC3363">
        <w:rPr>
          <w:rFonts w:ascii="Arial" w:eastAsia="Arial" w:hAnsi="Arial" w:cs="Arial"/>
          <w:sz w:val="15"/>
          <w:szCs w:val="15"/>
        </w:rPr>
        <w:t xml:space="preserve"> </w:t>
      </w:r>
      <w:hyperlink r:id="rId38">
        <w:r w:rsidR="338C5E83" w:rsidRPr="00BC3363">
          <w:rPr>
            <w:rStyle w:val="Hyperlink"/>
            <w:rFonts w:ascii="Arial" w:eastAsia="Arial" w:hAnsi="Arial" w:cs="Arial"/>
            <w:sz w:val="15"/>
            <w:szCs w:val="15"/>
          </w:rPr>
          <w:t>https://www.climatepolicyinitiative.org/publication/global-landscape-of-climate-finance-2024/</w:t>
        </w:r>
      </w:hyperlink>
      <w:r w:rsidR="338C5E83" w:rsidRPr="00BC3363">
        <w:rPr>
          <w:rFonts w:ascii="Arial" w:eastAsia="Arial" w:hAnsi="Arial" w:cs="Arial"/>
          <w:sz w:val="15"/>
          <w:szCs w:val="15"/>
        </w:rPr>
        <w:t xml:space="preserve"> </w:t>
      </w:r>
    </w:p>
  </w:footnote>
  <w:footnote w:id="141">
    <w:p w14:paraId="389BFF40" w14:textId="6E353E4C" w:rsidR="441409A5" w:rsidRPr="00BC3363" w:rsidRDefault="441409A5" w:rsidP="00622F32">
      <w:pPr>
        <w:spacing w:line="240" w:lineRule="auto"/>
        <w:rPr>
          <w:rFonts w:ascii="Arial" w:eastAsia="Arial" w:hAnsi="Arial" w:cs="Arial"/>
          <w:sz w:val="15"/>
          <w:szCs w:val="15"/>
        </w:rPr>
      </w:pPr>
      <w:r w:rsidRPr="00BC3363">
        <w:rPr>
          <w:rFonts w:ascii="Arial" w:eastAsia="Arial" w:hAnsi="Arial" w:cs="Arial"/>
          <w:sz w:val="15"/>
          <w:szCs w:val="15"/>
        </w:rPr>
        <w:footnoteRef/>
      </w:r>
      <w:r w:rsidR="338C5E83" w:rsidRPr="00BC3363">
        <w:rPr>
          <w:rFonts w:ascii="Arial" w:eastAsia="Arial" w:hAnsi="Arial" w:cs="Arial"/>
          <w:sz w:val="15"/>
          <w:szCs w:val="15"/>
        </w:rPr>
        <w:t xml:space="preserve"> OECD/UNCDF (2020; p.112), Blended Finance in the Least Developed Countries 2020: Supporting a Resilient COVID-19 Recovery, OECD Publishing, Paris, https://doi.org/10.1787/57620d04-en.</w:t>
      </w:r>
    </w:p>
  </w:footnote>
  <w:footnote w:id="142">
    <w:p w14:paraId="532C754F" w14:textId="57A60AA9" w:rsidR="00E248E6" w:rsidRPr="00BC3363" w:rsidRDefault="00E248E6" w:rsidP="00622F32">
      <w:pPr>
        <w:spacing w:line="240" w:lineRule="auto"/>
        <w:rPr>
          <w:rFonts w:ascii="Arial" w:hAnsi="Arial" w:cs="Arial"/>
          <w:sz w:val="15"/>
          <w:szCs w:val="15"/>
        </w:rPr>
      </w:pPr>
      <w:r w:rsidRPr="00BC3363">
        <w:rPr>
          <w:rFonts w:ascii="Arial" w:eastAsia="Arial" w:hAnsi="Arial" w:cs="Arial"/>
          <w:sz w:val="15"/>
          <w:szCs w:val="15"/>
        </w:rPr>
        <w:footnoteRef/>
      </w:r>
      <w:r w:rsidRPr="00BC3363">
        <w:rPr>
          <w:rFonts w:ascii="Arial" w:eastAsia="Arial" w:hAnsi="Arial" w:cs="Arial"/>
          <w:sz w:val="15"/>
          <w:szCs w:val="15"/>
        </w:rPr>
        <w:t xml:space="preserve"> These estimates are indicative and will be refined during implementation based on the actual grant size, geographic coverage, and nature of supported innovations. Project will use a robust monitoring and evaluation (M&amp;E) framework to track the actual reach and impact, disaggregated by gender and vulnerability status.</w:t>
      </w:r>
    </w:p>
  </w:footnote>
  <w:footnote w:id="143">
    <w:p w14:paraId="58CFE56A" w14:textId="4FB8310A" w:rsidR="00161A8B" w:rsidRPr="00BC3363" w:rsidRDefault="338C5E83" w:rsidP="00622F32">
      <w:pPr>
        <w:pStyle w:val="MainParanoChapter"/>
        <w:numPr>
          <w:ilvl w:val="0"/>
          <w:numId w:val="0"/>
        </w:numPr>
        <w:contextualSpacing/>
        <w:rPr>
          <w:rFonts w:ascii="Arial" w:eastAsia="Arial" w:hAnsi="Arial" w:cs="Arial"/>
          <w:sz w:val="15"/>
          <w:szCs w:val="15"/>
        </w:rPr>
      </w:pPr>
      <w:r w:rsidRPr="00BC3363">
        <w:rPr>
          <w:rFonts w:ascii="Arial" w:eastAsia="Arial" w:hAnsi="Arial" w:cs="Arial"/>
          <w:sz w:val="15"/>
          <w:szCs w:val="15"/>
        </w:rPr>
        <w:t xml:space="preserve">139 Each Party shall designate and communicate to the secretariat the authority that will endorse on behalf of the national government the projects and </w:t>
      </w:r>
      <w:proofErr w:type="spellStart"/>
      <w:r w:rsidRPr="00BC3363">
        <w:rPr>
          <w:rFonts w:ascii="Arial" w:eastAsia="Arial" w:hAnsi="Arial" w:cs="Arial"/>
          <w:sz w:val="15"/>
          <w:szCs w:val="15"/>
        </w:rPr>
        <w:t>programmes</w:t>
      </w:r>
      <w:proofErr w:type="spellEnd"/>
      <w:r w:rsidRPr="00BC3363">
        <w:rPr>
          <w:rFonts w:ascii="Arial" w:eastAsia="Arial" w:hAnsi="Arial" w:cs="Arial"/>
          <w:sz w:val="15"/>
          <w:szCs w:val="15"/>
        </w:rPr>
        <w:t xml:space="preserve"> proposed by the implementing entities.</w:t>
      </w:r>
    </w:p>
    <w:p w14:paraId="5D057384" w14:textId="2A06232F" w:rsidR="00161A8B" w:rsidRPr="00BC3363" w:rsidRDefault="00161A8B" w:rsidP="00622F32">
      <w:pPr>
        <w:pStyle w:val="MainParanoChapter"/>
        <w:numPr>
          <w:ilvl w:val="0"/>
          <w:numId w:val="0"/>
        </w:numPr>
        <w:contextualSpacing/>
        <w:rPr>
          <w:rFonts w:ascii="Arial" w:eastAsia="Arial" w:hAnsi="Arial" w:cs="Arial"/>
          <w:sz w:val="15"/>
          <w:szCs w:val="15"/>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46F23532" w14:paraId="3DABF22A" w14:textId="77777777" w:rsidTr="46F23532">
      <w:trPr>
        <w:trHeight w:val="300"/>
      </w:trPr>
      <w:tc>
        <w:tcPr>
          <w:tcW w:w="3120" w:type="dxa"/>
        </w:tcPr>
        <w:p w14:paraId="4F5CD9FA" w14:textId="7B0719AE" w:rsidR="46F23532" w:rsidRDefault="46F23532" w:rsidP="46F23532">
          <w:pPr>
            <w:pStyle w:val="Header"/>
            <w:ind w:left="-115"/>
          </w:pPr>
        </w:p>
      </w:tc>
      <w:tc>
        <w:tcPr>
          <w:tcW w:w="3120" w:type="dxa"/>
        </w:tcPr>
        <w:p w14:paraId="29B6FC94" w14:textId="2F02E563" w:rsidR="46F23532" w:rsidRDefault="46F23532" w:rsidP="46F23532">
          <w:pPr>
            <w:pStyle w:val="Header"/>
            <w:jc w:val="center"/>
          </w:pPr>
        </w:p>
      </w:tc>
      <w:tc>
        <w:tcPr>
          <w:tcW w:w="3120" w:type="dxa"/>
        </w:tcPr>
        <w:p w14:paraId="0188F298" w14:textId="78219127" w:rsidR="46F23532" w:rsidRDefault="46F23532" w:rsidP="46F23532">
          <w:pPr>
            <w:pStyle w:val="Header"/>
            <w:ind w:right="-115"/>
            <w:jc w:val="right"/>
          </w:pPr>
        </w:p>
      </w:tc>
    </w:tr>
  </w:tbl>
  <w:p w14:paraId="471BC4FA" w14:textId="1247BF58" w:rsidR="00AA0875" w:rsidRDefault="00AA08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46F23532" w14:paraId="23B8DE55" w14:textId="77777777" w:rsidTr="46F23532">
      <w:trPr>
        <w:trHeight w:val="300"/>
      </w:trPr>
      <w:tc>
        <w:tcPr>
          <w:tcW w:w="3120" w:type="dxa"/>
        </w:tcPr>
        <w:p w14:paraId="0471ADB6" w14:textId="46D49788" w:rsidR="46F23532" w:rsidRDefault="46F23532" w:rsidP="46F23532">
          <w:pPr>
            <w:pStyle w:val="Header"/>
            <w:ind w:left="-115"/>
          </w:pPr>
        </w:p>
      </w:tc>
      <w:tc>
        <w:tcPr>
          <w:tcW w:w="3120" w:type="dxa"/>
        </w:tcPr>
        <w:p w14:paraId="79F6C381" w14:textId="30B1DF20" w:rsidR="46F23532" w:rsidRDefault="46F23532" w:rsidP="46F23532">
          <w:pPr>
            <w:pStyle w:val="Header"/>
            <w:jc w:val="center"/>
          </w:pPr>
        </w:p>
      </w:tc>
      <w:tc>
        <w:tcPr>
          <w:tcW w:w="3120" w:type="dxa"/>
        </w:tcPr>
        <w:p w14:paraId="577D5B52" w14:textId="17FA47FA" w:rsidR="46F23532" w:rsidRDefault="46F23532" w:rsidP="46F23532">
          <w:pPr>
            <w:pStyle w:val="Header"/>
            <w:ind w:right="-115"/>
            <w:jc w:val="right"/>
          </w:pPr>
        </w:p>
      </w:tc>
    </w:tr>
  </w:tbl>
  <w:p w14:paraId="162C114C" w14:textId="1ABB42FA" w:rsidR="00AA0875" w:rsidRDefault="00AA087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46F23532" w14:paraId="6CC69BEA" w14:textId="77777777" w:rsidTr="46F23532">
      <w:trPr>
        <w:trHeight w:val="300"/>
      </w:trPr>
      <w:tc>
        <w:tcPr>
          <w:tcW w:w="3120" w:type="dxa"/>
        </w:tcPr>
        <w:p w14:paraId="57D32BDD" w14:textId="38776BC5" w:rsidR="46F23532" w:rsidRDefault="46F23532" w:rsidP="46F23532">
          <w:pPr>
            <w:pStyle w:val="Header"/>
            <w:ind w:left="-115"/>
          </w:pPr>
        </w:p>
      </w:tc>
      <w:tc>
        <w:tcPr>
          <w:tcW w:w="3120" w:type="dxa"/>
        </w:tcPr>
        <w:p w14:paraId="4CE3DF3F" w14:textId="6FA3EA42" w:rsidR="46F23532" w:rsidRDefault="46F23532" w:rsidP="46F23532">
          <w:pPr>
            <w:pStyle w:val="Header"/>
            <w:jc w:val="center"/>
          </w:pPr>
        </w:p>
      </w:tc>
      <w:tc>
        <w:tcPr>
          <w:tcW w:w="3120" w:type="dxa"/>
        </w:tcPr>
        <w:p w14:paraId="72700B4B" w14:textId="3FBFC8E9" w:rsidR="46F23532" w:rsidRDefault="46F23532" w:rsidP="46F23532">
          <w:pPr>
            <w:pStyle w:val="Header"/>
            <w:ind w:right="-115"/>
            <w:jc w:val="right"/>
          </w:pPr>
        </w:p>
      </w:tc>
    </w:tr>
  </w:tbl>
  <w:p w14:paraId="62728F4F" w14:textId="23512AB9" w:rsidR="00AA0875" w:rsidRDefault="00AA087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46F23532" w14:paraId="19AE2BF5" w14:textId="77777777" w:rsidTr="46F23532">
      <w:trPr>
        <w:trHeight w:val="300"/>
      </w:trPr>
      <w:tc>
        <w:tcPr>
          <w:tcW w:w="3120" w:type="dxa"/>
        </w:tcPr>
        <w:p w14:paraId="14C33F36" w14:textId="047392B3" w:rsidR="46F23532" w:rsidRDefault="46F23532" w:rsidP="46F23532">
          <w:pPr>
            <w:pStyle w:val="Header"/>
            <w:ind w:left="-115"/>
          </w:pPr>
        </w:p>
      </w:tc>
      <w:tc>
        <w:tcPr>
          <w:tcW w:w="3120" w:type="dxa"/>
        </w:tcPr>
        <w:p w14:paraId="2D9CBDD7" w14:textId="23220A60" w:rsidR="46F23532" w:rsidRDefault="46F23532" w:rsidP="46F23532">
          <w:pPr>
            <w:pStyle w:val="Header"/>
            <w:jc w:val="center"/>
          </w:pPr>
        </w:p>
      </w:tc>
      <w:tc>
        <w:tcPr>
          <w:tcW w:w="3120" w:type="dxa"/>
        </w:tcPr>
        <w:p w14:paraId="74A04CD3" w14:textId="6BC04E00" w:rsidR="46F23532" w:rsidRDefault="46F23532" w:rsidP="46F23532">
          <w:pPr>
            <w:pStyle w:val="Header"/>
            <w:ind w:right="-115"/>
            <w:jc w:val="right"/>
          </w:pPr>
        </w:p>
      </w:tc>
    </w:tr>
  </w:tbl>
  <w:p w14:paraId="71EBD1F7" w14:textId="6FB31147" w:rsidR="00AA0875" w:rsidRDefault="00AA087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46F23532" w14:paraId="0C3023B3" w14:textId="77777777" w:rsidTr="46F23532">
      <w:trPr>
        <w:trHeight w:val="300"/>
      </w:trPr>
      <w:tc>
        <w:tcPr>
          <w:tcW w:w="3120" w:type="dxa"/>
        </w:tcPr>
        <w:p w14:paraId="2AB4AB8E" w14:textId="54CC6618" w:rsidR="46F23532" w:rsidRDefault="46F23532" w:rsidP="46F23532">
          <w:pPr>
            <w:pStyle w:val="Header"/>
            <w:ind w:left="-115"/>
          </w:pPr>
        </w:p>
      </w:tc>
      <w:tc>
        <w:tcPr>
          <w:tcW w:w="3120" w:type="dxa"/>
        </w:tcPr>
        <w:p w14:paraId="76D245C8" w14:textId="0504B5DB" w:rsidR="46F23532" w:rsidRDefault="46F23532" w:rsidP="46F23532">
          <w:pPr>
            <w:pStyle w:val="Header"/>
            <w:jc w:val="center"/>
          </w:pPr>
        </w:p>
      </w:tc>
      <w:tc>
        <w:tcPr>
          <w:tcW w:w="3120" w:type="dxa"/>
        </w:tcPr>
        <w:p w14:paraId="0E156CB2" w14:textId="10ED5111" w:rsidR="46F23532" w:rsidRDefault="46F23532" w:rsidP="46F23532">
          <w:pPr>
            <w:pStyle w:val="Header"/>
            <w:ind w:right="-115"/>
            <w:jc w:val="right"/>
          </w:pPr>
        </w:p>
      </w:tc>
    </w:tr>
  </w:tbl>
  <w:p w14:paraId="31680325" w14:textId="1EF9F193" w:rsidR="00AA0875" w:rsidRDefault="00AA087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46F23532" w14:paraId="010B69A3" w14:textId="77777777" w:rsidTr="46F23532">
      <w:trPr>
        <w:trHeight w:val="300"/>
      </w:trPr>
      <w:tc>
        <w:tcPr>
          <w:tcW w:w="3120" w:type="dxa"/>
        </w:tcPr>
        <w:p w14:paraId="1783B96B" w14:textId="040357CB" w:rsidR="46F23532" w:rsidRDefault="46F23532" w:rsidP="46F23532">
          <w:pPr>
            <w:pStyle w:val="Header"/>
            <w:ind w:left="-115"/>
          </w:pPr>
        </w:p>
      </w:tc>
      <w:tc>
        <w:tcPr>
          <w:tcW w:w="3120" w:type="dxa"/>
        </w:tcPr>
        <w:p w14:paraId="783ECF06" w14:textId="0C0AAD3A" w:rsidR="46F23532" w:rsidRDefault="46F23532" w:rsidP="46F23532">
          <w:pPr>
            <w:pStyle w:val="Header"/>
            <w:jc w:val="center"/>
          </w:pPr>
        </w:p>
      </w:tc>
      <w:tc>
        <w:tcPr>
          <w:tcW w:w="3120" w:type="dxa"/>
        </w:tcPr>
        <w:p w14:paraId="2D9EEC10" w14:textId="5B4AE411" w:rsidR="46F23532" w:rsidRDefault="46F23532" w:rsidP="46F23532">
          <w:pPr>
            <w:pStyle w:val="Header"/>
            <w:ind w:right="-115"/>
            <w:jc w:val="right"/>
          </w:pPr>
        </w:p>
      </w:tc>
    </w:tr>
  </w:tbl>
  <w:p w14:paraId="240A17D0" w14:textId="0A058BAB" w:rsidR="00AA0875" w:rsidRDefault="00AA0875">
    <w:pPr>
      <w:pStyle w:val="Header"/>
    </w:pPr>
  </w:p>
</w:hdr>
</file>

<file path=word/intelligence2.xml><?xml version="1.0" encoding="utf-8"?>
<int2:intelligence xmlns:int2="http://schemas.microsoft.com/office/intelligence/2020/intelligence" xmlns:oel="http://schemas.microsoft.com/office/2019/extlst">
  <int2:observations>
    <int2:textHash int2:hashCode="ni8UUdXdlt6RIo" int2:id="NXeB0OoL">
      <int2:state int2:value="Rejected" int2:type="spell"/>
    </int2:textHash>
    <int2:textHash int2:hashCode="QMkj4iUqNhiKNY" int2:id="kYZRn4oR">
      <int2:state int2:value="Rejected" int2:type="spell"/>
    </int2:textHash>
    <int2:bookmark int2:bookmarkName="_Int_CMQUEN4M" int2:invalidationBookmarkName="" int2:hashCode="71vPx9/uVm+LEs" int2:id="Ha9jB0OO">
      <int2:state int2:value="Rejected" int2:type="gram"/>
    </int2:bookmark>
    <int2:bookmark int2:bookmarkName="_Int_24K7j47F" int2:invalidationBookmarkName="" int2:hashCode="xIRrjYG4gX+TNm" int2:id="VDkFiGVV">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5A142CCE"/>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2B20BBD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850C13"/>
    <w:multiLevelType w:val="hybridMultilevel"/>
    <w:tmpl w:val="A9E68DCC"/>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25350DF"/>
    <w:multiLevelType w:val="hybridMultilevel"/>
    <w:tmpl w:val="93BE8A10"/>
    <w:lvl w:ilvl="0" w:tplc="FFFFFFFF">
      <w:start w:val="1"/>
      <w:numFmt w:val="bullet"/>
      <w:lvlText w:val=""/>
      <w:lvlJc w:val="left"/>
      <w:pPr>
        <w:ind w:left="360" w:hanging="360"/>
      </w:pPr>
      <w:rPr>
        <w:rFonts w:ascii="Symbol" w:hAnsi="Symbol" w:hint="default"/>
      </w:rPr>
    </w:lvl>
    <w:lvl w:ilvl="1" w:tplc="7856DED0" w:tentative="1">
      <w:start w:val="1"/>
      <w:numFmt w:val="bullet"/>
      <w:lvlText w:val="o"/>
      <w:lvlJc w:val="left"/>
      <w:pPr>
        <w:ind w:left="1080" w:hanging="360"/>
      </w:pPr>
      <w:rPr>
        <w:rFonts w:ascii="Courier New" w:hAnsi="Courier New" w:hint="default"/>
      </w:rPr>
    </w:lvl>
    <w:lvl w:ilvl="2" w:tplc="4C5E2D42" w:tentative="1">
      <w:start w:val="1"/>
      <w:numFmt w:val="bullet"/>
      <w:lvlText w:val=""/>
      <w:lvlJc w:val="left"/>
      <w:pPr>
        <w:ind w:left="1800" w:hanging="360"/>
      </w:pPr>
      <w:rPr>
        <w:rFonts w:ascii="Wingdings" w:hAnsi="Wingdings" w:hint="default"/>
      </w:rPr>
    </w:lvl>
    <w:lvl w:ilvl="3" w:tplc="B8BA407A" w:tentative="1">
      <w:start w:val="1"/>
      <w:numFmt w:val="bullet"/>
      <w:lvlText w:val=""/>
      <w:lvlJc w:val="left"/>
      <w:pPr>
        <w:ind w:left="2520" w:hanging="360"/>
      </w:pPr>
      <w:rPr>
        <w:rFonts w:ascii="Symbol" w:hAnsi="Symbol" w:hint="default"/>
      </w:rPr>
    </w:lvl>
    <w:lvl w:ilvl="4" w:tplc="01B02E84" w:tentative="1">
      <w:start w:val="1"/>
      <w:numFmt w:val="bullet"/>
      <w:lvlText w:val="o"/>
      <w:lvlJc w:val="left"/>
      <w:pPr>
        <w:ind w:left="3240" w:hanging="360"/>
      </w:pPr>
      <w:rPr>
        <w:rFonts w:ascii="Courier New" w:hAnsi="Courier New" w:hint="default"/>
      </w:rPr>
    </w:lvl>
    <w:lvl w:ilvl="5" w:tplc="E08E6C54" w:tentative="1">
      <w:start w:val="1"/>
      <w:numFmt w:val="bullet"/>
      <w:lvlText w:val=""/>
      <w:lvlJc w:val="left"/>
      <w:pPr>
        <w:ind w:left="3960" w:hanging="360"/>
      </w:pPr>
      <w:rPr>
        <w:rFonts w:ascii="Wingdings" w:hAnsi="Wingdings" w:hint="default"/>
      </w:rPr>
    </w:lvl>
    <w:lvl w:ilvl="6" w:tplc="5986E388" w:tentative="1">
      <w:start w:val="1"/>
      <w:numFmt w:val="bullet"/>
      <w:lvlText w:val=""/>
      <w:lvlJc w:val="left"/>
      <w:pPr>
        <w:ind w:left="4680" w:hanging="360"/>
      </w:pPr>
      <w:rPr>
        <w:rFonts w:ascii="Symbol" w:hAnsi="Symbol" w:hint="default"/>
      </w:rPr>
    </w:lvl>
    <w:lvl w:ilvl="7" w:tplc="8F7AE4E4" w:tentative="1">
      <w:start w:val="1"/>
      <w:numFmt w:val="bullet"/>
      <w:lvlText w:val="o"/>
      <w:lvlJc w:val="left"/>
      <w:pPr>
        <w:ind w:left="5400" w:hanging="360"/>
      </w:pPr>
      <w:rPr>
        <w:rFonts w:ascii="Courier New" w:hAnsi="Courier New" w:hint="default"/>
      </w:rPr>
    </w:lvl>
    <w:lvl w:ilvl="8" w:tplc="8452B654" w:tentative="1">
      <w:start w:val="1"/>
      <w:numFmt w:val="bullet"/>
      <w:lvlText w:val=""/>
      <w:lvlJc w:val="left"/>
      <w:pPr>
        <w:ind w:left="6120" w:hanging="360"/>
      </w:pPr>
      <w:rPr>
        <w:rFonts w:ascii="Wingdings" w:hAnsi="Wingdings" w:hint="default"/>
      </w:rPr>
    </w:lvl>
  </w:abstractNum>
  <w:abstractNum w:abstractNumId="4" w15:restartNumberingAfterBreak="0">
    <w:nsid w:val="04F02E76"/>
    <w:multiLevelType w:val="hybridMultilevel"/>
    <w:tmpl w:val="FFFFFFFF"/>
    <w:lvl w:ilvl="0" w:tplc="0734D4D2">
      <w:start w:val="1"/>
      <w:numFmt w:val="decimal"/>
      <w:lvlText w:val="%1."/>
      <w:lvlJc w:val="left"/>
      <w:pPr>
        <w:ind w:left="720" w:hanging="360"/>
      </w:pPr>
    </w:lvl>
    <w:lvl w:ilvl="1" w:tplc="0936B3D0">
      <w:start w:val="1"/>
      <w:numFmt w:val="lowerLetter"/>
      <w:lvlText w:val="%2."/>
      <w:lvlJc w:val="left"/>
      <w:pPr>
        <w:ind w:left="1440" w:hanging="360"/>
      </w:pPr>
    </w:lvl>
    <w:lvl w:ilvl="2" w:tplc="B5F27904">
      <w:start w:val="1"/>
      <w:numFmt w:val="lowerRoman"/>
      <w:lvlText w:val="%3."/>
      <w:lvlJc w:val="right"/>
      <w:pPr>
        <w:ind w:left="2160" w:hanging="180"/>
      </w:pPr>
    </w:lvl>
    <w:lvl w:ilvl="3" w:tplc="EE8C00AA">
      <w:start w:val="1"/>
      <w:numFmt w:val="decimal"/>
      <w:lvlText w:val="%4."/>
      <w:lvlJc w:val="left"/>
      <w:pPr>
        <w:ind w:left="2880" w:hanging="360"/>
      </w:pPr>
    </w:lvl>
    <w:lvl w:ilvl="4" w:tplc="FC307B28">
      <w:start w:val="1"/>
      <w:numFmt w:val="lowerLetter"/>
      <w:lvlText w:val="%5."/>
      <w:lvlJc w:val="left"/>
      <w:pPr>
        <w:ind w:left="3600" w:hanging="360"/>
      </w:pPr>
    </w:lvl>
    <w:lvl w:ilvl="5" w:tplc="23E8DB3A">
      <w:start w:val="1"/>
      <w:numFmt w:val="lowerRoman"/>
      <w:lvlText w:val="%6."/>
      <w:lvlJc w:val="right"/>
      <w:pPr>
        <w:ind w:left="4320" w:hanging="180"/>
      </w:pPr>
    </w:lvl>
    <w:lvl w:ilvl="6" w:tplc="BBD4493C">
      <w:start w:val="1"/>
      <w:numFmt w:val="decimal"/>
      <w:lvlText w:val="%7."/>
      <w:lvlJc w:val="left"/>
      <w:pPr>
        <w:ind w:left="5040" w:hanging="360"/>
      </w:pPr>
    </w:lvl>
    <w:lvl w:ilvl="7" w:tplc="18BA0476">
      <w:start w:val="1"/>
      <w:numFmt w:val="lowerLetter"/>
      <w:lvlText w:val="%8."/>
      <w:lvlJc w:val="left"/>
      <w:pPr>
        <w:ind w:left="5760" w:hanging="360"/>
      </w:pPr>
    </w:lvl>
    <w:lvl w:ilvl="8" w:tplc="6810A682">
      <w:start w:val="1"/>
      <w:numFmt w:val="lowerRoman"/>
      <w:lvlText w:val="%9."/>
      <w:lvlJc w:val="right"/>
      <w:pPr>
        <w:ind w:left="6480" w:hanging="180"/>
      </w:pPr>
    </w:lvl>
  </w:abstractNum>
  <w:abstractNum w:abstractNumId="5" w15:restartNumberingAfterBreak="0">
    <w:nsid w:val="07921812"/>
    <w:multiLevelType w:val="hybridMultilevel"/>
    <w:tmpl w:val="1CD812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7E63C72"/>
    <w:multiLevelType w:val="hybridMultilevel"/>
    <w:tmpl w:val="3E406BEE"/>
    <w:lvl w:ilvl="0" w:tplc="F814A6FE">
      <w:start w:val="1"/>
      <w:numFmt w:val="bullet"/>
      <w:lvlText w:val=""/>
      <w:lvlJc w:val="left"/>
      <w:pPr>
        <w:ind w:left="720" w:hanging="360"/>
      </w:pPr>
      <w:rPr>
        <w:rFonts w:ascii="Symbol" w:hAnsi="Symbol" w:hint="default"/>
      </w:rPr>
    </w:lvl>
    <w:lvl w:ilvl="1" w:tplc="D632E66C" w:tentative="1">
      <w:start w:val="1"/>
      <w:numFmt w:val="bullet"/>
      <w:lvlText w:val="o"/>
      <w:lvlJc w:val="left"/>
      <w:pPr>
        <w:ind w:left="1440" w:hanging="360"/>
      </w:pPr>
      <w:rPr>
        <w:rFonts w:ascii="Courier New" w:hAnsi="Courier New" w:hint="default"/>
      </w:rPr>
    </w:lvl>
    <w:lvl w:ilvl="2" w:tplc="3F3A11BC" w:tentative="1">
      <w:start w:val="1"/>
      <w:numFmt w:val="bullet"/>
      <w:lvlText w:val=""/>
      <w:lvlJc w:val="left"/>
      <w:pPr>
        <w:ind w:left="2160" w:hanging="360"/>
      </w:pPr>
      <w:rPr>
        <w:rFonts w:ascii="Wingdings" w:hAnsi="Wingdings" w:hint="default"/>
      </w:rPr>
    </w:lvl>
    <w:lvl w:ilvl="3" w:tplc="C3EEF600" w:tentative="1">
      <w:start w:val="1"/>
      <w:numFmt w:val="bullet"/>
      <w:lvlText w:val=""/>
      <w:lvlJc w:val="left"/>
      <w:pPr>
        <w:ind w:left="2880" w:hanging="360"/>
      </w:pPr>
      <w:rPr>
        <w:rFonts w:ascii="Symbol" w:hAnsi="Symbol" w:hint="default"/>
      </w:rPr>
    </w:lvl>
    <w:lvl w:ilvl="4" w:tplc="19A414B4" w:tentative="1">
      <w:start w:val="1"/>
      <w:numFmt w:val="bullet"/>
      <w:lvlText w:val="o"/>
      <w:lvlJc w:val="left"/>
      <w:pPr>
        <w:ind w:left="3600" w:hanging="360"/>
      </w:pPr>
      <w:rPr>
        <w:rFonts w:ascii="Courier New" w:hAnsi="Courier New" w:hint="default"/>
      </w:rPr>
    </w:lvl>
    <w:lvl w:ilvl="5" w:tplc="B3844B3E" w:tentative="1">
      <w:start w:val="1"/>
      <w:numFmt w:val="bullet"/>
      <w:lvlText w:val=""/>
      <w:lvlJc w:val="left"/>
      <w:pPr>
        <w:ind w:left="4320" w:hanging="360"/>
      </w:pPr>
      <w:rPr>
        <w:rFonts w:ascii="Wingdings" w:hAnsi="Wingdings" w:hint="default"/>
      </w:rPr>
    </w:lvl>
    <w:lvl w:ilvl="6" w:tplc="161A6C0E" w:tentative="1">
      <w:start w:val="1"/>
      <w:numFmt w:val="bullet"/>
      <w:lvlText w:val=""/>
      <w:lvlJc w:val="left"/>
      <w:pPr>
        <w:ind w:left="5040" w:hanging="360"/>
      </w:pPr>
      <w:rPr>
        <w:rFonts w:ascii="Symbol" w:hAnsi="Symbol" w:hint="default"/>
      </w:rPr>
    </w:lvl>
    <w:lvl w:ilvl="7" w:tplc="DEC6D46E" w:tentative="1">
      <w:start w:val="1"/>
      <w:numFmt w:val="bullet"/>
      <w:lvlText w:val="o"/>
      <w:lvlJc w:val="left"/>
      <w:pPr>
        <w:ind w:left="5760" w:hanging="360"/>
      </w:pPr>
      <w:rPr>
        <w:rFonts w:ascii="Courier New" w:hAnsi="Courier New" w:hint="default"/>
      </w:rPr>
    </w:lvl>
    <w:lvl w:ilvl="8" w:tplc="3072E9AE" w:tentative="1">
      <w:start w:val="1"/>
      <w:numFmt w:val="bullet"/>
      <w:lvlText w:val=""/>
      <w:lvlJc w:val="left"/>
      <w:pPr>
        <w:ind w:left="6480" w:hanging="360"/>
      </w:pPr>
      <w:rPr>
        <w:rFonts w:ascii="Wingdings" w:hAnsi="Wingdings" w:hint="default"/>
      </w:rPr>
    </w:lvl>
  </w:abstractNum>
  <w:abstractNum w:abstractNumId="7" w15:restartNumberingAfterBreak="0">
    <w:nsid w:val="0818742C"/>
    <w:multiLevelType w:val="hybridMultilevel"/>
    <w:tmpl w:val="FFFFFFFF"/>
    <w:lvl w:ilvl="0" w:tplc="E4426024">
      <w:start w:val="1"/>
      <w:numFmt w:val="decimal"/>
      <w:lvlText w:val="%1."/>
      <w:lvlJc w:val="left"/>
      <w:pPr>
        <w:ind w:left="720" w:hanging="360"/>
      </w:pPr>
    </w:lvl>
    <w:lvl w:ilvl="1" w:tplc="AA46EA4A">
      <w:start w:val="1"/>
      <w:numFmt w:val="lowerLetter"/>
      <w:lvlText w:val="%2."/>
      <w:lvlJc w:val="left"/>
      <w:pPr>
        <w:ind w:left="1440" w:hanging="360"/>
      </w:pPr>
    </w:lvl>
    <w:lvl w:ilvl="2" w:tplc="D05CF55A">
      <w:start w:val="1"/>
      <w:numFmt w:val="lowerRoman"/>
      <w:lvlText w:val="%3."/>
      <w:lvlJc w:val="right"/>
      <w:pPr>
        <w:ind w:left="2160" w:hanging="180"/>
      </w:pPr>
    </w:lvl>
    <w:lvl w:ilvl="3" w:tplc="2DC66114">
      <w:start w:val="1"/>
      <w:numFmt w:val="decimal"/>
      <w:lvlText w:val="%4."/>
      <w:lvlJc w:val="left"/>
      <w:pPr>
        <w:ind w:left="2880" w:hanging="360"/>
      </w:pPr>
    </w:lvl>
    <w:lvl w:ilvl="4" w:tplc="A58A178E">
      <w:start w:val="1"/>
      <w:numFmt w:val="lowerLetter"/>
      <w:lvlText w:val="%5."/>
      <w:lvlJc w:val="left"/>
      <w:pPr>
        <w:ind w:left="3600" w:hanging="360"/>
      </w:pPr>
    </w:lvl>
    <w:lvl w:ilvl="5" w:tplc="FD3EE1C6">
      <w:start w:val="1"/>
      <w:numFmt w:val="lowerRoman"/>
      <w:lvlText w:val="%6."/>
      <w:lvlJc w:val="right"/>
      <w:pPr>
        <w:ind w:left="4320" w:hanging="180"/>
      </w:pPr>
    </w:lvl>
    <w:lvl w:ilvl="6" w:tplc="06D211D0">
      <w:start w:val="1"/>
      <w:numFmt w:val="decimal"/>
      <w:lvlText w:val="%7."/>
      <w:lvlJc w:val="left"/>
      <w:pPr>
        <w:ind w:left="5040" w:hanging="360"/>
      </w:pPr>
    </w:lvl>
    <w:lvl w:ilvl="7" w:tplc="B9E61ED2">
      <w:start w:val="1"/>
      <w:numFmt w:val="lowerLetter"/>
      <w:lvlText w:val="%8."/>
      <w:lvlJc w:val="left"/>
      <w:pPr>
        <w:ind w:left="5760" w:hanging="360"/>
      </w:pPr>
    </w:lvl>
    <w:lvl w:ilvl="8" w:tplc="CC1ABB76">
      <w:start w:val="1"/>
      <w:numFmt w:val="lowerRoman"/>
      <w:lvlText w:val="%9."/>
      <w:lvlJc w:val="right"/>
      <w:pPr>
        <w:ind w:left="6480" w:hanging="180"/>
      </w:pPr>
    </w:lvl>
  </w:abstractNum>
  <w:abstractNum w:abstractNumId="8" w15:restartNumberingAfterBreak="0">
    <w:nsid w:val="082B0D56"/>
    <w:multiLevelType w:val="hybridMultilevel"/>
    <w:tmpl w:val="A17ED206"/>
    <w:lvl w:ilvl="0" w:tplc="F41C6A72">
      <w:start w:val="1"/>
      <w:numFmt w:val="bullet"/>
      <w:lvlText w:val=""/>
      <w:lvlJc w:val="left"/>
      <w:pPr>
        <w:ind w:left="720" w:hanging="360"/>
      </w:pPr>
      <w:rPr>
        <w:rFonts w:ascii="Symbol" w:hAnsi="Symbol" w:hint="default"/>
      </w:rPr>
    </w:lvl>
    <w:lvl w:ilvl="1" w:tplc="286CFA6A" w:tentative="1">
      <w:start w:val="1"/>
      <w:numFmt w:val="bullet"/>
      <w:lvlText w:val="o"/>
      <w:lvlJc w:val="left"/>
      <w:pPr>
        <w:ind w:left="1440" w:hanging="360"/>
      </w:pPr>
      <w:rPr>
        <w:rFonts w:ascii="Courier New" w:hAnsi="Courier New" w:hint="default"/>
      </w:rPr>
    </w:lvl>
    <w:lvl w:ilvl="2" w:tplc="7B608E2C" w:tentative="1">
      <w:start w:val="1"/>
      <w:numFmt w:val="bullet"/>
      <w:lvlText w:val=""/>
      <w:lvlJc w:val="left"/>
      <w:pPr>
        <w:ind w:left="2160" w:hanging="360"/>
      </w:pPr>
      <w:rPr>
        <w:rFonts w:ascii="Wingdings" w:hAnsi="Wingdings" w:hint="default"/>
      </w:rPr>
    </w:lvl>
    <w:lvl w:ilvl="3" w:tplc="CAF01418" w:tentative="1">
      <w:start w:val="1"/>
      <w:numFmt w:val="bullet"/>
      <w:lvlText w:val=""/>
      <w:lvlJc w:val="left"/>
      <w:pPr>
        <w:ind w:left="2880" w:hanging="360"/>
      </w:pPr>
      <w:rPr>
        <w:rFonts w:ascii="Symbol" w:hAnsi="Symbol" w:hint="default"/>
      </w:rPr>
    </w:lvl>
    <w:lvl w:ilvl="4" w:tplc="61381CDC" w:tentative="1">
      <w:start w:val="1"/>
      <w:numFmt w:val="bullet"/>
      <w:lvlText w:val="o"/>
      <w:lvlJc w:val="left"/>
      <w:pPr>
        <w:ind w:left="3600" w:hanging="360"/>
      </w:pPr>
      <w:rPr>
        <w:rFonts w:ascii="Courier New" w:hAnsi="Courier New" w:hint="default"/>
      </w:rPr>
    </w:lvl>
    <w:lvl w:ilvl="5" w:tplc="853CDED4" w:tentative="1">
      <w:start w:val="1"/>
      <w:numFmt w:val="bullet"/>
      <w:lvlText w:val=""/>
      <w:lvlJc w:val="left"/>
      <w:pPr>
        <w:ind w:left="4320" w:hanging="360"/>
      </w:pPr>
      <w:rPr>
        <w:rFonts w:ascii="Wingdings" w:hAnsi="Wingdings" w:hint="default"/>
      </w:rPr>
    </w:lvl>
    <w:lvl w:ilvl="6" w:tplc="2632A3CA" w:tentative="1">
      <w:start w:val="1"/>
      <w:numFmt w:val="bullet"/>
      <w:lvlText w:val=""/>
      <w:lvlJc w:val="left"/>
      <w:pPr>
        <w:ind w:left="5040" w:hanging="360"/>
      </w:pPr>
      <w:rPr>
        <w:rFonts w:ascii="Symbol" w:hAnsi="Symbol" w:hint="default"/>
      </w:rPr>
    </w:lvl>
    <w:lvl w:ilvl="7" w:tplc="2F7C2F14" w:tentative="1">
      <w:start w:val="1"/>
      <w:numFmt w:val="bullet"/>
      <w:lvlText w:val="o"/>
      <w:lvlJc w:val="left"/>
      <w:pPr>
        <w:ind w:left="5760" w:hanging="360"/>
      </w:pPr>
      <w:rPr>
        <w:rFonts w:ascii="Courier New" w:hAnsi="Courier New" w:hint="default"/>
      </w:rPr>
    </w:lvl>
    <w:lvl w:ilvl="8" w:tplc="947ABA7E" w:tentative="1">
      <w:start w:val="1"/>
      <w:numFmt w:val="bullet"/>
      <w:lvlText w:val=""/>
      <w:lvlJc w:val="left"/>
      <w:pPr>
        <w:ind w:left="6480" w:hanging="360"/>
      </w:pPr>
      <w:rPr>
        <w:rFonts w:ascii="Wingdings" w:hAnsi="Wingdings" w:hint="default"/>
      </w:rPr>
    </w:lvl>
  </w:abstractNum>
  <w:abstractNum w:abstractNumId="9" w15:restartNumberingAfterBreak="0">
    <w:nsid w:val="08DEC69E"/>
    <w:multiLevelType w:val="hybridMultilevel"/>
    <w:tmpl w:val="FFFFFFFF"/>
    <w:lvl w:ilvl="0" w:tplc="2F6CC6F2">
      <w:start w:val="1"/>
      <w:numFmt w:val="bullet"/>
      <w:lvlText w:val=""/>
      <w:lvlJc w:val="left"/>
      <w:pPr>
        <w:ind w:left="720" w:hanging="360"/>
      </w:pPr>
      <w:rPr>
        <w:rFonts w:ascii="Symbol" w:hAnsi="Symbol" w:hint="default"/>
      </w:rPr>
    </w:lvl>
    <w:lvl w:ilvl="1" w:tplc="E620E11E">
      <w:start w:val="1"/>
      <w:numFmt w:val="bullet"/>
      <w:lvlText w:val="o"/>
      <w:lvlJc w:val="left"/>
      <w:pPr>
        <w:ind w:left="1440" w:hanging="360"/>
      </w:pPr>
      <w:rPr>
        <w:rFonts w:ascii="Courier New" w:hAnsi="Courier New" w:hint="default"/>
      </w:rPr>
    </w:lvl>
    <w:lvl w:ilvl="2" w:tplc="EFD8D020">
      <w:start w:val="1"/>
      <w:numFmt w:val="bullet"/>
      <w:lvlText w:val=""/>
      <w:lvlJc w:val="left"/>
      <w:pPr>
        <w:ind w:left="2160" w:hanging="360"/>
      </w:pPr>
      <w:rPr>
        <w:rFonts w:ascii="Wingdings" w:hAnsi="Wingdings" w:hint="default"/>
      </w:rPr>
    </w:lvl>
    <w:lvl w:ilvl="3" w:tplc="FF502E96">
      <w:start w:val="1"/>
      <w:numFmt w:val="bullet"/>
      <w:lvlText w:val=""/>
      <w:lvlJc w:val="left"/>
      <w:pPr>
        <w:ind w:left="2880" w:hanging="360"/>
      </w:pPr>
      <w:rPr>
        <w:rFonts w:ascii="Symbol" w:hAnsi="Symbol" w:hint="default"/>
      </w:rPr>
    </w:lvl>
    <w:lvl w:ilvl="4" w:tplc="93A80FEC">
      <w:start w:val="1"/>
      <w:numFmt w:val="bullet"/>
      <w:lvlText w:val="o"/>
      <w:lvlJc w:val="left"/>
      <w:pPr>
        <w:ind w:left="3600" w:hanging="360"/>
      </w:pPr>
      <w:rPr>
        <w:rFonts w:ascii="Courier New" w:hAnsi="Courier New" w:hint="default"/>
      </w:rPr>
    </w:lvl>
    <w:lvl w:ilvl="5" w:tplc="2D56C352">
      <w:start w:val="1"/>
      <w:numFmt w:val="bullet"/>
      <w:lvlText w:val=""/>
      <w:lvlJc w:val="left"/>
      <w:pPr>
        <w:ind w:left="4320" w:hanging="360"/>
      </w:pPr>
      <w:rPr>
        <w:rFonts w:ascii="Wingdings" w:hAnsi="Wingdings" w:hint="default"/>
      </w:rPr>
    </w:lvl>
    <w:lvl w:ilvl="6" w:tplc="970C0BBC">
      <w:start w:val="1"/>
      <w:numFmt w:val="bullet"/>
      <w:lvlText w:val=""/>
      <w:lvlJc w:val="left"/>
      <w:pPr>
        <w:ind w:left="5040" w:hanging="360"/>
      </w:pPr>
      <w:rPr>
        <w:rFonts w:ascii="Symbol" w:hAnsi="Symbol" w:hint="default"/>
      </w:rPr>
    </w:lvl>
    <w:lvl w:ilvl="7" w:tplc="709CAC72">
      <w:start w:val="1"/>
      <w:numFmt w:val="bullet"/>
      <w:lvlText w:val="o"/>
      <w:lvlJc w:val="left"/>
      <w:pPr>
        <w:ind w:left="5760" w:hanging="360"/>
      </w:pPr>
      <w:rPr>
        <w:rFonts w:ascii="Courier New" w:hAnsi="Courier New" w:hint="default"/>
      </w:rPr>
    </w:lvl>
    <w:lvl w:ilvl="8" w:tplc="190C41B4">
      <w:start w:val="1"/>
      <w:numFmt w:val="bullet"/>
      <w:lvlText w:val=""/>
      <w:lvlJc w:val="left"/>
      <w:pPr>
        <w:ind w:left="6480" w:hanging="360"/>
      </w:pPr>
      <w:rPr>
        <w:rFonts w:ascii="Wingdings" w:hAnsi="Wingdings" w:hint="default"/>
      </w:rPr>
    </w:lvl>
  </w:abstractNum>
  <w:abstractNum w:abstractNumId="10" w15:restartNumberingAfterBreak="0">
    <w:nsid w:val="09D17EDC"/>
    <w:multiLevelType w:val="hybridMultilevel"/>
    <w:tmpl w:val="FFFFFFFF"/>
    <w:lvl w:ilvl="0" w:tplc="ECD8C8F6">
      <w:start w:val="1"/>
      <w:numFmt w:val="bullet"/>
      <w:lvlText w:val=""/>
      <w:lvlJc w:val="left"/>
      <w:pPr>
        <w:ind w:left="720" w:hanging="360"/>
      </w:pPr>
      <w:rPr>
        <w:rFonts w:ascii="Symbol" w:hAnsi="Symbol" w:hint="default"/>
      </w:rPr>
    </w:lvl>
    <w:lvl w:ilvl="1" w:tplc="345041E2">
      <w:start w:val="1"/>
      <w:numFmt w:val="bullet"/>
      <w:lvlText w:val="o"/>
      <w:lvlJc w:val="left"/>
      <w:pPr>
        <w:ind w:left="1440" w:hanging="360"/>
      </w:pPr>
      <w:rPr>
        <w:rFonts w:ascii="Courier New" w:hAnsi="Courier New" w:hint="default"/>
      </w:rPr>
    </w:lvl>
    <w:lvl w:ilvl="2" w:tplc="E7621F76">
      <w:start w:val="1"/>
      <w:numFmt w:val="bullet"/>
      <w:lvlText w:val=""/>
      <w:lvlJc w:val="left"/>
      <w:pPr>
        <w:ind w:left="2160" w:hanging="360"/>
      </w:pPr>
      <w:rPr>
        <w:rFonts w:ascii="Wingdings" w:hAnsi="Wingdings" w:hint="default"/>
      </w:rPr>
    </w:lvl>
    <w:lvl w:ilvl="3" w:tplc="5334753E">
      <w:start w:val="1"/>
      <w:numFmt w:val="bullet"/>
      <w:lvlText w:val=""/>
      <w:lvlJc w:val="left"/>
      <w:pPr>
        <w:ind w:left="2880" w:hanging="360"/>
      </w:pPr>
      <w:rPr>
        <w:rFonts w:ascii="Symbol" w:hAnsi="Symbol" w:hint="default"/>
      </w:rPr>
    </w:lvl>
    <w:lvl w:ilvl="4" w:tplc="5EFC45B2">
      <w:start w:val="1"/>
      <w:numFmt w:val="bullet"/>
      <w:lvlText w:val="o"/>
      <w:lvlJc w:val="left"/>
      <w:pPr>
        <w:ind w:left="3600" w:hanging="360"/>
      </w:pPr>
      <w:rPr>
        <w:rFonts w:ascii="Courier New" w:hAnsi="Courier New" w:hint="default"/>
      </w:rPr>
    </w:lvl>
    <w:lvl w:ilvl="5" w:tplc="35F699A0">
      <w:start w:val="1"/>
      <w:numFmt w:val="bullet"/>
      <w:lvlText w:val=""/>
      <w:lvlJc w:val="left"/>
      <w:pPr>
        <w:ind w:left="4320" w:hanging="360"/>
      </w:pPr>
      <w:rPr>
        <w:rFonts w:ascii="Wingdings" w:hAnsi="Wingdings" w:hint="default"/>
      </w:rPr>
    </w:lvl>
    <w:lvl w:ilvl="6" w:tplc="2132BD6A">
      <w:start w:val="1"/>
      <w:numFmt w:val="bullet"/>
      <w:lvlText w:val=""/>
      <w:lvlJc w:val="left"/>
      <w:pPr>
        <w:ind w:left="5040" w:hanging="360"/>
      </w:pPr>
      <w:rPr>
        <w:rFonts w:ascii="Symbol" w:hAnsi="Symbol" w:hint="default"/>
      </w:rPr>
    </w:lvl>
    <w:lvl w:ilvl="7" w:tplc="1B920FAC">
      <w:start w:val="1"/>
      <w:numFmt w:val="bullet"/>
      <w:lvlText w:val="o"/>
      <w:lvlJc w:val="left"/>
      <w:pPr>
        <w:ind w:left="5760" w:hanging="360"/>
      </w:pPr>
      <w:rPr>
        <w:rFonts w:ascii="Courier New" w:hAnsi="Courier New" w:hint="default"/>
      </w:rPr>
    </w:lvl>
    <w:lvl w:ilvl="8" w:tplc="B036A892">
      <w:start w:val="1"/>
      <w:numFmt w:val="bullet"/>
      <w:lvlText w:val=""/>
      <w:lvlJc w:val="left"/>
      <w:pPr>
        <w:ind w:left="6480" w:hanging="360"/>
      </w:pPr>
      <w:rPr>
        <w:rFonts w:ascii="Wingdings" w:hAnsi="Wingdings" w:hint="default"/>
      </w:rPr>
    </w:lvl>
  </w:abstractNum>
  <w:abstractNum w:abstractNumId="11" w15:restartNumberingAfterBreak="0">
    <w:nsid w:val="0AEB58A1"/>
    <w:multiLevelType w:val="hybridMultilevel"/>
    <w:tmpl w:val="FFFFFFFF"/>
    <w:lvl w:ilvl="0" w:tplc="D8A2695A">
      <w:start w:val="1"/>
      <w:numFmt w:val="decimal"/>
      <w:lvlText w:val="%1."/>
      <w:lvlJc w:val="left"/>
      <w:pPr>
        <w:ind w:left="720" w:hanging="360"/>
      </w:pPr>
    </w:lvl>
    <w:lvl w:ilvl="1" w:tplc="039CCC4E">
      <w:start w:val="1"/>
      <w:numFmt w:val="lowerLetter"/>
      <w:lvlText w:val="%2."/>
      <w:lvlJc w:val="left"/>
      <w:pPr>
        <w:ind w:left="1440" w:hanging="360"/>
      </w:pPr>
    </w:lvl>
    <w:lvl w:ilvl="2" w:tplc="528C3432">
      <w:start w:val="1"/>
      <w:numFmt w:val="lowerRoman"/>
      <w:lvlText w:val="%3."/>
      <w:lvlJc w:val="right"/>
      <w:pPr>
        <w:ind w:left="2160" w:hanging="180"/>
      </w:pPr>
    </w:lvl>
    <w:lvl w:ilvl="3" w:tplc="AFFCD492">
      <w:start w:val="1"/>
      <w:numFmt w:val="decimal"/>
      <w:lvlText w:val="%4."/>
      <w:lvlJc w:val="left"/>
      <w:pPr>
        <w:ind w:left="2880" w:hanging="360"/>
      </w:pPr>
    </w:lvl>
    <w:lvl w:ilvl="4" w:tplc="67B6175A">
      <w:start w:val="1"/>
      <w:numFmt w:val="lowerLetter"/>
      <w:lvlText w:val="%5."/>
      <w:lvlJc w:val="left"/>
      <w:pPr>
        <w:ind w:left="3600" w:hanging="360"/>
      </w:pPr>
    </w:lvl>
    <w:lvl w:ilvl="5" w:tplc="54C0D8CC">
      <w:start w:val="1"/>
      <w:numFmt w:val="lowerRoman"/>
      <w:lvlText w:val="%6."/>
      <w:lvlJc w:val="right"/>
      <w:pPr>
        <w:ind w:left="4320" w:hanging="180"/>
      </w:pPr>
    </w:lvl>
    <w:lvl w:ilvl="6" w:tplc="C644991E">
      <w:start w:val="1"/>
      <w:numFmt w:val="decimal"/>
      <w:lvlText w:val="%7."/>
      <w:lvlJc w:val="left"/>
      <w:pPr>
        <w:ind w:left="5040" w:hanging="360"/>
      </w:pPr>
    </w:lvl>
    <w:lvl w:ilvl="7" w:tplc="9E302326">
      <w:start w:val="1"/>
      <w:numFmt w:val="lowerLetter"/>
      <w:lvlText w:val="%8."/>
      <w:lvlJc w:val="left"/>
      <w:pPr>
        <w:ind w:left="5760" w:hanging="360"/>
      </w:pPr>
    </w:lvl>
    <w:lvl w:ilvl="8" w:tplc="C43846A4">
      <w:start w:val="1"/>
      <w:numFmt w:val="lowerRoman"/>
      <w:lvlText w:val="%9."/>
      <w:lvlJc w:val="right"/>
      <w:pPr>
        <w:ind w:left="6480" w:hanging="180"/>
      </w:pPr>
    </w:lvl>
  </w:abstractNum>
  <w:abstractNum w:abstractNumId="12" w15:restartNumberingAfterBreak="0">
    <w:nsid w:val="0B031CB7"/>
    <w:multiLevelType w:val="hybridMultilevel"/>
    <w:tmpl w:val="6650A660"/>
    <w:lvl w:ilvl="0" w:tplc="6EC879E4">
      <w:start w:val="1"/>
      <w:numFmt w:val="upperLetter"/>
      <w:lvlText w:val="%1."/>
      <w:lvlJc w:val="left"/>
      <w:pPr>
        <w:tabs>
          <w:tab w:val="num" w:pos="720"/>
        </w:tabs>
        <w:ind w:left="720" w:hanging="360"/>
      </w:pPr>
      <w:rPr>
        <w:rFonts w:ascii="Arial" w:hAnsi="Arial" w:hint="default"/>
        <w:b/>
        <w:sz w:val="22"/>
        <w:szCs w:val="24"/>
      </w:rPr>
    </w:lvl>
    <w:lvl w:ilvl="1" w:tplc="9CBEB902">
      <w:start w:val="1"/>
      <w:numFmt w:val="lowerLetter"/>
      <w:lvlText w:val="%2."/>
      <w:lvlJc w:val="left"/>
      <w:pPr>
        <w:tabs>
          <w:tab w:val="num" w:pos="1440"/>
        </w:tabs>
        <w:ind w:left="1440" w:hanging="360"/>
      </w:pPr>
    </w:lvl>
    <w:lvl w:ilvl="2" w:tplc="30FCA164" w:tentative="1">
      <w:start w:val="1"/>
      <w:numFmt w:val="lowerRoman"/>
      <w:lvlText w:val="%3."/>
      <w:lvlJc w:val="right"/>
      <w:pPr>
        <w:tabs>
          <w:tab w:val="num" w:pos="2160"/>
        </w:tabs>
        <w:ind w:left="2160" w:hanging="180"/>
      </w:pPr>
    </w:lvl>
    <w:lvl w:ilvl="3" w:tplc="F27035CC" w:tentative="1">
      <w:start w:val="1"/>
      <w:numFmt w:val="decimal"/>
      <w:lvlText w:val="%4."/>
      <w:lvlJc w:val="left"/>
      <w:pPr>
        <w:tabs>
          <w:tab w:val="num" w:pos="2880"/>
        </w:tabs>
        <w:ind w:left="2880" w:hanging="360"/>
      </w:pPr>
    </w:lvl>
    <w:lvl w:ilvl="4" w:tplc="575CB4F4" w:tentative="1">
      <w:start w:val="1"/>
      <w:numFmt w:val="lowerLetter"/>
      <w:lvlText w:val="%5."/>
      <w:lvlJc w:val="left"/>
      <w:pPr>
        <w:tabs>
          <w:tab w:val="num" w:pos="3600"/>
        </w:tabs>
        <w:ind w:left="3600" w:hanging="360"/>
      </w:pPr>
    </w:lvl>
    <w:lvl w:ilvl="5" w:tplc="95266CCA" w:tentative="1">
      <w:start w:val="1"/>
      <w:numFmt w:val="lowerRoman"/>
      <w:lvlText w:val="%6."/>
      <w:lvlJc w:val="right"/>
      <w:pPr>
        <w:tabs>
          <w:tab w:val="num" w:pos="4320"/>
        </w:tabs>
        <w:ind w:left="4320" w:hanging="180"/>
      </w:pPr>
    </w:lvl>
    <w:lvl w:ilvl="6" w:tplc="E26AB2DE" w:tentative="1">
      <w:start w:val="1"/>
      <w:numFmt w:val="decimal"/>
      <w:lvlText w:val="%7."/>
      <w:lvlJc w:val="left"/>
      <w:pPr>
        <w:tabs>
          <w:tab w:val="num" w:pos="5040"/>
        </w:tabs>
        <w:ind w:left="5040" w:hanging="360"/>
      </w:pPr>
    </w:lvl>
    <w:lvl w:ilvl="7" w:tplc="8EDE6BBE" w:tentative="1">
      <w:start w:val="1"/>
      <w:numFmt w:val="lowerLetter"/>
      <w:lvlText w:val="%8."/>
      <w:lvlJc w:val="left"/>
      <w:pPr>
        <w:tabs>
          <w:tab w:val="num" w:pos="5760"/>
        </w:tabs>
        <w:ind w:left="5760" w:hanging="360"/>
      </w:pPr>
    </w:lvl>
    <w:lvl w:ilvl="8" w:tplc="D0FAB518" w:tentative="1">
      <w:start w:val="1"/>
      <w:numFmt w:val="lowerRoman"/>
      <w:lvlText w:val="%9."/>
      <w:lvlJc w:val="right"/>
      <w:pPr>
        <w:tabs>
          <w:tab w:val="num" w:pos="6480"/>
        </w:tabs>
        <w:ind w:left="6480" w:hanging="180"/>
      </w:pPr>
    </w:lvl>
  </w:abstractNum>
  <w:abstractNum w:abstractNumId="13" w15:restartNumberingAfterBreak="0">
    <w:nsid w:val="0BB16A6B"/>
    <w:multiLevelType w:val="hybridMultilevel"/>
    <w:tmpl w:val="1A4648F2"/>
    <w:lvl w:ilvl="0" w:tplc="E0FCA0F2">
      <w:start w:val="1"/>
      <w:numFmt w:val="bullet"/>
      <w:lvlText w:val=""/>
      <w:lvlJc w:val="left"/>
      <w:pPr>
        <w:ind w:left="720" w:hanging="360"/>
      </w:pPr>
      <w:rPr>
        <w:rFonts w:ascii="Symbol" w:hAnsi="Symbol" w:hint="default"/>
      </w:rPr>
    </w:lvl>
    <w:lvl w:ilvl="1" w:tplc="10DC466C">
      <w:start w:val="1"/>
      <w:numFmt w:val="bullet"/>
      <w:lvlText w:val="o"/>
      <w:lvlJc w:val="left"/>
      <w:pPr>
        <w:ind w:left="1440" w:hanging="360"/>
      </w:pPr>
      <w:rPr>
        <w:rFonts w:ascii="Courier New" w:hAnsi="Courier New" w:hint="default"/>
      </w:rPr>
    </w:lvl>
    <w:lvl w:ilvl="2" w:tplc="17E05424">
      <w:start w:val="1"/>
      <w:numFmt w:val="bullet"/>
      <w:lvlText w:val=""/>
      <w:lvlJc w:val="left"/>
      <w:pPr>
        <w:ind w:left="2160" w:hanging="360"/>
      </w:pPr>
      <w:rPr>
        <w:rFonts w:ascii="Wingdings" w:hAnsi="Wingdings" w:hint="default"/>
      </w:rPr>
    </w:lvl>
    <w:lvl w:ilvl="3" w:tplc="5F84D860">
      <w:start w:val="1"/>
      <w:numFmt w:val="bullet"/>
      <w:lvlText w:val=""/>
      <w:lvlJc w:val="left"/>
      <w:pPr>
        <w:ind w:left="2880" w:hanging="360"/>
      </w:pPr>
      <w:rPr>
        <w:rFonts w:ascii="Symbol" w:hAnsi="Symbol" w:hint="default"/>
      </w:rPr>
    </w:lvl>
    <w:lvl w:ilvl="4" w:tplc="76C84624">
      <w:start w:val="1"/>
      <w:numFmt w:val="bullet"/>
      <w:lvlText w:val="o"/>
      <w:lvlJc w:val="left"/>
      <w:pPr>
        <w:ind w:left="3600" w:hanging="360"/>
      </w:pPr>
      <w:rPr>
        <w:rFonts w:ascii="Courier New" w:hAnsi="Courier New" w:hint="default"/>
      </w:rPr>
    </w:lvl>
    <w:lvl w:ilvl="5" w:tplc="4C7A73AA">
      <w:start w:val="1"/>
      <w:numFmt w:val="bullet"/>
      <w:lvlText w:val=""/>
      <w:lvlJc w:val="left"/>
      <w:pPr>
        <w:ind w:left="4320" w:hanging="360"/>
      </w:pPr>
      <w:rPr>
        <w:rFonts w:ascii="Wingdings" w:hAnsi="Wingdings" w:hint="default"/>
      </w:rPr>
    </w:lvl>
    <w:lvl w:ilvl="6" w:tplc="C414BC50">
      <w:start w:val="1"/>
      <w:numFmt w:val="bullet"/>
      <w:lvlText w:val=""/>
      <w:lvlJc w:val="left"/>
      <w:pPr>
        <w:ind w:left="5040" w:hanging="360"/>
      </w:pPr>
      <w:rPr>
        <w:rFonts w:ascii="Symbol" w:hAnsi="Symbol" w:hint="default"/>
      </w:rPr>
    </w:lvl>
    <w:lvl w:ilvl="7" w:tplc="C2FE1C06">
      <w:start w:val="1"/>
      <w:numFmt w:val="bullet"/>
      <w:lvlText w:val="o"/>
      <w:lvlJc w:val="left"/>
      <w:pPr>
        <w:ind w:left="5760" w:hanging="360"/>
      </w:pPr>
      <w:rPr>
        <w:rFonts w:ascii="Courier New" w:hAnsi="Courier New" w:hint="default"/>
      </w:rPr>
    </w:lvl>
    <w:lvl w:ilvl="8" w:tplc="9B80F404">
      <w:start w:val="1"/>
      <w:numFmt w:val="bullet"/>
      <w:lvlText w:val=""/>
      <w:lvlJc w:val="left"/>
      <w:pPr>
        <w:ind w:left="6480" w:hanging="360"/>
      </w:pPr>
      <w:rPr>
        <w:rFonts w:ascii="Wingdings" w:hAnsi="Wingdings" w:hint="default"/>
      </w:rPr>
    </w:lvl>
  </w:abstractNum>
  <w:abstractNum w:abstractNumId="14" w15:restartNumberingAfterBreak="0">
    <w:nsid w:val="0CA593C9"/>
    <w:multiLevelType w:val="hybridMultilevel"/>
    <w:tmpl w:val="FFFFFFFF"/>
    <w:lvl w:ilvl="0" w:tplc="088AE32A">
      <w:start w:val="1"/>
      <w:numFmt w:val="bullet"/>
      <w:lvlText w:val=""/>
      <w:lvlJc w:val="left"/>
      <w:pPr>
        <w:ind w:left="720" w:hanging="360"/>
      </w:pPr>
      <w:rPr>
        <w:rFonts w:ascii="Symbol" w:hAnsi="Symbol" w:hint="default"/>
      </w:rPr>
    </w:lvl>
    <w:lvl w:ilvl="1" w:tplc="45B0DCE4">
      <w:start w:val="1"/>
      <w:numFmt w:val="bullet"/>
      <w:lvlText w:val="o"/>
      <w:lvlJc w:val="left"/>
      <w:pPr>
        <w:ind w:left="1440" w:hanging="360"/>
      </w:pPr>
      <w:rPr>
        <w:rFonts w:ascii="Courier New" w:hAnsi="Courier New" w:hint="default"/>
      </w:rPr>
    </w:lvl>
    <w:lvl w:ilvl="2" w:tplc="ACD29752">
      <w:start w:val="1"/>
      <w:numFmt w:val="bullet"/>
      <w:lvlText w:val=""/>
      <w:lvlJc w:val="left"/>
      <w:pPr>
        <w:ind w:left="2160" w:hanging="360"/>
      </w:pPr>
      <w:rPr>
        <w:rFonts w:ascii="Wingdings" w:hAnsi="Wingdings" w:hint="default"/>
      </w:rPr>
    </w:lvl>
    <w:lvl w:ilvl="3" w:tplc="B4B62FF8">
      <w:start w:val="1"/>
      <w:numFmt w:val="bullet"/>
      <w:lvlText w:val=""/>
      <w:lvlJc w:val="left"/>
      <w:pPr>
        <w:ind w:left="2880" w:hanging="360"/>
      </w:pPr>
      <w:rPr>
        <w:rFonts w:ascii="Symbol" w:hAnsi="Symbol" w:hint="default"/>
      </w:rPr>
    </w:lvl>
    <w:lvl w:ilvl="4" w:tplc="A7062628">
      <w:start w:val="1"/>
      <w:numFmt w:val="bullet"/>
      <w:lvlText w:val="o"/>
      <w:lvlJc w:val="left"/>
      <w:pPr>
        <w:ind w:left="3600" w:hanging="360"/>
      </w:pPr>
      <w:rPr>
        <w:rFonts w:ascii="Courier New" w:hAnsi="Courier New" w:hint="default"/>
      </w:rPr>
    </w:lvl>
    <w:lvl w:ilvl="5" w:tplc="30B6196A">
      <w:start w:val="1"/>
      <w:numFmt w:val="bullet"/>
      <w:lvlText w:val=""/>
      <w:lvlJc w:val="left"/>
      <w:pPr>
        <w:ind w:left="4320" w:hanging="360"/>
      </w:pPr>
      <w:rPr>
        <w:rFonts w:ascii="Wingdings" w:hAnsi="Wingdings" w:hint="default"/>
      </w:rPr>
    </w:lvl>
    <w:lvl w:ilvl="6" w:tplc="6B0AC29C">
      <w:start w:val="1"/>
      <w:numFmt w:val="bullet"/>
      <w:lvlText w:val=""/>
      <w:lvlJc w:val="left"/>
      <w:pPr>
        <w:ind w:left="5040" w:hanging="360"/>
      </w:pPr>
      <w:rPr>
        <w:rFonts w:ascii="Symbol" w:hAnsi="Symbol" w:hint="default"/>
      </w:rPr>
    </w:lvl>
    <w:lvl w:ilvl="7" w:tplc="5A027B78">
      <w:start w:val="1"/>
      <w:numFmt w:val="bullet"/>
      <w:lvlText w:val="o"/>
      <w:lvlJc w:val="left"/>
      <w:pPr>
        <w:ind w:left="5760" w:hanging="360"/>
      </w:pPr>
      <w:rPr>
        <w:rFonts w:ascii="Courier New" w:hAnsi="Courier New" w:hint="default"/>
      </w:rPr>
    </w:lvl>
    <w:lvl w:ilvl="8" w:tplc="3A58BCD6">
      <w:start w:val="1"/>
      <w:numFmt w:val="bullet"/>
      <w:lvlText w:val=""/>
      <w:lvlJc w:val="left"/>
      <w:pPr>
        <w:ind w:left="6480" w:hanging="360"/>
      </w:pPr>
      <w:rPr>
        <w:rFonts w:ascii="Wingdings" w:hAnsi="Wingdings" w:hint="default"/>
      </w:rPr>
    </w:lvl>
  </w:abstractNum>
  <w:abstractNum w:abstractNumId="15" w15:restartNumberingAfterBreak="0">
    <w:nsid w:val="0CF5B0DD"/>
    <w:multiLevelType w:val="hybridMultilevel"/>
    <w:tmpl w:val="FFFFFFFF"/>
    <w:lvl w:ilvl="0" w:tplc="FEF0E0B8">
      <w:start w:val="1"/>
      <w:numFmt w:val="bullet"/>
      <w:lvlText w:val=""/>
      <w:lvlJc w:val="left"/>
      <w:pPr>
        <w:ind w:left="720" w:hanging="360"/>
      </w:pPr>
      <w:rPr>
        <w:rFonts w:ascii="Symbol" w:hAnsi="Symbol" w:hint="default"/>
      </w:rPr>
    </w:lvl>
    <w:lvl w:ilvl="1" w:tplc="AA2ABB62">
      <w:start w:val="1"/>
      <w:numFmt w:val="bullet"/>
      <w:lvlText w:val="o"/>
      <w:lvlJc w:val="left"/>
      <w:pPr>
        <w:ind w:left="1440" w:hanging="360"/>
      </w:pPr>
      <w:rPr>
        <w:rFonts w:ascii="Courier New" w:hAnsi="Courier New" w:hint="default"/>
      </w:rPr>
    </w:lvl>
    <w:lvl w:ilvl="2" w:tplc="1DA0066E">
      <w:start w:val="1"/>
      <w:numFmt w:val="bullet"/>
      <w:lvlText w:val=""/>
      <w:lvlJc w:val="left"/>
      <w:pPr>
        <w:ind w:left="2160" w:hanging="360"/>
      </w:pPr>
      <w:rPr>
        <w:rFonts w:ascii="Wingdings" w:hAnsi="Wingdings" w:hint="default"/>
      </w:rPr>
    </w:lvl>
    <w:lvl w:ilvl="3" w:tplc="0B16AFD4">
      <w:start w:val="1"/>
      <w:numFmt w:val="bullet"/>
      <w:lvlText w:val=""/>
      <w:lvlJc w:val="left"/>
      <w:pPr>
        <w:ind w:left="2880" w:hanging="360"/>
      </w:pPr>
      <w:rPr>
        <w:rFonts w:ascii="Symbol" w:hAnsi="Symbol" w:hint="default"/>
      </w:rPr>
    </w:lvl>
    <w:lvl w:ilvl="4" w:tplc="F800BAC8">
      <w:start w:val="1"/>
      <w:numFmt w:val="bullet"/>
      <w:lvlText w:val="o"/>
      <w:lvlJc w:val="left"/>
      <w:pPr>
        <w:ind w:left="3600" w:hanging="360"/>
      </w:pPr>
      <w:rPr>
        <w:rFonts w:ascii="Courier New" w:hAnsi="Courier New" w:hint="default"/>
      </w:rPr>
    </w:lvl>
    <w:lvl w:ilvl="5" w:tplc="3EE08D24">
      <w:start w:val="1"/>
      <w:numFmt w:val="bullet"/>
      <w:lvlText w:val=""/>
      <w:lvlJc w:val="left"/>
      <w:pPr>
        <w:ind w:left="4320" w:hanging="360"/>
      </w:pPr>
      <w:rPr>
        <w:rFonts w:ascii="Wingdings" w:hAnsi="Wingdings" w:hint="default"/>
      </w:rPr>
    </w:lvl>
    <w:lvl w:ilvl="6" w:tplc="1C28AC06">
      <w:start w:val="1"/>
      <w:numFmt w:val="bullet"/>
      <w:lvlText w:val=""/>
      <w:lvlJc w:val="left"/>
      <w:pPr>
        <w:ind w:left="5040" w:hanging="360"/>
      </w:pPr>
      <w:rPr>
        <w:rFonts w:ascii="Symbol" w:hAnsi="Symbol" w:hint="default"/>
      </w:rPr>
    </w:lvl>
    <w:lvl w:ilvl="7" w:tplc="10E0DE10">
      <w:start w:val="1"/>
      <w:numFmt w:val="bullet"/>
      <w:lvlText w:val="o"/>
      <w:lvlJc w:val="left"/>
      <w:pPr>
        <w:ind w:left="5760" w:hanging="360"/>
      </w:pPr>
      <w:rPr>
        <w:rFonts w:ascii="Courier New" w:hAnsi="Courier New" w:hint="default"/>
      </w:rPr>
    </w:lvl>
    <w:lvl w:ilvl="8" w:tplc="B9AED884">
      <w:start w:val="1"/>
      <w:numFmt w:val="bullet"/>
      <w:lvlText w:val=""/>
      <w:lvlJc w:val="left"/>
      <w:pPr>
        <w:ind w:left="6480" w:hanging="360"/>
      </w:pPr>
      <w:rPr>
        <w:rFonts w:ascii="Wingdings" w:hAnsi="Wingdings" w:hint="default"/>
      </w:rPr>
    </w:lvl>
  </w:abstractNum>
  <w:abstractNum w:abstractNumId="16" w15:restartNumberingAfterBreak="0">
    <w:nsid w:val="0DF23D56"/>
    <w:multiLevelType w:val="hybridMultilevel"/>
    <w:tmpl w:val="845E7E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F2A7EF4"/>
    <w:multiLevelType w:val="hybridMultilevel"/>
    <w:tmpl w:val="D5628DB2"/>
    <w:lvl w:ilvl="0" w:tplc="78C478D4">
      <w:start w:val="1"/>
      <w:numFmt w:val="upperLetter"/>
      <w:lvlText w:val="%1."/>
      <w:lvlJc w:val="left"/>
      <w:pPr>
        <w:ind w:left="375" w:hanging="37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11332A20"/>
    <w:multiLevelType w:val="hybridMultilevel"/>
    <w:tmpl w:val="FFFFFFFF"/>
    <w:lvl w:ilvl="0" w:tplc="C2E20B34">
      <w:start w:val="1"/>
      <w:numFmt w:val="decimal"/>
      <w:lvlText w:val="%1."/>
      <w:lvlJc w:val="left"/>
      <w:pPr>
        <w:ind w:left="720" w:hanging="360"/>
      </w:pPr>
    </w:lvl>
    <w:lvl w:ilvl="1" w:tplc="24B0BC3C">
      <w:start w:val="1"/>
      <w:numFmt w:val="lowerLetter"/>
      <w:lvlText w:val="%2."/>
      <w:lvlJc w:val="left"/>
      <w:pPr>
        <w:ind w:left="1440" w:hanging="360"/>
      </w:pPr>
    </w:lvl>
    <w:lvl w:ilvl="2" w:tplc="02946722">
      <w:start w:val="1"/>
      <w:numFmt w:val="lowerRoman"/>
      <w:lvlText w:val="%3."/>
      <w:lvlJc w:val="right"/>
      <w:pPr>
        <w:ind w:left="2160" w:hanging="180"/>
      </w:pPr>
    </w:lvl>
    <w:lvl w:ilvl="3" w:tplc="DF1E1864">
      <w:start w:val="1"/>
      <w:numFmt w:val="decimal"/>
      <w:lvlText w:val="%4."/>
      <w:lvlJc w:val="left"/>
      <w:pPr>
        <w:ind w:left="2880" w:hanging="360"/>
      </w:pPr>
    </w:lvl>
    <w:lvl w:ilvl="4" w:tplc="0E2E50BA">
      <w:start w:val="1"/>
      <w:numFmt w:val="lowerLetter"/>
      <w:lvlText w:val="%5."/>
      <w:lvlJc w:val="left"/>
      <w:pPr>
        <w:ind w:left="3600" w:hanging="360"/>
      </w:pPr>
    </w:lvl>
    <w:lvl w:ilvl="5" w:tplc="71A42A24">
      <w:start w:val="1"/>
      <w:numFmt w:val="lowerRoman"/>
      <w:lvlText w:val="%6."/>
      <w:lvlJc w:val="right"/>
      <w:pPr>
        <w:ind w:left="4320" w:hanging="180"/>
      </w:pPr>
    </w:lvl>
    <w:lvl w:ilvl="6" w:tplc="35EE42D0">
      <w:start w:val="1"/>
      <w:numFmt w:val="decimal"/>
      <w:lvlText w:val="%7."/>
      <w:lvlJc w:val="left"/>
      <w:pPr>
        <w:ind w:left="5040" w:hanging="360"/>
      </w:pPr>
    </w:lvl>
    <w:lvl w:ilvl="7" w:tplc="734C9048">
      <w:start w:val="1"/>
      <w:numFmt w:val="lowerLetter"/>
      <w:lvlText w:val="%8."/>
      <w:lvlJc w:val="left"/>
      <w:pPr>
        <w:ind w:left="5760" w:hanging="360"/>
      </w:pPr>
    </w:lvl>
    <w:lvl w:ilvl="8" w:tplc="95D4492C">
      <w:start w:val="1"/>
      <w:numFmt w:val="lowerRoman"/>
      <w:lvlText w:val="%9."/>
      <w:lvlJc w:val="right"/>
      <w:pPr>
        <w:ind w:left="6480" w:hanging="180"/>
      </w:pPr>
    </w:lvl>
  </w:abstractNum>
  <w:abstractNum w:abstractNumId="19" w15:restartNumberingAfterBreak="0">
    <w:nsid w:val="129F41AE"/>
    <w:multiLevelType w:val="hybridMultilevel"/>
    <w:tmpl w:val="FFFFFFFF"/>
    <w:lvl w:ilvl="0" w:tplc="84D67CCE">
      <w:start w:val="1"/>
      <w:numFmt w:val="decimal"/>
      <w:lvlText w:val="%1."/>
      <w:lvlJc w:val="left"/>
      <w:pPr>
        <w:ind w:left="720" w:hanging="360"/>
      </w:pPr>
    </w:lvl>
    <w:lvl w:ilvl="1" w:tplc="4AE0EE00">
      <w:start w:val="1"/>
      <w:numFmt w:val="lowerLetter"/>
      <w:lvlText w:val="%2."/>
      <w:lvlJc w:val="left"/>
      <w:pPr>
        <w:ind w:left="1440" w:hanging="360"/>
      </w:pPr>
    </w:lvl>
    <w:lvl w:ilvl="2" w:tplc="400A522C">
      <w:start w:val="1"/>
      <w:numFmt w:val="lowerRoman"/>
      <w:lvlText w:val="%3."/>
      <w:lvlJc w:val="right"/>
      <w:pPr>
        <w:ind w:left="2160" w:hanging="180"/>
      </w:pPr>
    </w:lvl>
    <w:lvl w:ilvl="3" w:tplc="D83E6752">
      <w:start w:val="1"/>
      <w:numFmt w:val="decimal"/>
      <w:lvlText w:val="%4."/>
      <w:lvlJc w:val="left"/>
      <w:pPr>
        <w:ind w:left="2880" w:hanging="360"/>
      </w:pPr>
    </w:lvl>
    <w:lvl w:ilvl="4" w:tplc="4120EEEE">
      <w:start w:val="1"/>
      <w:numFmt w:val="lowerLetter"/>
      <w:lvlText w:val="%5."/>
      <w:lvlJc w:val="left"/>
      <w:pPr>
        <w:ind w:left="3600" w:hanging="360"/>
      </w:pPr>
    </w:lvl>
    <w:lvl w:ilvl="5" w:tplc="DE841FB0">
      <w:start w:val="1"/>
      <w:numFmt w:val="lowerRoman"/>
      <w:lvlText w:val="%6."/>
      <w:lvlJc w:val="right"/>
      <w:pPr>
        <w:ind w:left="4320" w:hanging="180"/>
      </w:pPr>
    </w:lvl>
    <w:lvl w:ilvl="6" w:tplc="F0EE596C">
      <w:start w:val="1"/>
      <w:numFmt w:val="decimal"/>
      <w:lvlText w:val="%7."/>
      <w:lvlJc w:val="left"/>
      <w:pPr>
        <w:ind w:left="5040" w:hanging="360"/>
      </w:pPr>
    </w:lvl>
    <w:lvl w:ilvl="7" w:tplc="1108DB72">
      <w:start w:val="1"/>
      <w:numFmt w:val="lowerLetter"/>
      <w:lvlText w:val="%8."/>
      <w:lvlJc w:val="left"/>
      <w:pPr>
        <w:ind w:left="5760" w:hanging="360"/>
      </w:pPr>
    </w:lvl>
    <w:lvl w:ilvl="8" w:tplc="5B74DC3E">
      <w:start w:val="1"/>
      <w:numFmt w:val="lowerRoman"/>
      <w:lvlText w:val="%9."/>
      <w:lvlJc w:val="right"/>
      <w:pPr>
        <w:ind w:left="6480" w:hanging="180"/>
      </w:pPr>
    </w:lvl>
  </w:abstractNum>
  <w:abstractNum w:abstractNumId="20" w15:restartNumberingAfterBreak="0">
    <w:nsid w:val="14FFB405"/>
    <w:multiLevelType w:val="hybridMultilevel"/>
    <w:tmpl w:val="7EEA6B5C"/>
    <w:lvl w:ilvl="0" w:tplc="289C2B56">
      <w:start w:val="1"/>
      <w:numFmt w:val="bullet"/>
      <w:lvlText w:val=""/>
      <w:lvlJc w:val="left"/>
      <w:pPr>
        <w:ind w:left="720" w:hanging="360"/>
      </w:pPr>
      <w:rPr>
        <w:rFonts w:ascii="Symbol" w:hAnsi="Symbol" w:hint="default"/>
      </w:rPr>
    </w:lvl>
    <w:lvl w:ilvl="1" w:tplc="DC22C32C">
      <w:start w:val="1"/>
      <w:numFmt w:val="bullet"/>
      <w:lvlText w:val="o"/>
      <w:lvlJc w:val="left"/>
      <w:pPr>
        <w:ind w:left="1440" w:hanging="360"/>
      </w:pPr>
      <w:rPr>
        <w:rFonts w:ascii="Courier New" w:hAnsi="Courier New" w:hint="default"/>
      </w:rPr>
    </w:lvl>
    <w:lvl w:ilvl="2" w:tplc="05306B0E">
      <w:start w:val="1"/>
      <w:numFmt w:val="bullet"/>
      <w:lvlText w:val=""/>
      <w:lvlJc w:val="left"/>
      <w:pPr>
        <w:ind w:left="2160" w:hanging="360"/>
      </w:pPr>
      <w:rPr>
        <w:rFonts w:ascii="Wingdings" w:hAnsi="Wingdings" w:hint="default"/>
      </w:rPr>
    </w:lvl>
    <w:lvl w:ilvl="3" w:tplc="7B840A14">
      <w:start w:val="1"/>
      <w:numFmt w:val="bullet"/>
      <w:lvlText w:val=""/>
      <w:lvlJc w:val="left"/>
      <w:pPr>
        <w:ind w:left="2880" w:hanging="360"/>
      </w:pPr>
      <w:rPr>
        <w:rFonts w:ascii="Symbol" w:hAnsi="Symbol" w:hint="default"/>
      </w:rPr>
    </w:lvl>
    <w:lvl w:ilvl="4" w:tplc="FA88D490">
      <w:start w:val="1"/>
      <w:numFmt w:val="bullet"/>
      <w:lvlText w:val="o"/>
      <w:lvlJc w:val="left"/>
      <w:pPr>
        <w:ind w:left="3600" w:hanging="360"/>
      </w:pPr>
      <w:rPr>
        <w:rFonts w:ascii="Courier New" w:hAnsi="Courier New" w:hint="default"/>
      </w:rPr>
    </w:lvl>
    <w:lvl w:ilvl="5" w:tplc="24B0FF12">
      <w:start w:val="1"/>
      <w:numFmt w:val="bullet"/>
      <w:lvlText w:val=""/>
      <w:lvlJc w:val="left"/>
      <w:pPr>
        <w:ind w:left="4320" w:hanging="360"/>
      </w:pPr>
      <w:rPr>
        <w:rFonts w:ascii="Wingdings" w:hAnsi="Wingdings" w:hint="default"/>
      </w:rPr>
    </w:lvl>
    <w:lvl w:ilvl="6" w:tplc="147AF652">
      <w:start w:val="1"/>
      <w:numFmt w:val="bullet"/>
      <w:lvlText w:val=""/>
      <w:lvlJc w:val="left"/>
      <w:pPr>
        <w:ind w:left="5040" w:hanging="360"/>
      </w:pPr>
      <w:rPr>
        <w:rFonts w:ascii="Symbol" w:hAnsi="Symbol" w:hint="default"/>
      </w:rPr>
    </w:lvl>
    <w:lvl w:ilvl="7" w:tplc="5B86801E">
      <w:start w:val="1"/>
      <w:numFmt w:val="bullet"/>
      <w:lvlText w:val="o"/>
      <w:lvlJc w:val="left"/>
      <w:pPr>
        <w:ind w:left="5760" w:hanging="360"/>
      </w:pPr>
      <w:rPr>
        <w:rFonts w:ascii="Courier New" w:hAnsi="Courier New" w:hint="default"/>
      </w:rPr>
    </w:lvl>
    <w:lvl w:ilvl="8" w:tplc="8CDC6458">
      <w:start w:val="1"/>
      <w:numFmt w:val="bullet"/>
      <w:lvlText w:val=""/>
      <w:lvlJc w:val="left"/>
      <w:pPr>
        <w:ind w:left="6480" w:hanging="360"/>
      </w:pPr>
      <w:rPr>
        <w:rFonts w:ascii="Wingdings" w:hAnsi="Wingdings" w:hint="default"/>
      </w:rPr>
    </w:lvl>
  </w:abstractNum>
  <w:abstractNum w:abstractNumId="21" w15:restartNumberingAfterBreak="0">
    <w:nsid w:val="16E6A240"/>
    <w:multiLevelType w:val="hybridMultilevel"/>
    <w:tmpl w:val="FFFFFFFF"/>
    <w:lvl w:ilvl="0" w:tplc="DE36438A">
      <w:start w:val="1"/>
      <w:numFmt w:val="decimal"/>
      <w:lvlText w:val="%1."/>
      <w:lvlJc w:val="left"/>
      <w:pPr>
        <w:ind w:left="720" w:hanging="360"/>
      </w:pPr>
    </w:lvl>
    <w:lvl w:ilvl="1" w:tplc="57C48E70">
      <w:start w:val="1"/>
      <w:numFmt w:val="lowerLetter"/>
      <w:lvlText w:val="%2."/>
      <w:lvlJc w:val="left"/>
      <w:pPr>
        <w:ind w:left="1440" w:hanging="360"/>
      </w:pPr>
    </w:lvl>
    <w:lvl w:ilvl="2" w:tplc="00FC22CC">
      <w:start w:val="1"/>
      <w:numFmt w:val="lowerRoman"/>
      <w:lvlText w:val="%3."/>
      <w:lvlJc w:val="right"/>
      <w:pPr>
        <w:ind w:left="2160" w:hanging="180"/>
      </w:pPr>
    </w:lvl>
    <w:lvl w:ilvl="3" w:tplc="3F366BA4">
      <w:start w:val="1"/>
      <w:numFmt w:val="decimal"/>
      <w:lvlText w:val="%4."/>
      <w:lvlJc w:val="left"/>
      <w:pPr>
        <w:ind w:left="2880" w:hanging="360"/>
      </w:pPr>
    </w:lvl>
    <w:lvl w:ilvl="4" w:tplc="03CACF66">
      <w:start w:val="1"/>
      <w:numFmt w:val="lowerLetter"/>
      <w:lvlText w:val="%5."/>
      <w:lvlJc w:val="left"/>
      <w:pPr>
        <w:ind w:left="3600" w:hanging="360"/>
      </w:pPr>
    </w:lvl>
    <w:lvl w:ilvl="5" w:tplc="11E2544C">
      <w:start w:val="1"/>
      <w:numFmt w:val="lowerRoman"/>
      <w:lvlText w:val="%6."/>
      <w:lvlJc w:val="right"/>
      <w:pPr>
        <w:ind w:left="4320" w:hanging="180"/>
      </w:pPr>
    </w:lvl>
    <w:lvl w:ilvl="6" w:tplc="76202F9C">
      <w:start w:val="1"/>
      <w:numFmt w:val="decimal"/>
      <w:lvlText w:val="%7."/>
      <w:lvlJc w:val="left"/>
      <w:pPr>
        <w:ind w:left="5040" w:hanging="360"/>
      </w:pPr>
    </w:lvl>
    <w:lvl w:ilvl="7" w:tplc="FE4A2578">
      <w:start w:val="1"/>
      <w:numFmt w:val="lowerLetter"/>
      <w:lvlText w:val="%8."/>
      <w:lvlJc w:val="left"/>
      <w:pPr>
        <w:ind w:left="5760" w:hanging="360"/>
      </w:pPr>
    </w:lvl>
    <w:lvl w:ilvl="8" w:tplc="D2A81664">
      <w:start w:val="1"/>
      <w:numFmt w:val="lowerRoman"/>
      <w:lvlText w:val="%9."/>
      <w:lvlJc w:val="right"/>
      <w:pPr>
        <w:ind w:left="6480" w:hanging="180"/>
      </w:pPr>
    </w:lvl>
  </w:abstractNum>
  <w:abstractNum w:abstractNumId="22" w15:restartNumberingAfterBreak="0">
    <w:nsid w:val="17F014D4"/>
    <w:multiLevelType w:val="hybridMultilevel"/>
    <w:tmpl w:val="928CAC36"/>
    <w:lvl w:ilvl="0" w:tplc="A100EED8">
      <w:start w:val="1"/>
      <w:numFmt w:val="bullet"/>
      <w:lvlText w:val=""/>
      <w:lvlJc w:val="left"/>
      <w:pPr>
        <w:ind w:left="720" w:hanging="360"/>
      </w:pPr>
      <w:rPr>
        <w:rFonts w:ascii="Symbol" w:hAnsi="Symbol" w:hint="default"/>
      </w:rPr>
    </w:lvl>
    <w:lvl w:ilvl="1" w:tplc="522CF370" w:tentative="1">
      <w:start w:val="1"/>
      <w:numFmt w:val="bullet"/>
      <w:lvlText w:val="o"/>
      <w:lvlJc w:val="left"/>
      <w:pPr>
        <w:ind w:left="1440" w:hanging="360"/>
      </w:pPr>
      <w:rPr>
        <w:rFonts w:ascii="Courier New" w:hAnsi="Courier New" w:hint="default"/>
      </w:rPr>
    </w:lvl>
    <w:lvl w:ilvl="2" w:tplc="D0B89FDA" w:tentative="1">
      <w:start w:val="1"/>
      <w:numFmt w:val="bullet"/>
      <w:lvlText w:val=""/>
      <w:lvlJc w:val="left"/>
      <w:pPr>
        <w:ind w:left="2160" w:hanging="360"/>
      </w:pPr>
      <w:rPr>
        <w:rFonts w:ascii="Wingdings" w:hAnsi="Wingdings" w:hint="default"/>
      </w:rPr>
    </w:lvl>
    <w:lvl w:ilvl="3" w:tplc="DF427586" w:tentative="1">
      <w:start w:val="1"/>
      <w:numFmt w:val="bullet"/>
      <w:lvlText w:val=""/>
      <w:lvlJc w:val="left"/>
      <w:pPr>
        <w:ind w:left="2880" w:hanging="360"/>
      </w:pPr>
      <w:rPr>
        <w:rFonts w:ascii="Symbol" w:hAnsi="Symbol" w:hint="default"/>
      </w:rPr>
    </w:lvl>
    <w:lvl w:ilvl="4" w:tplc="24E490F8" w:tentative="1">
      <w:start w:val="1"/>
      <w:numFmt w:val="bullet"/>
      <w:lvlText w:val="o"/>
      <w:lvlJc w:val="left"/>
      <w:pPr>
        <w:ind w:left="3600" w:hanging="360"/>
      </w:pPr>
      <w:rPr>
        <w:rFonts w:ascii="Courier New" w:hAnsi="Courier New" w:hint="default"/>
      </w:rPr>
    </w:lvl>
    <w:lvl w:ilvl="5" w:tplc="25881BC6" w:tentative="1">
      <w:start w:val="1"/>
      <w:numFmt w:val="bullet"/>
      <w:lvlText w:val=""/>
      <w:lvlJc w:val="left"/>
      <w:pPr>
        <w:ind w:left="4320" w:hanging="360"/>
      </w:pPr>
      <w:rPr>
        <w:rFonts w:ascii="Wingdings" w:hAnsi="Wingdings" w:hint="default"/>
      </w:rPr>
    </w:lvl>
    <w:lvl w:ilvl="6" w:tplc="D3FE455C" w:tentative="1">
      <w:start w:val="1"/>
      <w:numFmt w:val="bullet"/>
      <w:lvlText w:val=""/>
      <w:lvlJc w:val="left"/>
      <w:pPr>
        <w:ind w:left="5040" w:hanging="360"/>
      </w:pPr>
      <w:rPr>
        <w:rFonts w:ascii="Symbol" w:hAnsi="Symbol" w:hint="default"/>
      </w:rPr>
    </w:lvl>
    <w:lvl w:ilvl="7" w:tplc="3B104DC8" w:tentative="1">
      <w:start w:val="1"/>
      <w:numFmt w:val="bullet"/>
      <w:lvlText w:val="o"/>
      <w:lvlJc w:val="left"/>
      <w:pPr>
        <w:ind w:left="5760" w:hanging="360"/>
      </w:pPr>
      <w:rPr>
        <w:rFonts w:ascii="Courier New" w:hAnsi="Courier New" w:hint="default"/>
      </w:rPr>
    </w:lvl>
    <w:lvl w:ilvl="8" w:tplc="5308DA74" w:tentative="1">
      <w:start w:val="1"/>
      <w:numFmt w:val="bullet"/>
      <w:lvlText w:val=""/>
      <w:lvlJc w:val="left"/>
      <w:pPr>
        <w:ind w:left="6480" w:hanging="360"/>
      </w:pPr>
      <w:rPr>
        <w:rFonts w:ascii="Wingdings" w:hAnsi="Wingdings" w:hint="default"/>
      </w:rPr>
    </w:lvl>
  </w:abstractNum>
  <w:abstractNum w:abstractNumId="23" w15:restartNumberingAfterBreak="0">
    <w:nsid w:val="194D8A34"/>
    <w:multiLevelType w:val="hybridMultilevel"/>
    <w:tmpl w:val="FFFFFFFF"/>
    <w:lvl w:ilvl="0" w:tplc="30AECEE0">
      <w:start w:val="1"/>
      <w:numFmt w:val="decimal"/>
      <w:lvlText w:val="%1."/>
      <w:lvlJc w:val="left"/>
      <w:pPr>
        <w:ind w:left="720" w:hanging="360"/>
      </w:pPr>
    </w:lvl>
    <w:lvl w:ilvl="1" w:tplc="E688A9A2">
      <w:start w:val="1"/>
      <w:numFmt w:val="lowerLetter"/>
      <w:lvlText w:val="%2."/>
      <w:lvlJc w:val="left"/>
      <w:pPr>
        <w:ind w:left="1440" w:hanging="360"/>
      </w:pPr>
    </w:lvl>
    <w:lvl w:ilvl="2" w:tplc="2D64E25E">
      <w:start w:val="1"/>
      <w:numFmt w:val="lowerRoman"/>
      <w:lvlText w:val="%3."/>
      <w:lvlJc w:val="right"/>
      <w:pPr>
        <w:ind w:left="2160" w:hanging="180"/>
      </w:pPr>
    </w:lvl>
    <w:lvl w:ilvl="3" w:tplc="C206E6A2">
      <w:start w:val="1"/>
      <w:numFmt w:val="decimal"/>
      <w:lvlText w:val="%4."/>
      <w:lvlJc w:val="left"/>
      <w:pPr>
        <w:ind w:left="2880" w:hanging="360"/>
      </w:pPr>
    </w:lvl>
    <w:lvl w:ilvl="4" w:tplc="5AA02BC6">
      <w:start w:val="1"/>
      <w:numFmt w:val="lowerLetter"/>
      <w:lvlText w:val="%5."/>
      <w:lvlJc w:val="left"/>
      <w:pPr>
        <w:ind w:left="3600" w:hanging="360"/>
      </w:pPr>
    </w:lvl>
    <w:lvl w:ilvl="5" w:tplc="C4D23452">
      <w:start w:val="1"/>
      <w:numFmt w:val="lowerRoman"/>
      <w:lvlText w:val="%6."/>
      <w:lvlJc w:val="right"/>
      <w:pPr>
        <w:ind w:left="4320" w:hanging="180"/>
      </w:pPr>
    </w:lvl>
    <w:lvl w:ilvl="6" w:tplc="85241A5C">
      <w:start w:val="1"/>
      <w:numFmt w:val="decimal"/>
      <w:lvlText w:val="%7."/>
      <w:lvlJc w:val="left"/>
      <w:pPr>
        <w:ind w:left="5040" w:hanging="360"/>
      </w:pPr>
    </w:lvl>
    <w:lvl w:ilvl="7" w:tplc="A08A600C">
      <w:start w:val="1"/>
      <w:numFmt w:val="lowerLetter"/>
      <w:lvlText w:val="%8."/>
      <w:lvlJc w:val="left"/>
      <w:pPr>
        <w:ind w:left="5760" w:hanging="360"/>
      </w:pPr>
    </w:lvl>
    <w:lvl w:ilvl="8" w:tplc="395A8F04">
      <w:start w:val="1"/>
      <w:numFmt w:val="lowerRoman"/>
      <w:lvlText w:val="%9."/>
      <w:lvlJc w:val="right"/>
      <w:pPr>
        <w:ind w:left="6480" w:hanging="180"/>
      </w:pPr>
    </w:lvl>
  </w:abstractNum>
  <w:abstractNum w:abstractNumId="24" w15:restartNumberingAfterBreak="0">
    <w:nsid w:val="1CABF2C8"/>
    <w:multiLevelType w:val="hybridMultilevel"/>
    <w:tmpl w:val="FFFFFFFF"/>
    <w:lvl w:ilvl="0" w:tplc="65B41CEE">
      <w:start w:val="1"/>
      <w:numFmt w:val="bullet"/>
      <w:lvlText w:val="o"/>
      <w:lvlJc w:val="left"/>
      <w:pPr>
        <w:ind w:left="1800" w:hanging="360"/>
      </w:pPr>
      <w:rPr>
        <w:rFonts w:ascii="Courier New" w:hAnsi="Courier New" w:hint="default"/>
      </w:rPr>
    </w:lvl>
    <w:lvl w:ilvl="1" w:tplc="4F8E64EE">
      <w:start w:val="1"/>
      <w:numFmt w:val="bullet"/>
      <w:lvlText w:val="o"/>
      <w:lvlJc w:val="left"/>
      <w:pPr>
        <w:ind w:left="2520" w:hanging="360"/>
      </w:pPr>
      <w:rPr>
        <w:rFonts w:ascii="Courier New" w:hAnsi="Courier New" w:hint="default"/>
      </w:rPr>
    </w:lvl>
    <w:lvl w:ilvl="2" w:tplc="83689B26">
      <w:start w:val="1"/>
      <w:numFmt w:val="bullet"/>
      <w:lvlText w:val=""/>
      <w:lvlJc w:val="left"/>
      <w:pPr>
        <w:ind w:left="3240" w:hanging="360"/>
      </w:pPr>
      <w:rPr>
        <w:rFonts w:ascii="Wingdings" w:hAnsi="Wingdings" w:hint="default"/>
      </w:rPr>
    </w:lvl>
    <w:lvl w:ilvl="3" w:tplc="9EA6CBDE">
      <w:start w:val="1"/>
      <w:numFmt w:val="bullet"/>
      <w:lvlText w:val=""/>
      <w:lvlJc w:val="left"/>
      <w:pPr>
        <w:ind w:left="3960" w:hanging="360"/>
      </w:pPr>
      <w:rPr>
        <w:rFonts w:ascii="Symbol" w:hAnsi="Symbol" w:hint="default"/>
      </w:rPr>
    </w:lvl>
    <w:lvl w:ilvl="4" w:tplc="79B0E72E">
      <w:start w:val="1"/>
      <w:numFmt w:val="bullet"/>
      <w:lvlText w:val="o"/>
      <w:lvlJc w:val="left"/>
      <w:pPr>
        <w:ind w:left="4680" w:hanging="360"/>
      </w:pPr>
      <w:rPr>
        <w:rFonts w:ascii="Courier New" w:hAnsi="Courier New" w:hint="default"/>
      </w:rPr>
    </w:lvl>
    <w:lvl w:ilvl="5" w:tplc="6546AD88">
      <w:start w:val="1"/>
      <w:numFmt w:val="bullet"/>
      <w:lvlText w:val=""/>
      <w:lvlJc w:val="left"/>
      <w:pPr>
        <w:ind w:left="5400" w:hanging="360"/>
      </w:pPr>
      <w:rPr>
        <w:rFonts w:ascii="Wingdings" w:hAnsi="Wingdings" w:hint="default"/>
      </w:rPr>
    </w:lvl>
    <w:lvl w:ilvl="6" w:tplc="BFD627BE">
      <w:start w:val="1"/>
      <w:numFmt w:val="bullet"/>
      <w:lvlText w:val=""/>
      <w:lvlJc w:val="left"/>
      <w:pPr>
        <w:ind w:left="6120" w:hanging="360"/>
      </w:pPr>
      <w:rPr>
        <w:rFonts w:ascii="Symbol" w:hAnsi="Symbol" w:hint="default"/>
      </w:rPr>
    </w:lvl>
    <w:lvl w:ilvl="7" w:tplc="E74CD782">
      <w:start w:val="1"/>
      <w:numFmt w:val="bullet"/>
      <w:lvlText w:val="o"/>
      <w:lvlJc w:val="left"/>
      <w:pPr>
        <w:ind w:left="6840" w:hanging="360"/>
      </w:pPr>
      <w:rPr>
        <w:rFonts w:ascii="Courier New" w:hAnsi="Courier New" w:hint="default"/>
      </w:rPr>
    </w:lvl>
    <w:lvl w:ilvl="8" w:tplc="46DA897C">
      <w:start w:val="1"/>
      <w:numFmt w:val="bullet"/>
      <w:lvlText w:val=""/>
      <w:lvlJc w:val="left"/>
      <w:pPr>
        <w:ind w:left="7560" w:hanging="360"/>
      </w:pPr>
      <w:rPr>
        <w:rFonts w:ascii="Wingdings" w:hAnsi="Wingdings" w:hint="default"/>
      </w:rPr>
    </w:lvl>
  </w:abstractNum>
  <w:abstractNum w:abstractNumId="25" w15:restartNumberingAfterBreak="0">
    <w:nsid w:val="1CE4B5BB"/>
    <w:multiLevelType w:val="hybridMultilevel"/>
    <w:tmpl w:val="3260EE06"/>
    <w:lvl w:ilvl="0" w:tplc="0762A9CE">
      <w:start w:val="1"/>
      <w:numFmt w:val="bullet"/>
      <w:lvlText w:val=""/>
      <w:lvlJc w:val="left"/>
      <w:pPr>
        <w:ind w:left="720" w:hanging="360"/>
      </w:pPr>
      <w:rPr>
        <w:rFonts w:ascii="Symbol" w:hAnsi="Symbol" w:hint="default"/>
      </w:rPr>
    </w:lvl>
    <w:lvl w:ilvl="1" w:tplc="C76C026C">
      <w:start w:val="1"/>
      <w:numFmt w:val="bullet"/>
      <w:lvlText w:val="o"/>
      <w:lvlJc w:val="left"/>
      <w:pPr>
        <w:ind w:left="1440" w:hanging="360"/>
      </w:pPr>
      <w:rPr>
        <w:rFonts w:ascii="Courier New" w:hAnsi="Courier New" w:hint="default"/>
      </w:rPr>
    </w:lvl>
    <w:lvl w:ilvl="2" w:tplc="435EF174">
      <w:start w:val="1"/>
      <w:numFmt w:val="bullet"/>
      <w:lvlText w:val=""/>
      <w:lvlJc w:val="left"/>
      <w:pPr>
        <w:ind w:left="2160" w:hanging="360"/>
      </w:pPr>
      <w:rPr>
        <w:rFonts w:ascii="Wingdings" w:hAnsi="Wingdings" w:hint="default"/>
      </w:rPr>
    </w:lvl>
    <w:lvl w:ilvl="3" w:tplc="9392C7FE">
      <w:start w:val="1"/>
      <w:numFmt w:val="bullet"/>
      <w:lvlText w:val=""/>
      <w:lvlJc w:val="left"/>
      <w:pPr>
        <w:ind w:left="2880" w:hanging="360"/>
      </w:pPr>
      <w:rPr>
        <w:rFonts w:ascii="Symbol" w:hAnsi="Symbol" w:hint="default"/>
      </w:rPr>
    </w:lvl>
    <w:lvl w:ilvl="4" w:tplc="FB7C781E">
      <w:start w:val="1"/>
      <w:numFmt w:val="bullet"/>
      <w:lvlText w:val="o"/>
      <w:lvlJc w:val="left"/>
      <w:pPr>
        <w:ind w:left="3600" w:hanging="360"/>
      </w:pPr>
      <w:rPr>
        <w:rFonts w:ascii="Courier New" w:hAnsi="Courier New" w:hint="default"/>
      </w:rPr>
    </w:lvl>
    <w:lvl w:ilvl="5" w:tplc="A7F4EDE8">
      <w:start w:val="1"/>
      <w:numFmt w:val="bullet"/>
      <w:lvlText w:val=""/>
      <w:lvlJc w:val="left"/>
      <w:pPr>
        <w:ind w:left="4320" w:hanging="360"/>
      </w:pPr>
      <w:rPr>
        <w:rFonts w:ascii="Wingdings" w:hAnsi="Wingdings" w:hint="default"/>
      </w:rPr>
    </w:lvl>
    <w:lvl w:ilvl="6" w:tplc="75BE9270">
      <w:start w:val="1"/>
      <w:numFmt w:val="bullet"/>
      <w:lvlText w:val=""/>
      <w:lvlJc w:val="left"/>
      <w:pPr>
        <w:ind w:left="5040" w:hanging="360"/>
      </w:pPr>
      <w:rPr>
        <w:rFonts w:ascii="Symbol" w:hAnsi="Symbol" w:hint="default"/>
      </w:rPr>
    </w:lvl>
    <w:lvl w:ilvl="7" w:tplc="71ECF320">
      <w:start w:val="1"/>
      <w:numFmt w:val="bullet"/>
      <w:lvlText w:val="o"/>
      <w:lvlJc w:val="left"/>
      <w:pPr>
        <w:ind w:left="5760" w:hanging="360"/>
      </w:pPr>
      <w:rPr>
        <w:rFonts w:ascii="Courier New" w:hAnsi="Courier New" w:hint="default"/>
      </w:rPr>
    </w:lvl>
    <w:lvl w:ilvl="8" w:tplc="B57CC644">
      <w:start w:val="1"/>
      <w:numFmt w:val="bullet"/>
      <w:lvlText w:val=""/>
      <w:lvlJc w:val="left"/>
      <w:pPr>
        <w:ind w:left="6480" w:hanging="360"/>
      </w:pPr>
      <w:rPr>
        <w:rFonts w:ascii="Wingdings" w:hAnsi="Wingdings" w:hint="default"/>
      </w:rPr>
    </w:lvl>
  </w:abstractNum>
  <w:abstractNum w:abstractNumId="26" w15:restartNumberingAfterBreak="0">
    <w:nsid w:val="1D12651D"/>
    <w:multiLevelType w:val="hybridMultilevel"/>
    <w:tmpl w:val="64B855EE"/>
    <w:lvl w:ilvl="0" w:tplc="CA1AD59C">
      <w:start w:val="1"/>
      <w:numFmt w:val="decimal"/>
      <w:lvlText w:val="%1."/>
      <w:lvlJc w:val="left"/>
      <w:pPr>
        <w:ind w:left="720" w:hanging="36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D671C9A"/>
    <w:multiLevelType w:val="multilevel"/>
    <w:tmpl w:val="899A47B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Calibri" w:eastAsia="Arial" w:hAnsi="Calibri" w:cs="Calibr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EF8537B"/>
    <w:multiLevelType w:val="hybridMultilevel"/>
    <w:tmpl w:val="B6AC90B8"/>
    <w:lvl w:ilvl="0" w:tplc="0809000F">
      <w:start w:val="1"/>
      <w:numFmt w:val="decimal"/>
      <w:lvlText w:val="%1."/>
      <w:lvlJc w:val="left"/>
      <w:pPr>
        <w:ind w:left="630" w:hanging="360"/>
      </w:pPr>
      <w:rPr>
        <w:rFonts w:hint="default"/>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0F633D2"/>
    <w:multiLevelType w:val="hybridMultilevel"/>
    <w:tmpl w:val="FFFFFFFF"/>
    <w:lvl w:ilvl="0" w:tplc="DC9E442C">
      <w:start w:val="1"/>
      <w:numFmt w:val="decimal"/>
      <w:lvlText w:val="%1."/>
      <w:lvlJc w:val="left"/>
      <w:pPr>
        <w:ind w:left="720" w:hanging="360"/>
      </w:pPr>
    </w:lvl>
    <w:lvl w:ilvl="1" w:tplc="ABC2CA4C">
      <w:start w:val="1"/>
      <w:numFmt w:val="lowerLetter"/>
      <w:lvlText w:val="%2."/>
      <w:lvlJc w:val="left"/>
      <w:pPr>
        <w:ind w:left="1440" w:hanging="360"/>
      </w:pPr>
    </w:lvl>
    <w:lvl w:ilvl="2" w:tplc="69A66882">
      <w:start w:val="1"/>
      <w:numFmt w:val="lowerRoman"/>
      <w:lvlText w:val="%3."/>
      <w:lvlJc w:val="right"/>
      <w:pPr>
        <w:ind w:left="2160" w:hanging="180"/>
      </w:pPr>
    </w:lvl>
    <w:lvl w:ilvl="3" w:tplc="AA96CF52">
      <w:start w:val="1"/>
      <w:numFmt w:val="decimal"/>
      <w:lvlText w:val="%4."/>
      <w:lvlJc w:val="left"/>
      <w:pPr>
        <w:ind w:left="2880" w:hanging="360"/>
      </w:pPr>
    </w:lvl>
    <w:lvl w:ilvl="4" w:tplc="094E4E62">
      <w:start w:val="1"/>
      <w:numFmt w:val="lowerLetter"/>
      <w:lvlText w:val="%5."/>
      <w:lvlJc w:val="left"/>
      <w:pPr>
        <w:ind w:left="3600" w:hanging="360"/>
      </w:pPr>
    </w:lvl>
    <w:lvl w:ilvl="5" w:tplc="55FADC24">
      <w:start w:val="1"/>
      <w:numFmt w:val="lowerRoman"/>
      <w:lvlText w:val="%6."/>
      <w:lvlJc w:val="right"/>
      <w:pPr>
        <w:ind w:left="4320" w:hanging="180"/>
      </w:pPr>
    </w:lvl>
    <w:lvl w:ilvl="6" w:tplc="13A4F6B6">
      <w:start w:val="1"/>
      <w:numFmt w:val="decimal"/>
      <w:lvlText w:val="%7."/>
      <w:lvlJc w:val="left"/>
      <w:pPr>
        <w:ind w:left="5040" w:hanging="360"/>
      </w:pPr>
    </w:lvl>
    <w:lvl w:ilvl="7" w:tplc="565690C8">
      <w:start w:val="1"/>
      <w:numFmt w:val="lowerLetter"/>
      <w:lvlText w:val="%8."/>
      <w:lvlJc w:val="left"/>
      <w:pPr>
        <w:ind w:left="5760" w:hanging="360"/>
      </w:pPr>
    </w:lvl>
    <w:lvl w:ilvl="8" w:tplc="BCC0A3F6">
      <w:start w:val="1"/>
      <w:numFmt w:val="lowerRoman"/>
      <w:lvlText w:val="%9."/>
      <w:lvlJc w:val="right"/>
      <w:pPr>
        <w:ind w:left="6480" w:hanging="180"/>
      </w:pPr>
    </w:lvl>
  </w:abstractNum>
  <w:abstractNum w:abstractNumId="30" w15:restartNumberingAfterBreak="0">
    <w:nsid w:val="24AE4298"/>
    <w:multiLevelType w:val="hybridMultilevel"/>
    <w:tmpl w:val="ECBC7B6C"/>
    <w:lvl w:ilvl="0" w:tplc="4DBCB348">
      <w:start w:val="1"/>
      <w:numFmt w:val="bullet"/>
      <w:lvlText w:val=""/>
      <w:lvlJc w:val="left"/>
      <w:pPr>
        <w:ind w:left="720" w:hanging="360"/>
      </w:pPr>
      <w:rPr>
        <w:rFonts w:ascii="Symbol" w:hAnsi="Symbol" w:hint="default"/>
      </w:rPr>
    </w:lvl>
    <w:lvl w:ilvl="1" w:tplc="7A323A80">
      <w:start w:val="1"/>
      <w:numFmt w:val="bullet"/>
      <w:lvlText w:val="o"/>
      <w:lvlJc w:val="left"/>
      <w:pPr>
        <w:ind w:left="1440" w:hanging="360"/>
      </w:pPr>
      <w:rPr>
        <w:rFonts w:ascii="Courier New" w:hAnsi="Courier New" w:hint="default"/>
      </w:rPr>
    </w:lvl>
    <w:lvl w:ilvl="2" w:tplc="CA94069E">
      <w:start w:val="1"/>
      <w:numFmt w:val="bullet"/>
      <w:lvlText w:val=""/>
      <w:lvlJc w:val="left"/>
      <w:pPr>
        <w:ind w:left="2160" w:hanging="360"/>
      </w:pPr>
      <w:rPr>
        <w:rFonts w:ascii="Wingdings" w:hAnsi="Wingdings" w:hint="default"/>
      </w:rPr>
    </w:lvl>
    <w:lvl w:ilvl="3" w:tplc="45DC9FBE">
      <w:start w:val="1"/>
      <w:numFmt w:val="bullet"/>
      <w:lvlText w:val=""/>
      <w:lvlJc w:val="left"/>
      <w:pPr>
        <w:ind w:left="2880" w:hanging="360"/>
      </w:pPr>
      <w:rPr>
        <w:rFonts w:ascii="Symbol" w:hAnsi="Symbol" w:hint="default"/>
      </w:rPr>
    </w:lvl>
    <w:lvl w:ilvl="4" w:tplc="B0C28CB6">
      <w:start w:val="1"/>
      <w:numFmt w:val="bullet"/>
      <w:lvlText w:val="o"/>
      <w:lvlJc w:val="left"/>
      <w:pPr>
        <w:ind w:left="3600" w:hanging="360"/>
      </w:pPr>
      <w:rPr>
        <w:rFonts w:ascii="Courier New" w:hAnsi="Courier New" w:hint="default"/>
      </w:rPr>
    </w:lvl>
    <w:lvl w:ilvl="5" w:tplc="94E0FEE8">
      <w:start w:val="1"/>
      <w:numFmt w:val="bullet"/>
      <w:lvlText w:val=""/>
      <w:lvlJc w:val="left"/>
      <w:pPr>
        <w:ind w:left="4320" w:hanging="360"/>
      </w:pPr>
      <w:rPr>
        <w:rFonts w:ascii="Wingdings" w:hAnsi="Wingdings" w:hint="default"/>
      </w:rPr>
    </w:lvl>
    <w:lvl w:ilvl="6" w:tplc="B47CAF46">
      <w:start w:val="1"/>
      <w:numFmt w:val="bullet"/>
      <w:lvlText w:val=""/>
      <w:lvlJc w:val="left"/>
      <w:pPr>
        <w:ind w:left="5040" w:hanging="360"/>
      </w:pPr>
      <w:rPr>
        <w:rFonts w:ascii="Symbol" w:hAnsi="Symbol" w:hint="default"/>
      </w:rPr>
    </w:lvl>
    <w:lvl w:ilvl="7" w:tplc="C070357C">
      <w:start w:val="1"/>
      <w:numFmt w:val="bullet"/>
      <w:lvlText w:val="o"/>
      <w:lvlJc w:val="left"/>
      <w:pPr>
        <w:ind w:left="5760" w:hanging="360"/>
      </w:pPr>
      <w:rPr>
        <w:rFonts w:ascii="Courier New" w:hAnsi="Courier New" w:hint="default"/>
      </w:rPr>
    </w:lvl>
    <w:lvl w:ilvl="8" w:tplc="635A11B2">
      <w:start w:val="1"/>
      <w:numFmt w:val="bullet"/>
      <w:lvlText w:val=""/>
      <w:lvlJc w:val="left"/>
      <w:pPr>
        <w:ind w:left="6480" w:hanging="360"/>
      </w:pPr>
      <w:rPr>
        <w:rFonts w:ascii="Wingdings" w:hAnsi="Wingdings" w:hint="default"/>
      </w:rPr>
    </w:lvl>
  </w:abstractNum>
  <w:abstractNum w:abstractNumId="31" w15:restartNumberingAfterBreak="0">
    <w:nsid w:val="25887B34"/>
    <w:multiLevelType w:val="multilevel"/>
    <w:tmpl w:val="B7D29770"/>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Calibri" w:eastAsia="Arial" w:hAnsi="Calibri" w:cs="Calibr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5F3FB82"/>
    <w:multiLevelType w:val="hybridMultilevel"/>
    <w:tmpl w:val="FFFFFFFF"/>
    <w:lvl w:ilvl="0" w:tplc="78224870">
      <w:start w:val="1"/>
      <w:numFmt w:val="bullet"/>
      <w:lvlText w:val="o"/>
      <w:lvlJc w:val="left"/>
      <w:pPr>
        <w:ind w:left="720" w:hanging="360"/>
      </w:pPr>
      <w:rPr>
        <w:rFonts w:ascii="Courier New" w:hAnsi="Courier New" w:hint="default"/>
      </w:rPr>
    </w:lvl>
    <w:lvl w:ilvl="1" w:tplc="7B0AD0D8">
      <w:start w:val="1"/>
      <w:numFmt w:val="bullet"/>
      <w:lvlText w:val="o"/>
      <w:lvlJc w:val="left"/>
      <w:pPr>
        <w:ind w:left="1440" w:hanging="360"/>
      </w:pPr>
      <w:rPr>
        <w:rFonts w:ascii="Courier New" w:hAnsi="Courier New" w:hint="default"/>
      </w:rPr>
    </w:lvl>
    <w:lvl w:ilvl="2" w:tplc="88187DD8">
      <w:start w:val="1"/>
      <w:numFmt w:val="bullet"/>
      <w:lvlText w:val=""/>
      <w:lvlJc w:val="left"/>
      <w:pPr>
        <w:ind w:left="2160" w:hanging="360"/>
      </w:pPr>
      <w:rPr>
        <w:rFonts w:ascii="Wingdings" w:hAnsi="Wingdings" w:hint="default"/>
      </w:rPr>
    </w:lvl>
    <w:lvl w:ilvl="3" w:tplc="2898983C">
      <w:start w:val="1"/>
      <w:numFmt w:val="bullet"/>
      <w:lvlText w:val=""/>
      <w:lvlJc w:val="left"/>
      <w:pPr>
        <w:ind w:left="2880" w:hanging="360"/>
      </w:pPr>
      <w:rPr>
        <w:rFonts w:ascii="Symbol" w:hAnsi="Symbol" w:hint="default"/>
      </w:rPr>
    </w:lvl>
    <w:lvl w:ilvl="4" w:tplc="AF7EEABE">
      <w:start w:val="1"/>
      <w:numFmt w:val="bullet"/>
      <w:lvlText w:val="o"/>
      <w:lvlJc w:val="left"/>
      <w:pPr>
        <w:ind w:left="3600" w:hanging="360"/>
      </w:pPr>
      <w:rPr>
        <w:rFonts w:ascii="Courier New" w:hAnsi="Courier New" w:hint="default"/>
      </w:rPr>
    </w:lvl>
    <w:lvl w:ilvl="5" w:tplc="19D09322">
      <w:start w:val="1"/>
      <w:numFmt w:val="bullet"/>
      <w:lvlText w:val=""/>
      <w:lvlJc w:val="left"/>
      <w:pPr>
        <w:ind w:left="4320" w:hanging="360"/>
      </w:pPr>
      <w:rPr>
        <w:rFonts w:ascii="Wingdings" w:hAnsi="Wingdings" w:hint="default"/>
      </w:rPr>
    </w:lvl>
    <w:lvl w:ilvl="6" w:tplc="F9607250">
      <w:start w:val="1"/>
      <w:numFmt w:val="bullet"/>
      <w:lvlText w:val=""/>
      <w:lvlJc w:val="left"/>
      <w:pPr>
        <w:ind w:left="5040" w:hanging="360"/>
      </w:pPr>
      <w:rPr>
        <w:rFonts w:ascii="Symbol" w:hAnsi="Symbol" w:hint="default"/>
      </w:rPr>
    </w:lvl>
    <w:lvl w:ilvl="7" w:tplc="E44E31B8">
      <w:start w:val="1"/>
      <w:numFmt w:val="bullet"/>
      <w:lvlText w:val="o"/>
      <w:lvlJc w:val="left"/>
      <w:pPr>
        <w:ind w:left="5760" w:hanging="360"/>
      </w:pPr>
      <w:rPr>
        <w:rFonts w:ascii="Courier New" w:hAnsi="Courier New" w:hint="default"/>
      </w:rPr>
    </w:lvl>
    <w:lvl w:ilvl="8" w:tplc="E3E67078">
      <w:start w:val="1"/>
      <w:numFmt w:val="bullet"/>
      <w:lvlText w:val=""/>
      <w:lvlJc w:val="left"/>
      <w:pPr>
        <w:ind w:left="6480" w:hanging="360"/>
      </w:pPr>
      <w:rPr>
        <w:rFonts w:ascii="Wingdings" w:hAnsi="Wingdings" w:hint="default"/>
      </w:rPr>
    </w:lvl>
  </w:abstractNum>
  <w:abstractNum w:abstractNumId="33" w15:restartNumberingAfterBreak="0">
    <w:nsid w:val="26D151EA"/>
    <w:multiLevelType w:val="multilevel"/>
    <w:tmpl w:val="AABC7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ADFA610"/>
    <w:multiLevelType w:val="hybridMultilevel"/>
    <w:tmpl w:val="FFFFFFFF"/>
    <w:lvl w:ilvl="0" w:tplc="F7C042DC">
      <w:start w:val="1"/>
      <w:numFmt w:val="decimal"/>
      <w:lvlText w:val="%1."/>
      <w:lvlJc w:val="left"/>
      <w:pPr>
        <w:ind w:left="720" w:hanging="360"/>
      </w:pPr>
    </w:lvl>
    <w:lvl w:ilvl="1" w:tplc="53CE7A8C">
      <w:start w:val="1"/>
      <w:numFmt w:val="lowerLetter"/>
      <w:lvlText w:val="%2."/>
      <w:lvlJc w:val="left"/>
      <w:pPr>
        <w:ind w:left="1440" w:hanging="360"/>
      </w:pPr>
    </w:lvl>
    <w:lvl w:ilvl="2" w:tplc="CDE0C10E">
      <w:start w:val="1"/>
      <w:numFmt w:val="lowerRoman"/>
      <w:lvlText w:val="%3."/>
      <w:lvlJc w:val="right"/>
      <w:pPr>
        <w:ind w:left="2160" w:hanging="180"/>
      </w:pPr>
    </w:lvl>
    <w:lvl w:ilvl="3" w:tplc="C482243E">
      <w:start w:val="1"/>
      <w:numFmt w:val="decimal"/>
      <w:lvlText w:val="%4."/>
      <w:lvlJc w:val="left"/>
      <w:pPr>
        <w:ind w:left="2880" w:hanging="360"/>
      </w:pPr>
    </w:lvl>
    <w:lvl w:ilvl="4" w:tplc="C0621D9E">
      <w:start w:val="1"/>
      <w:numFmt w:val="lowerLetter"/>
      <w:lvlText w:val="%5."/>
      <w:lvlJc w:val="left"/>
      <w:pPr>
        <w:ind w:left="3600" w:hanging="360"/>
      </w:pPr>
    </w:lvl>
    <w:lvl w:ilvl="5" w:tplc="C212D688">
      <w:start w:val="1"/>
      <w:numFmt w:val="lowerRoman"/>
      <w:lvlText w:val="%6."/>
      <w:lvlJc w:val="right"/>
      <w:pPr>
        <w:ind w:left="4320" w:hanging="180"/>
      </w:pPr>
    </w:lvl>
    <w:lvl w:ilvl="6" w:tplc="C322A0C0">
      <w:start w:val="1"/>
      <w:numFmt w:val="decimal"/>
      <w:lvlText w:val="%7."/>
      <w:lvlJc w:val="left"/>
      <w:pPr>
        <w:ind w:left="5040" w:hanging="360"/>
      </w:pPr>
    </w:lvl>
    <w:lvl w:ilvl="7" w:tplc="4F7E2E12">
      <w:start w:val="1"/>
      <w:numFmt w:val="lowerLetter"/>
      <w:lvlText w:val="%8."/>
      <w:lvlJc w:val="left"/>
      <w:pPr>
        <w:ind w:left="5760" w:hanging="360"/>
      </w:pPr>
    </w:lvl>
    <w:lvl w:ilvl="8" w:tplc="D298CC26">
      <w:start w:val="1"/>
      <w:numFmt w:val="lowerRoman"/>
      <w:lvlText w:val="%9."/>
      <w:lvlJc w:val="right"/>
      <w:pPr>
        <w:ind w:left="6480" w:hanging="180"/>
      </w:pPr>
    </w:lvl>
  </w:abstractNum>
  <w:abstractNum w:abstractNumId="35" w15:restartNumberingAfterBreak="0">
    <w:nsid w:val="2B539F14"/>
    <w:multiLevelType w:val="hybridMultilevel"/>
    <w:tmpl w:val="FFFFFFFF"/>
    <w:lvl w:ilvl="0" w:tplc="EE106772">
      <w:start w:val="1"/>
      <w:numFmt w:val="bullet"/>
      <w:lvlText w:val=""/>
      <w:lvlJc w:val="left"/>
      <w:pPr>
        <w:ind w:left="720" w:hanging="360"/>
      </w:pPr>
      <w:rPr>
        <w:rFonts w:ascii="Symbol" w:hAnsi="Symbol" w:hint="default"/>
      </w:rPr>
    </w:lvl>
    <w:lvl w:ilvl="1" w:tplc="1548CA44">
      <w:start w:val="1"/>
      <w:numFmt w:val="bullet"/>
      <w:lvlText w:val="o"/>
      <w:lvlJc w:val="left"/>
      <w:pPr>
        <w:ind w:left="1440" w:hanging="360"/>
      </w:pPr>
      <w:rPr>
        <w:rFonts w:ascii="Courier New" w:hAnsi="Courier New" w:hint="default"/>
      </w:rPr>
    </w:lvl>
    <w:lvl w:ilvl="2" w:tplc="1E82AF24">
      <w:start w:val="1"/>
      <w:numFmt w:val="bullet"/>
      <w:lvlText w:val=""/>
      <w:lvlJc w:val="left"/>
      <w:pPr>
        <w:ind w:left="2160" w:hanging="360"/>
      </w:pPr>
      <w:rPr>
        <w:rFonts w:ascii="Wingdings" w:hAnsi="Wingdings" w:hint="default"/>
      </w:rPr>
    </w:lvl>
    <w:lvl w:ilvl="3" w:tplc="9A3A4A36">
      <w:start w:val="1"/>
      <w:numFmt w:val="bullet"/>
      <w:lvlText w:val=""/>
      <w:lvlJc w:val="left"/>
      <w:pPr>
        <w:ind w:left="2880" w:hanging="360"/>
      </w:pPr>
      <w:rPr>
        <w:rFonts w:ascii="Symbol" w:hAnsi="Symbol" w:hint="default"/>
      </w:rPr>
    </w:lvl>
    <w:lvl w:ilvl="4" w:tplc="6D7464DC">
      <w:start w:val="1"/>
      <w:numFmt w:val="bullet"/>
      <w:lvlText w:val="o"/>
      <w:lvlJc w:val="left"/>
      <w:pPr>
        <w:ind w:left="3600" w:hanging="360"/>
      </w:pPr>
      <w:rPr>
        <w:rFonts w:ascii="Courier New" w:hAnsi="Courier New" w:hint="default"/>
      </w:rPr>
    </w:lvl>
    <w:lvl w:ilvl="5" w:tplc="B2DC4A30">
      <w:start w:val="1"/>
      <w:numFmt w:val="bullet"/>
      <w:lvlText w:val=""/>
      <w:lvlJc w:val="left"/>
      <w:pPr>
        <w:ind w:left="4320" w:hanging="360"/>
      </w:pPr>
      <w:rPr>
        <w:rFonts w:ascii="Wingdings" w:hAnsi="Wingdings" w:hint="default"/>
      </w:rPr>
    </w:lvl>
    <w:lvl w:ilvl="6" w:tplc="7768528E">
      <w:start w:val="1"/>
      <w:numFmt w:val="bullet"/>
      <w:lvlText w:val=""/>
      <w:lvlJc w:val="left"/>
      <w:pPr>
        <w:ind w:left="5040" w:hanging="360"/>
      </w:pPr>
      <w:rPr>
        <w:rFonts w:ascii="Symbol" w:hAnsi="Symbol" w:hint="default"/>
      </w:rPr>
    </w:lvl>
    <w:lvl w:ilvl="7" w:tplc="9B767626">
      <w:start w:val="1"/>
      <w:numFmt w:val="bullet"/>
      <w:lvlText w:val="o"/>
      <w:lvlJc w:val="left"/>
      <w:pPr>
        <w:ind w:left="5760" w:hanging="360"/>
      </w:pPr>
      <w:rPr>
        <w:rFonts w:ascii="Courier New" w:hAnsi="Courier New" w:hint="default"/>
      </w:rPr>
    </w:lvl>
    <w:lvl w:ilvl="8" w:tplc="EE46A9E6">
      <w:start w:val="1"/>
      <w:numFmt w:val="bullet"/>
      <w:lvlText w:val=""/>
      <w:lvlJc w:val="left"/>
      <w:pPr>
        <w:ind w:left="6480" w:hanging="360"/>
      </w:pPr>
      <w:rPr>
        <w:rFonts w:ascii="Wingdings" w:hAnsi="Wingdings" w:hint="default"/>
      </w:rPr>
    </w:lvl>
  </w:abstractNum>
  <w:abstractNum w:abstractNumId="36" w15:restartNumberingAfterBreak="0">
    <w:nsid w:val="2B674982"/>
    <w:multiLevelType w:val="hybridMultilevel"/>
    <w:tmpl w:val="FFFFFFFF"/>
    <w:lvl w:ilvl="0" w:tplc="DFD0F178">
      <w:start w:val="1"/>
      <w:numFmt w:val="bullet"/>
      <w:lvlText w:val=""/>
      <w:lvlJc w:val="left"/>
      <w:pPr>
        <w:ind w:left="720" w:hanging="360"/>
      </w:pPr>
      <w:rPr>
        <w:rFonts w:ascii="Symbol" w:hAnsi="Symbol" w:hint="default"/>
      </w:rPr>
    </w:lvl>
    <w:lvl w:ilvl="1" w:tplc="47EA5820">
      <w:start w:val="1"/>
      <w:numFmt w:val="bullet"/>
      <w:lvlText w:val="o"/>
      <w:lvlJc w:val="left"/>
      <w:pPr>
        <w:ind w:left="1440" w:hanging="360"/>
      </w:pPr>
      <w:rPr>
        <w:rFonts w:ascii="Courier New" w:hAnsi="Courier New" w:hint="default"/>
      </w:rPr>
    </w:lvl>
    <w:lvl w:ilvl="2" w:tplc="526EDBC0">
      <w:start w:val="1"/>
      <w:numFmt w:val="bullet"/>
      <w:lvlText w:val=""/>
      <w:lvlJc w:val="left"/>
      <w:pPr>
        <w:ind w:left="2160" w:hanging="360"/>
      </w:pPr>
      <w:rPr>
        <w:rFonts w:ascii="Wingdings" w:hAnsi="Wingdings" w:hint="default"/>
      </w:rPr>
    </w:lvl>
    <w:lvl w:ilvl="3" w:tplc="E1E0F0FC">
      <w:start w:val="1"/>
      <w:numFmt w:val="bullet"/>
      <w:lvlText w:val=""/>
      <w:lvlJc w:val="left"/>
      <w:pPr>
        <w:ind w:left="2880" w:hanging="360"/>
      </w:pPr>
      <w:rPr>
        <w:rFonts w:ascii="Symbol" w:hAnsi="Symbol" w:hint="default"/>
      </w:rPr>
    </w:lvl>
    <w:lvl w:ilvl="4" w:tplc="AAEA4ACC">
      <w:start w:val="1"/>
      <w:numFmt w:val="bullet"/>
      <w:lvlText w:val="o"/>
      <w:lvlJc w:val="left"/>
      <w:pPr>
        <w:ind w:left="3600" w:hanging="360"/>
      </w:pPr>
      <w:rPr>
        <w:rFonts w:ascii="Courier New" w:hAnsi="Courier New" w:hint="default"/>
      </w:rPr>
    </w:lvl>
    <w:lvl w:ilvl="5" w:tplc="E8E08532">
      <w:start w:val="1"/>
      <w:numFmt w:val="bullet"/>
      <w:lvlText w:val=""/>
      <w:lvlJc w:val="left"/>
      <w:pPr>
        <w:ind w:left="4320" w:hanging="360"/>
      </w:pPr>
      <w:rPr>
        <w:rFonts w:ascii="Wingdings" w:hAnsi="Wingdings" w:hint="default"/>
      </w:rPr>
    </w:lvl>
    <w:lvl w:ilvl="6" w:tplc="48DEF2E8">
      <w:start w:val="1"/>
      <w:numFmt w:val="bullet"/>
      <w:lvlText w:val=""/>
      <w:lvlJc w:val="left"/>
      <w:pPr>
        <w:ind w:left="5040" w:hanging="360"/>
      </w:pPr>
      <w:rPr>
        <w:rFonts w:ascii="Symbol" w:hAnsi="Symbol" w:hint="default"/>
      </w:rPr>
    </w:lvl>
    <w:lvl w:ilvl="7" w:tplc="5928BB6A">
      <w:start w:val="1"/>
      <w:numFmt w:val="bullet"/>
      <w:lvlText w:val="o"/>
      <w:lvlJc w:val="left"/>
      <w:pPr>
        <w:ind w:left="5760" w:hanging="360"/>
      </w:pPr>
      <w:rPr>
        <w:rFonts w:ascii="Courier New" w:hAnsi="Courier New" w:hint="default"/>
      </w:rPr>
    </w:lvl>
    <w:lvl w:ilvl="8" w:tplc="7DD84374">
      <w:start w:val="1"/>
      <w:numFmt w:val="bullet"/>
      <w:lvlText w:val=""/>
      <w:lvlJc w:val="left"/>
      <w:pPr>
        <w:ind w:left="6480" w:hanging="360"/>
      </w:pPr>
      <w:rPr>
        <w:rFonts w:ascii="Wingdings" w:hAnsi="Wingdings" w:hint="default"/>
      </w:rPr>
    </w:lvl>
  </w:abstractNum>
  <w:abstractNum w:abstractNumId="37" w15:restartNumberingAfterBreak="0">
    <w:nsid w:val="2BCBC107"/>
    <w:multiLevelType w:val="hybridMultilevel"/>
    <w:tmpl w:val="FFFFFFFF"/>
    <w:lvl w:ilvl="0" w:tplc="1082D2E6">
      <w:start w:val="1"/>
      <w:numFmt w:val="decimal"/>
      <w:lvlText w:val="%1."/>
      <w:lvlJc w:val="left"/>
      <w:pPr>
        <w:ind w:left="720" w:hanging="360"/>
      </w:pPr>
    </w:lvl>
    <w:lvl w:ilvl="1" w:tplc="803E4772">
      <w:start w:val="1"/>
      <w:numFmt w:val="lowerLetter"/>
      <w:lvlText w:val="%2."/>
      <w:lvlJc w:val="left"/>
      <w:pPr>
        <w:ind w:left="1440" w:hanging="360"/>
      </w:pPr>
    </w:lvl>
    <w:lvl w:ilvl="2" w:tplc="422280C4">
      <w:start w:val="1"/>
      <w:numFmt w:val="lowerRoman"/>
      <w:lvlText w:val="%3."/>
      <w:lvlJc w:val="right"/>
      <w:pPr>
        <w:ind w:left="2160" w:hanging="180"/>
      </w:pPr>
    </w:lvl>
    <w:lvl w:ilvl="3" w:tplc="6130EC00">
      <w:start w:val="1"/>
      <w:numFmt w:val="decimal"/>
      <w:lvlText w:val="%4."/>
      <w:lvlJc w:val="left"/>
      <w:pPr>
        <w:ind w:left="2880" w:hanging="360"/>
      </w:pPr>
    </w:lvl>
    <w:lvl w:ilvl="4" w:tplc="41B65DB6">
      <w:start w:val="1"/>
      <w:numFmt w:val="lowerLetter"/>
      <w:lvlText w:val="%5."/>
      <w:lvlJc w:val="left"/>
      <w:pPr>
        <w:ind w:left="3600" w:hanging="360"/>
      </w:pPr>
    </w:lvl>
    <w:lvl w:ilvl="5" w:tplc="6FC69CF2">
      <w:start w:val="1"/>
      <w:numFmt w:val="lowerRoman"/>
      <w:lvlText w:val="%6."/>
      <w:lvlJc w:val="right"/>
      <w:pPr>
        <w:ind w:left="4320" w:hanging="180"/>
      </w:pPr>
    </w:lvl>
    <w:lvl w:ilvl="6" w:tplc="6B58857A">
      <w:start w:val="1"/>
      <w:numFmt w:val="decimal"/>
      <w:lvlText w:val="%7."/>
      <w:lvlJc w:val="left"/>
      <w:pPr>
        <w:ind w:left="5040" w:hanging="360"/>
      </w:pPr>
    </w:lvl>
    <w:lvl w:ilvl="7" w:tplc="FA1CB0F6">
      <w:start w:val="1"/>
      <w:numFmt w:val="lowerLetter"/>
      <w:lvlText w:val="%8."/>
      <w:lvlJc w:val="left"/>
      <w:pPr>
        <w:ind w:left="5760" w:hanging="360"/>
      </w:pPr>
    </w:lvl>
    <w:lvl w:ilvl="8" w:tplc="3B6E5D28">
      <w:start w:val="1"/>
      <w:numFmt w:val="lowerRoman"/>
      <w:lvlText w:val="%9."/>
      <w:lvlJc w:val="right"/>
      <w:pPr>
        <w:ind w:left="6480" w:hanging="180"/>
      </w:pPr>
    </w:lvl>
  </w:abstractNum>
  <w:abstractNum w:abstractNumId="38" w15:restartNumberingAfterBreak="0">
    <w:nsid w:val="2C0635FC"/>
    <w:multiLevelType w:val="hybridMultilevel"/>
    <w:tmpl w:val="FFFFFFFF"/>
    <w:lvl w:ilvl="0" w:tplc="B75A772C">
      <w:start w:val="1"/>
      <w:numFmt w:val="bullet"/>
      <w:lvlText w:val=""/>
      <w:lvlJc w:val="left"/>
      <w:pPr>
        <w:ind w:left="720" w:hanging="360"/>
      </w:pPr>
      <w:rPr>
        <w:rFonts w:ascii="Symbol" w:hAnsi="Symbol" w:hint="default"/>
      </w:rPr>
    </w:lvl>
    <w:lvl w:ilvl="1" w:tplc="4E06D33E">
      <w:start w:val="1"/>
      <w:numFmt w:val="bullet"/>
      <w:lvlText w:val="o"/>
      <w:lvlJc w:val="left"/>
      <w:pPr>
        <w:ind w:left="1440" w:hanging="360"/>
      </w:pPr>
      <w:rPr>
        <w:rFonts w:ascii="Courier New" w:hAnsi="Courier New" w:hint="default"/>
      </w:rPr>
    </w:lvl>
    <w:lvl w:ilvl="2" w:tplc="A434E05C">
      <w:start w:val="1"/>
      <w:numFmt w:val="bullet"/>
      <w:lvlText w:val=""/>
      <w:lvlJc w:val="left"/>
      <w:pPr>
        <w:ind w:left="2160" w:hanging="360"/>
      </w:pPr>
      <w:rPr>
        <w:rFonts w:ascii="Wingdings" w:hAnsi="Wingdings" w:hint="default"/>
      </w:rPr>
    </w:lvl>
    <w:lvl w:ilvl="3" w:tplc="C4DEF444">
      <w:start w:val="1"/>
      <w:numFmt w:val="bullet"/>
      <w:lvlText w:val=""/>
      <w:lvlJc w:val="left"/>
      <w:pPr>
        <w:ind w:left="2880" w:hanging="360"/>
      </w:pPr>
      <w:rPr>
        <w:rFonts w:ascii="Symbol" w:hAnsi="Symbol" w:hint="default"/>
      </w:rPr>
    </w:lvl>
    <w:lvl w:ilvl="4" w:tplc="6F8472E2">
      <w:start w:val="1"/>
      <w:numFmt w:val="bullet"/>
      <w:lvlText w:val="o"/>
      <w:lvlJc w:val="left"/>
      <w:pPr>
        <w:ind w:left="3600" w:hanging="360"/>
      </w:pPr>
      <w:rPr>
        <w:rFonts w:ascii="Courier New" w:hAnsi="Courier New" w:hint="default"/>
      </w:rPr>
    </w:lvl>
    <w:lvl w:ilvl="5" w:tplc="B1BC1A54">
      <w:start w:val="1"/>
      <w:numFmt w:val="bullet"/>
      <w:lvlText w:val=""/>
      <w:lvlJc w:val="left"/>
      <w:pPr>
        <w:ind w:left="4320" w:hanging="360"/>
      </w:pPr>
      <w:rPr>
        <w:rFonts w:ascii="Wingdings" w:hAnsi="Wingdings" w:hint="default"/>
      </w:rPr>
    </w:lvl>
    <w:lvl w:ilvl="6" w:tplc="71CE6FAE">
      <w:start w:val="1"/>
      <w:numFmt w:val="bullet"/>
      <w:lvlText w:val=""/>
      <w:lvlJc w:val="left"/>
      <w:pPr>
        <w:ind w:left="5040" w:hanging="360"/>
      </w:pPr>
      <w:rPr>
        <w:rFonts w:ascii="Symbol" w:hAnsi="Symbol" w:hint="default"/>
      </w:rPr>
    </w:lvl>
    <w:lvl w:ilvl="7" w:tplc="EA600C50">
      <w:start w:val="1"/>
      <w:numFmt w:val="bullet"/>
      <w:lvlText w:val="o"/>
      <w:lvlJc w:val="left"/>
      <w:pPr>
        <w:ind w:left="5760" w:hanging="360"/>
      </w:pPr>
      <w:rPr>
        <w:rFonts w:ascii="Courier New" w:hAnsi="Courier New" w:hint="default"/>
      </w:rPr>
    </w:lvl>
    <w:lvl w:ilvl="8" w:tplc="B8D2F2B4">
      <w:start w:val="1"/>
      <w:numFmt w:val="bullet"/>
      <w:lvlText w:val=""/>
      <w:lvlJc w:val="left"/>
      <w:pPr>
        <w:ind w:left="6480" w:hanging="360"/>
      </w:pPr>
      <w:rPr>
        <w:rFonts w:ascii="Wingdings" w:hAnsi="Wingdings" w:hint="default"/>
      </w:rPr>
    </w:lvl>
  </w:abstractNum>
  <w:abstractNum w:abstractNumId="39" w15:restartNumberingAfterBreak="0">
    <w:nsid w:val="2C3F59B7"/>
    <w:multiLevelType w:val="hybridMultilevel"/>
    <w:tmpl w:val="FFFFFFFF"/>
    <w:lvl w:ilvl="0" w:tplc="813C6ADC">
      <w:start w:val="1"/>
      <w:numFmt w:val="bullet"/>
      <w:lvlText w:val="·"/>
      <w:lvlJc w:val="left"/>
      <w:pPr>
        <w:ind w:left="720" w:hanging="360"/>
      </w:pPr>
      <w:rPr>
        <w:rFonts w:ascii="Symbol" w:hAnsi="Symbol" w:hint="default"/>
      </w:rPr>
    </w:lvl>
    <w:lvl w:ilvl="1" w:tplc="04EC2D92">
      <w:start w:val="1"/>
      <w:numFmt w:val="bullet"/>
      <w:lvlText w:val="o"/>
      <w:lvlJc w:val="left"/>
      <w:pPr>
        <w:ind w:left="1440" w:hanging="360"/>
      </w:pPr>
      <w:rPr>
        <w:rFonts w:ascii="Courier New" w:hAnsi="Courier New" w:hint="default"/>
      </w:rPr>
    </w:lvl>
    <w:lvl w:ilvl="2" w:tplc="C646140E">
      <w:start w:val="1"/>
      <w:numFmt w:val="bullet"/>
      <w:lvlText w:val=""/>
      <w:lvlJc w:val="left"/>
      <w:pPr>
        <w:ind w:left="2160" w:hanging="360"/>
      </w:pPr>
      <w:rPr>
        <w:rFonts w:ascii="Wingdings" w:hAnsi="Wingdings" w:hint="default"/>
      </w:rPr>
    </w:lvl>
    <w:lvl w:ilvl="3" w:tplc="BBB22518">
      <w:start w:val="1"/>
      <w:numFmt w:val="bullet"/>
      <w:lvlText w:val=""/>
      <w:lvlJc w:val="left"/>
      <w:pPr>
        <w:ind w:left="2880" w:hanging="360"/>
      </w:pPr>
      <w:rPr>
        <w:rFonts w:ascii="Symbol" w:hAnsi="Symbol" w:hint="default"/>
      </w:rPr>
    </w:lvl>
    <w:lvl w:ilvl="4" w:tplc="7F4E66EC">
      <w:start w:val="1"/>
      <w:numFmt w:val="bullet"/>
      <w:lvlText w:val="o"/>
      <w:lvlJc w:val="left"/>
      <w:pPr>
        <w:ind w:left="3600" w:hanging="360"/>
      </w:pPr>
      <w:rPr>
        <w:rFonts w:ascii="Courier New" w:hAnsi="Courier New" w:hint="default"/>
      </w:rPr>
    </w:lvl>
    <w:lvl w:ilvl="5" w:tplc="FDA6755A">
      <w:start w:val="1"/>
      <w:numFmt w:val="bullet"/>
      <w:lvlText w:val=""/>
      <w:lvlJc w:val="left"/>
      <w:pPr>
        <w:ind w:left="4320" w:hanging="360"/>
      </w:pPr>
      <w:rPr>
        <w:rFonts w:ascii="Wingdings" w:hAnsi="Wingdings" w:hint="default"/>
      </w:rPr>
    </w:lvl>
    <w:lvl w:ilvl="6" w:tplc="7BBAF60C">
      <w:start w:val="1"/>
      <w:numFmt w:val="bullet"/>
      <w:lvlText w:val=""/>
      <w:lvlJc w:val="left"/>
      <w:pPr>
        <w:ind w:left="5040" w:hanging="360"/>
      </w:pPr>
      <w:rPr>
        <w:rFonts w:ascii="Symbol" w:hAnsi="Symbol" w:hint="default"/>
      </w:rPr>
    </w:lvl>
    <w:lvl w:ilvl="7" w:tplc="E7B81FB6">
      <w:start w:val="1"/>
      <w:numFmt w:val="bullet"/>
      <w:lvlText w:val="o"/>
      <w:lvlJc w:val="left"/>
      <w:pPr>
        <w:ind w:left="5760" w:hanging="360"/>
      </w:pPr>
      <w:rPr>
        <w:rFonts w:ascii="Courier New" w:hAnsi="Courier New" w:hint="default"/>
      </w:rPr>
    </w:lvl>
    <w:lvl w:ilvl="8" w:tplc="D4D80B6E">
      <w:start w:val="1"/>
      <w:numFmt w:val="bullet"/>
      <w:lvlText w:val=""/>
      <w:lvlJc w:val="left"/>
      <w:pPr>
        <w:ind w:left="6480" w:hanging="360"/>
      </w:pPr>
      <w:rPr>
        <w:rFonts w:ascii="Wingdings" w:hAnsi="Wingdings" w:hint="default"/>
      </w:rPr>
    </w:lvl>
  </w:abstractNum>
  <w:abstractNum w:abstractNumId="40" w15:restartNumberingAfterBreak="0">
    <w:nsid w:val="2D9F62C7"/>
    <w:multiLevelType w:val="hybridMultilevel"/>
    <w:tmpl w:val="544AEDDC"/>
    <w:lvl w:ilvl="0" w:tplc="DBBC62D4">
      <w:start w:val="1"/>
      <w:numFmt w:val="bullet"/>
      <w:lvlText w:val=""/>
      <w:lvlJc w:val="left"/>
      <w:pPr>
        <w:ind w:left="720" w:hanging="360"/>
      </w:pPr>
      <w:rPr>
        <w:rFonts w:ascii="Symbol" w:hAnsi="Symbol" w:hint="default"/>
      </w:rPr>
    </w:lvl>
    <w:lvl w:ilvl="1" w:tplc="EF981B48" w:tentative="1">
      <w:start w:val="1"/>
      <w:numFmt w:val="bullet"/>
      <w:lvlText w:val="o"/>
      <w:lvlJc w:val="left"/>
      <w:pPr>
        <w:ind w:left="1440" w:hanging="360"/>
      </w:pPr>
      <w:rPr>
        <w:rFonts w:ascii="Courier New" w:hAnsi="Courier New" w:hint="default"/>
      </w:rPr>
    </w:lvl>
    <w:lvl w:ilvl="2" w:tplc="DCAAE978" w:tentative="1">
      <w:start w:val="1"/>
      <w:numFmt w:val="bullet"/>
      <w:lvlText w:val=""/>
      <w:lvlJc w:val="left"/>
      <w:pPr>
        <w:ind w:left="2160" w:hanging="360"/>
      </w:pPr>
      <w:rPr>
        <w:rFonts w:ascii="Wingdings" w:hAnsi="Wingdings" w:hint="default"/>
      </w:rPr>
    </w:lvl>
    <w:lvl w:ilvl="3" w:tplc="4E4AF082" w:tentative="1">
      <w:start w:val="1"/>
      <w:numFmt w:val="bullet"/>
      <w:lvlText w:val=""/>
      <w:lvlJc w:val="left"/>
      <w:pPr>
        <w:ind w:left="2880" w:hanging="360"/>
      </w:pPr>
      <w:rPr>
        <w:rFonts w:ascii="Symbol" w:hAnsi="Symbol" w:hint="default"/>
      </w:rPr>
    </w:lvl>
    <w:lvl w:ilvl="4" w:tplc="47946942" w:tentative="1">
      <w:start w:val="1"/>
      <w:numFmt w:val="bullet"/>
      <w:lvlText w:val="o"/>
      <w:lvlJc w:val="left"/>
      <w:pPr>
        <w:ind w:left="3600" w:hanging="360"/>
      </w:pPr>
      <w:rPr>
        <w:rFonts w:ascii="Courier New" w:hAnsi="Courier New" w:hint="default"/>
      </w:rPr>
    </w:lvl>
    <w:lvl w:ilvl="5" w:tplc="6CF8C1E6" w:tentative="1">
      <w:start w:val="1"/>
      <w:numFmt w:val="bullet"/>
      <w:lvlText w:val=""/>
      <w:lvlJc w:val="left"/>
      <w:pPr>
        <w:ind w:left="4320" w:hanging="360"/>
      </w:pPr>
      <w:rPr>
        <w:rFonts w:ascii="Wingdings" w:hAnsi="Wingdings" w:hint="default"/>
      </w:rPr>
    </w:lvl>
    <w:lvl w:ilvl="6" w:tplc="0F2E9AB2" w:tentative="1">
      <w:start w:val="1"/>
      <w:numFmt w:val="bullet"/>
      <w:lvlText w:val=""/>
      <w:lvlJc w:val="left"/>
      <w:pPr>
        <w:ind w:left="5040" w:hanging="360"/>
      </w:pPr>
      <w:rPr>
        <w:rFonts w:ascii="Symbol" w:hAnsi="Symbol" w:hint="default"/>
      </w:rPr>
    </w:lvl>
    <w:lvl w:ilvl="7" w:tplc="20F47896" w:tentative="1">
      <w:start w:val="1"/>
      <w:numFmt w:val="bullet"/>
      <w:lvlText w:val="o"/>
      <w:lvlJc w:val="left"/>
      <w:pPr>
        <w:ind w:left="5760" w:hanging="360"/>
      </w:pPr>
      <w:rPr>
        <w:rFonts w:ascii="Courier New" w:hAnsi="Courier New" w:hint="default"/>
      </w:rPr>
    </w:lvl>
    <w:lvl w:ilvl="8" w:tplc="B64C156E" w:tentative="1">
      <w:start w:val="1"/>
      <w:numFmt w:val="bullet"/>
      <w:lvlText w:val=""/>
      <w:lvlJc w:val="left"/>
      <w:pPr>
        <w:ind w:left="6480" w:hanging="360"/>
      </w:pPr>
      <w:rPr>
        <w:rFonts w:ascii="Wingdings" w:hAnsi="Wingdings" w:hint="default"/>
      </w:rPr>
    </w:lvl>
  </w:abstractNum>
  <w:abstractNum w:abstractNumId="41" w15:restartNumberingAfterBreak="0">
    <w:nsid w:val="2F2026AF"/>
    <w:multiLevelType w:val="multilevel"/>
    <w:tmpl w:val="A8C03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19439E6"/>
    <w:multiLevelType w:val="multilevel"/>
    <w:tmpl w:val="3FEA452A"/>
    <w:lvl w:ilvl="0">
      <w:start w:val="1"/>
      <w:numFmt w:val="decimal"/>
      <w:pStyle w:val="Sub-Para1underXY"/>
      <w:suff w:val="nothing"/>
      <w:lvlText w:val="%1"/>
      <w:lvlJc w:val="left"/>
      <w:pPr>
        <w:ind w:left="0" w:firstLine="0"/>
      </w:pPr>
    </w:lvl>
    <w:lvl w:ilvl="1">
      <w:start w:val="1"/>
      <w:numFmt w:val="decimal"/>
      <w:pStyle w:val="Sub-Para2underXY"/>
      <w:lvlText w:val="%2."/>
      <w:lvlJc w:val="left"/>
      <w:pPr>
        <w:tabs>
          <w:tab w:val="num" w:pos="720"/>
        </w:tabs>
        <w:ind w:left="720" w:hanging="720"/>
      </w:pPr>
      <w:rPr>
        <w:b w:val="0"/>
      </w:rPr>
    </w:lvl>
    <w:lvl w:ilvl="2">
      <w:start w:val="1"/>
      <w:numFmt w:val="lowerLetter"/>
      <w:pStyle w:val="Sub-Para3underXY"/>
      <w:lvlText w:val="(%3)"/>
      <w:lvlJc w:val="left"/>
      <w:pPr>
        <w:tabs>
          <w:tab w:val="num" w:pos="1080"/>
        </w:tabs>
        <w:ind w:left="720" w:hanging="360"/>
      </w:pPr>
    </w:lvl>
    <w:lvl w:ilvl="3">
      <w:start w:val="1"/>
      <w:numFmt w:val="lowerRoman"/>
      <w:pStyle w:val="Sub-Para4underXY"/>
      <w:lvlText w:val="(%4)"/>
      <w:lvlJc w:val="left"/>
      <w:pPr>
        <w:tabs>
          <w:tab w:val="num" w:pos="1800"/>
        </w:tabs>
        <w:ind w:left="1080" w:hanging="360"/>
      </w:pPr>
    </w:lvl>
    <w:lvl w:ilvl="4">
      <w:start w:val="1"/>
      <w:numFmt w:val="lowerLetter"/>
      <w:pStyle w:val="Heading1a"/>
      <w:lvlText w:val="%5."/>
      <w:lvlJc w:val="left"/>
      <w:pPr>
        <w:tabs>
          <w:tab w:val="num" w:pos="1440"/>
        </w:tabs>
        <w:ind w:left="1440" w:hanging="360"/>
      </w:pPr>
    </w:lvl>
    <w:lvl w:ilvl="5">
      <w:start w:val="1"/>
      <w:numFmt w:val="lowerRoman"/>
      <w:pStyle w:val="MainParanoChapter"/>
      <w:lvlText w:val="%6."/>
      <w:lvlJc w:val="left"/>
      <w:pPr>
        <w:tabs>
          <w:tab w:val="num" w:pos="2160"/>
        </w:tabs>
        <w:ind w:left="180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15:restartNumberingAfterBreak="0">
    <w:nsid w:val="32577D0B"/>
    <w:multiLevelType w:val="hybridMultilevel"/>
    <w:tmpl w:val="ADB820B2"/>
    <w:lvl w:ilvl="0" w:tplc="64F69932">
      <w:start w:val="1"/>
      <w:numFmt w:val="bullet"/>
      <w:lvlText w:val=""/>
      <w:lvlJc w:val="left"/>
      <w:pPr>
        <w:ind w:left="720" w:hanging="360"/>
      </w:pPr>
      <w:rPr>
        <w:rFonts w:ascii="Symbol" w:hAnsi="Symbol" w:hint="default"/>
      </w:rPr>
    </w:lvl>
    <w:lvl w:ilvl="1" w:tplc="B296D9D0" w:tentative="1">
      <w:start w:val="1"/>
      <w:numFmt w:val="bullet"/>
      <w:lvlText w:val="o"/>
      <w:lvlJc w:val="left"/>
      <w:pPr>
        <w:ind w:left="1440" w:hanging="360"/>
      </w:pPr>
      <w:rPr>
        <w:rFonts w:ascii="Courier New" w:hAnsi="Courier New" w:hint="default"/>
      </w:rPr>
    </w:lvl>
    <w:lvl w:ilvl="2" w:tplc="8BACB2A6" w:tentative="1">
      <w:start w:val="1"/>
      <w:numFmt w:val="bullet"/>
      <w:lvlText w:val=""/>
      <w:lvlJc w:val="left"/>
      <w:pPr>
        <w:ind w:left="2160" w:hanging="360"/>
      </w:pPr>
      <w:rPr>
        <w:rFonts w:ascii="Wingdings" w:hAnsi="Wingdings" w:hint="default"/>
      </w:rPr>
    </w:lvl>
    <w:lvl w:ilvl="3" w:tplc="12720B66" w:tentative="1">
      <w:start w:val="1"/>
      <w:numFmt w:val="bullet"/>
      <w:lvlText w:val=""/>
      <w:lvlJc w:val="left"/>
      <w:pPr>
        <w:ind w:left="2880" w:hanging="360"/>
      </w:pPr>
      <w:rPr>
        <w:rFonts w:ascii="Symbol" w:hAnsi="Symbol" w:hint="default"/>
      </w:rPr>
    </w:lvl>
    <w:lvl w:ilvl="4" w:tplc="85BE39DA" w:tentative="1">
      <w:start w:val="1"/>
      <w:numFmt w:val="bullet"/>
      <w:lvlText w:val="o"/>
      <w:lvlJc w:val="left"/>
      <w:pPr>
        <w:ind w:left="3600" w:hanging="360"/>
      </w:pPr>
      <w:rPr>
        <w:rFonts w:ascii="Courier New" w:hAnsi="Courier New" w:hint="default"/>
      </w:rPr>
    </w:lvl>
    <w:lvl w:ilvl="5" w:tplc="BC7A470C" w:tentative="1">
      <w:start w:val="1"/>
      <w:numFmt w:val="bullet"/>
      <w:lvlText w:val=""/>
      <w:lvlJc w:val="left"/>
      <w:pPr>
        <w:ind w:left="4320" w:hanging="360"/>
      </w:pPr>
      <w:rPr>
        <w:rFonts w:ascii="Wingdings" w:hAnsi="Wingdings" w:hint="default"/>
      </w:rPr>
    </w:lvl>
    <w:lvl w:ilvl="6" w:tplc="06A2BE16" w:tentative="1">
      <w:start w:val="1"/>
      <w:numFmt w:val="bullet"/>
      <w:lvlText w:val=""/>
      <w:lvlJc w:val="left"/>
      <w:pPr>
        <w:ind w:left="5040" w:hanging="360"/>
      </w:pPr>
      <w:rPr>
        <w:rFonts w:ascii="Symbol" w:hAnsi="Symbol" w:hint="default"/>
      </w:rPr>
    </w:lvl>
    <w:lvl w:ilvl="7" w:tplc="D2C8FCB6" w:tentative="1">
      <w:start w:val="1"/>
      <w:numFmt w:val="bullet"/>
      <w:lvlText w:val="o"/>
      <w:lvlJc w:val="left"/>
      <w:pPr>
        <w:ind w:left="5760" w:hanging="360"/>
      </w:pPr>
      <w:rPr>
        <w:rFonts w:ascii="Courier New" w:hAnsi="Courier New" w:hint="default"/>
      </w:rPr>
    </w:lvl>
    <w:lvl w:ilvl="8" w:tplc="8282325E" w:tentative="1">
      <w:start w:val="1"/>
      <w:numFmt w:val="bullet"/>
      <w:lvlText w:val=""/>
      <w:lvlJc w:val="left"/>
      <w:pPr>
        <w:ind w:left="6480" w:hanging="360"/>
      </w:pPr>
      <w:rPr>
        <w:rFonts w:ascii="Wingdings" w:hAnsi="Wingdings" w:hint="default"/>
      </w:rPr>
    </w:lvl>
  </w:abstractNum>
  <w:abstractNum w:abstractNumId="44" w15:restartNumberingAfterBreak="0">
    <w:nsid w:val="33EB5EC8"/>
    <w:multiLevelType w:val="hybridMultilevel"/>
    <w:tmpl w:val="23E439F2"/>
    <w:lvl w:ilvl="0" w:tplc="7D50CB90">
      <w:start w:val="1"/>
      <w:numFmt w:val="bullet"/>
      <w:lvlText w:val=""/>
      <w:lvlJc w:val="left"/>
      <w:pPr>
        <w:ind w:left="720" w:hanging="360"/>
      </w:pPr>
      <w:rPr>
        <w:rFonts w:ascii="Symbol" w:hAnsi="Symbol" w:hint="default"/>
      </w:rPr>
    </w:lvl>
    <w:lvl w:ilvl="1" w:tplc="D5DACAD2">
      <w:start w:val="1"/>
      <w:numFmt w:val="bullet"/>
      <w:lvlText w:val="o"/>
      <w:lvlJc w:val="left"/>
      <w:pPr>
        <w:ind w:left="1440" w:hanging="360"/>
      </w:pPr>
      <w:rPr>
        <w:rFonts w:ascii="Courier New" w:hAnsi="Courier New" w:hint="default"/>
      </w:rPr>
    </w:lvl>
    <w:lvl w:ilvl="2" w:tplc="85A48A7A">
      <w:start w:val="1"/>
      <w:numFmt w:val="bullet"/>
      <w:lvlText w:val=""/>
      <w:lvlJc w:val="left"/>
      <w:pPr>
        <w:ind w:left="2160" w:hanging="360"/>
      </w:pPr>
      <w:rPr>
        <w:rFonts w:ascii="Wingdings" w:hAnsi="Wingdings" w:hint="default"/>
      </w:rPr>
    </w:lvl>
    <w:lvl w:ilvl="3" w:tplc="F5960460">
      <w:start w:val="1"/>
      <w:numFmt w:val="bullet"/>
      <w:lvlText w:val=""/>
      <w:lvlJc w:val="left"/>
      <w:pPr>
        <w:ind w:left="2880" w:hanging="360"/>
      </w:pPr>
      <w:rPr>
        <w:rFonts w:ascii="Symbol" w:hAnsi="Symbol" w:hint="default"/>
      </w:rPr>
    </w:lvl>
    <w:lvl w:ilvl="4" w:tplc="1A7446C2">
      <w:start w:val="1"/>
      <w:numFmt w:val="bullet"/>
      <w:lvlText w:val="o"/>
      <w:lvlJc w:val="left"/>
      <w:pPr>
        <w:ind w:left="3600" w:hanging="360"/>
      </w:pPr>
      <w:rPr>
        <w:rFonts w:ascii="Courier New" w:hAnsi="Courier New" w:hint="default"/>
      </w:rPr>
    </w:lvl>
    <w:lvl w:ilvl="5" w:tplc="FC5A9ABA">
      <w:start w:val="1"/>
      <w:numFmt w:val="bullet"/>
      <w:lvlText w:val=""/>
      <w:lvlJc w:val="left"/>
      <w:pPr>
        <w:ind w:left="4320" w:hanging="360"/>
      </w:pPr>
      <w:rPr>
        <w:rFonts w:ascii="Wingdings" w:hAnsi="Wingdings" w:hint="default"/>
      </w:rPr>
    </w:lvl>
    <w:lvl w:ilvl="6" w:tplc="3D16FC8E">
      <w:start w:val="1"/>
      <w:numFmt w:val="bullet"/>
      <w:lvlText w:val=""/>
      <w:lvlJc w:val="left"/>
      <w:pPr>
        <w:ind w:left="5040" w:hanging="360"/>
      </w:pPr>
      <w:rPr>
        <w:rFonts w:ascii="Symbol" w:hAnsi="Symbol" w:hint="default"/>
      </w:rPr>
    </w:lvl>
    <w:lvl w:ilvl="7" w:tplc="9B78BAA2">
      <w:start w:val="1"/>
      <w:numFmt w:val="bullet"/>
      <w:lvlText w:val="o"/>
      <w:lvlJc w:val="left"/>
      <w:pPr>
        <w:ind w:left="5760" w:hanging="360"/>
      </w:pPr>
      <w:rPr>
        <w:rFonts w:ascii="Courier New" w:hAnsi="Courier New" w:hint="default"/>
      </w:rPr>
    </w:lvl>
    <w:lvl w:ilvl="8" w:tplc="478297E4">
      <w:start w:val="1"/>
      <w:numFmt w:val="bullet"/>
      <w:lvlText w:val=""/>
      <w:lvlJc w:val="left"/>
      <w:pPr>
        <w:ind w:left="6480" w:hanging="360"/>
      </w:pPr>
      <w:rPr>
        <w:rFonts w:ascii="Wingdings" w:hAnsi="Wingdings" w:hint="default"/>
      </w:rPr>
    </w:lvl>
  </w:abstractNum>
  <w:abstractNum w:abstractNumId="45" w15:restartNumberingAfterBreak="0">
    <w:nsid w:val="3424B7B7"/>
    <w:multiLevelType w:val="hybridMultilevel"/>
    <w:tmpl w:val="2BFCB37E"/>
    <w:lvl w:ilvl="0" w:tplc="70C4887C">
      <w:start w:val="1"/>
      <w:numFmt w:val="decimal"/>
      <w:lvlText w:val="%1."/>
      <w:lvlJc w:val="left"/>
      <w:pPr>
        <w:ind w:left="720" w:hanging="360"/>
      </w:pPr>
      <w:rPr>
        <w:rFonts w:ascii="Arial" w:hAnsi="Arial" w:hint="default"/>
      </w:rPr>
    </w:lvl>
    <w:lvl w:ilvl="1" w:tplc="7D7472FA">
      <w:start w:val="1"/>
      <w:numFmt w:val="lowerLetter"/>
      <w:lvlText w:val="%2."/>
      <w:lvlJc w:val="left"/>
      <w:pPr>
        <w:ind w:left="1440" w:hanging="360"/>
      </w:pPr>
    </w:lvl>
    <w:lvl w:ilvl="2" w:tplc="45F06F6A">
      <w:start w:val="1"/>
      <w:numFmt w:val="lowerRoman"/>
      <w:lvlText w:val="%3."/>
      <w:lvlJc w:val="right"/>
      <w:pPr>
        <w:ind w:left="2160" w:hanging="180"/>
      </w:pPr>
    </w:lvl>
    <w:lvl w:ilvl="3" w:tplc="A2AE7EA2">
      <w:start w:val="1"/>
      <w:numFmt w:val="decimal"/>
      <w:lvlText w:val="%4."/>
      <w:lvlJc w:val="left"/>
      <w:pPr>
        <w:ind w:left="2880" w:hanging="360"/>
      </w:pPr>
    </w:lvl>
    <w:lvl w:ilvl="4" w:tplc="9102954C">
      <w:start w:val="1"/>
      <w:numFmt w:val="lowerLetter"/>
      <w:lvlText w:val="%5."/>
      <w:lvlJc w:val="left"/>
      <w:pPr>
        <w:ind w:left="3600" w:hanging="360"/>
      </w:pPr>
    </w:lvl>
    <w:lvl w:ilvl="5" w:tplc="ED6AADE2">
      <w:start w:val="1"/>
      <w:numFmt w:val="lowerRoman"/>
      <w:lvlText w:val="%6."/>
      <w:lvlJc w:val="right"/>
      <w:pPr>
        <w:ind w:left="4320" w:hanging="180"/>
      </w:pPr>
    </w:lvl>
    <w:lvl w:ilvl="6" w:tplc="68888A34">
      <w:start w:val="1"/>
      <w:numFmt w:val="decimal"/>
      <w:lvlText w:val="%7."/>
      <w:lvlJc w:val="left"/>
      <w:pPr>
        <w:ind w:left="5040" w:hanging="360"/>
      </w:pPr>
    </w:lvl>
    <w:lvl w:ilvl="7" w:tplc="76A297B2">
      <w:start w:val="1"/>
      <w:numFmt w:val="lowerLetter"/>
      <w:lvlText w:val="%8."/>
      <w:lvlJc w:val="left"/>
      <w:pPr>
        <w:ind w:left="5760" w:hanging="360"/>
      </w:pPr>
    </w:lvl>
    <w:lvl w:ilvl="8" w:tplc="301C15CC">
      <w:start w:val="1"/>
      <w:numFmt w:val="lowerRoman"/>
      <w:lvlText w:val="%9."/>
      <w:lvlJc w:val="right"/>
      <w:pPr>
        <w:ind w:left="6480" w:hanging="180"/>
      </w:pPr>
    </w:lvl>
  </w:abstractNum>
  <w:abstractNum w:abstractNumId="46" w15:restartNumberingAfterBreak="0">
    <w:nsid w:val="35EC6173"/>
    <w:multiLevelType w:val="multilevel"/>
    <w:tmpl w:val="78FCC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6D244B0"/>
    <w:multiLevelType w:val="hybridMultilevel"/>
    <w:tmpl w:val="99A4A4F0"/>
    <w:lvl w:ilvl="0" w:tplc="36502CEE">
      <w:start w:val="1"/>
      <w:numFmt w:val="bullet"/>
      <w:lvlText w:val=""/>
      <w:lvlJc w:val="left"/>
      <w:pPr>
        <w:ind w:left="720" w:hanging="360"/>
      </w:pPr>
      <w:rPr>
        <w:rFonts w:ascii="Symbol" w:hAnsi="Symbol" w:hint="default"/>
      </w:rPr>
    </w:lvl>
    <w:lvl w:ilvl="1" w:tplc="19B6A046" w:tentative="1">
      <w:start w:val="1"/>
      <w:numFmt w:val="bullet"/>
      <w:lvlText w:val="o"/>
      <w:lvlJc w:val="left"/>
      <w:pPr>
        <w:ind w:left="1440" w:hanging="360"/>
      </w:pPr>
      <w:rPr>
        <w:rFonts w:ascii="Courier New" w:hAnsi="Courier New" w:hint="default"/>
      </w:rPr>
    </w:lvl>
    <w:lvl w:ilvl="2" w:tplc="22D6F524" w:tentative="1">
      <w:start w:val="1"/>
      <w:numFmt w:val="bullet"/>
      <w:lvlText w:val=""/>
      <w:lvlJc w:val="left"/>
      <w:pPr>
        <w:ind w:left="2160" w:hanging="360"/>
      </w:pPr>
      <w:rPr>
        <w:rFonts w:ascii="Wingdings" w:hAnsi="Wingdings" w:hint="default"/>
      </w:rPr>
    </w:lvl>
    <w:lvl w:ilvl="3" w:tplc="EB9EA372" w:tentative="1">
      <w:start w:val="1"/>
      <w:numFmt w:val="bullet"/>
      <w:lvlText w:val=""/>
      <w:lvlJc w:val="left"/>
      <w:pPr>
        <w:ind w:left="2880" w:hanging="360"/>
      </w:pPr>
      <w:rPr>
        <w:rFonts w:ascii="Symbol" w:hAnsi="Symbol" w:hint="default"/>
      </w:rPr>
    </w:lvl>
    <w:lvl w:ilvl="4" w:tplc="D9C032A6" w:tentative="1">
      <w:start w:val="1"/>
      <w:numFmt w:val="bullet"/>
      <w:lvlText w:val="o"/>
      <w:lvlJc w:val="left"/>
      <w:pPr>
        <w:ind w:left="3600" w:hanging="360"/>
      </w:pPr>
      <w:rPr>
        <w:rFonts w:ascii="Courier New" w:hAnsi="Courier New" w:hint="default"/>
      </w:rPr>
    </w:lvl>
    <w:lvl w:ilvl="5" w:tplc="89388CCA" w:tentative="1">
      <w:start w:val="1"/>
      <w:numFmt w:val="bullet"/>
      <w:lvlText w:val=""/>
      <w:lvlJc w:val="left"/>
      <w:pPr>
        <w:ind w:left="4320" w:hanging="360"/>
      </w:pPr>
      <w:rPr>
        <w:rFonts w:ascii="Wingdings" w:hAnsi="Wingdings" w:hint="default"/>
      </w:rPr>
    </w:lvl>
    <w:lvl w:ilvl="6" w:tplc="961E6506" w:tentative="1">
      <w:start w:val="1"/>
      <w:numFmt w:val="bullet"/>
      <w:lvlText w:val=""/>
      <w:lvlJc w:val="left"/>
      <w:pPr>
        <w:ind w:left="5040" w:hanging="360"/>
      </w:pPr>
      <w:rPr>
        <w:rFonts w:ascii="Symbol" w:hAnsi="Symbol" w:hint="default"/>
      </w:rPr>
    </w:lvl>
    <w:lvl w:ilvl="7" w:tplc="EE803616" w:tentative="1">
      <w:start w:val="1"/>
      <w:numFmt w:val="bullet"/>
      <w:lvlText w:val="o"/>
      <w:lvlJc w:val="left"/>
      <w:pPr>
        <w:ind w:left="5760" w:hanging="360"/>
      </w:pPr>
      <w:rPr>
        <w:rFonts w:ascii="Courier New" w:hAnsi="Courier New" w:hint="default"/>
      </w:rPr>
    </w:lvl>
    <w:lvl w:ilvl="8" w:tplc="4FDE67F0" w:tentative="1">
      <w:start w:val="1"/>
      <w:numFmt w:val="bullet"/>
      <w:lvlText w:val=""/>
      <w:lvlJc w:val="left"/>
      <w:pPr>
        <w:ind w:left="6480" w:hanging="360"/>
      </w:pPr>
      <w:rPr>
        <w:rFonts w:ascii="Wingdings" w:hAnsi="Wingdings" w:hint="default"/>
      </w:rPr>
    </w:lvl>
  </w:abstractNum>
  <w:abstractNum w:abstractNumId="48" w15:restartNumberingAfterBreak="0">
    <w:nsid w:val="377365E1"/>
    <w:multiLevelType w:val="multilevel"/>
    <w:tmpl w:val="9F2832B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38E30893"/>
    <w:multiLevelType w:val="multilevel"/>
    <w:tmpl w:val="345C2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3D06565B"/>
    <w:multiLevelType w:val="hybridMultilevel"/>
    <w:tmpl w:val="491C0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D6F7B24"/>
    <w:multiLevelType w:val="multilevel"/>
    <w:tmpl w:val="C024C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3D7750B4"/>
    <w:multiLevelType w:val="hybridMultilevel"/>
    <w:tmpl w:val="13ECC9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F001CEE"/>
    <w:multiLevelType w:val="multilevel"/>
    <w:tmpl w:val="90D8561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val="0"/>
        <w:color w:val="000000" w:themeColor="text1"/>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3FE338C8"/>
    <w:multiLevelType w:val="hybridMultilevel"/>
    <w:tmpl w:val="4490A934"/>
    <w:lvl w:ilvl="0" w:tplc="C90C44D6">
      <w:start w:val="1"/>
      <w:numFmt w:val="lowerLetter"/>
      <w:pStyle w:val="Sub-Para1underX"/>
      <w:lvlText w:val="(%1)"/>
      <w:lvlJc w:val="left"/>
      <w:pPr>
        <w:ind w:left="1170" w:hanging="360"/>
      </w:pPr>
      <w:rPr>
        <w:rFonts w:hint="default"/>
      </w:rPr>
    </w:lvl>
    <w:lvl w:ilvl="1" w:tplc="10090019">
      <w:start w:val="1"/>
      <w:numFmt w:val="lowerLetter"/>
      <w:lvlText w:val="%2."/>
      <w:lvlJc w:val="left"/>
      <w:pPr>
        <w:ind w:left="1620" w:hanging="360"/>
      </w:pPr>
    </w:lvl>
    <w:lvl w:ilvl="2" w:tplc="1009001B">
      <w:start w:val="1"/>
      <w:numFmt w:val="lowerRoman"/>
      <w:lvlText w:val="%3."/>
      <w:lvlJc w:val="right"/>
      <w:pPr>
        <w:ind w:left="2340" w:hanging="180"/>
      </w:pPr>
    </w:lvl>
    <w:lvl w:ilvl="3" w:tplc="1009000F">
      <w:start w:val="1"/>
      <w:numFmt w:val="decimal"/>
      <w:lvlText w:val="%4."/>
      <w:lvlJc w:val="left"/>
      <w:pPr>
        <w:ind w:left="3060" w:hanging="360"/>
      </w:pPr>
    </w:lvl>
    <w:lvl w:ilvl="4" w:tplc="10090019">
      <w:start w:val="1"/>
      <w:numFmt w:val="lowerLetter"/>
      <w:lvlText w:val="%5."/>
      <w:lvlJc w:val="left"/>
      <w:pPr>
        <w:ind w:left="3780" w:hanging="360"/>
      </w:pPr>
    </w:lvl>
    <w:lvl w:ilvl="5" w:tplc="1009001B" w:tentative="1">
      <w:start w:val="1"/>
      <w:numFmt w:val="lowerRoman"/>
      <w:lvlText w:val="%6."/>
      <w:lvlJc w:val="right"/>
      <w:pPr>
        <w:ind w:left="4500" w:hanging="180"/>
      </w:pPr>
    </w:lvl>
    <w:lvl w:ilvl="6" w:tplc="1009000F" w:tentative="1">
      <w:start w:val="1"/>
      <w:numFmt w:val="decimal"/>
      <w:lvlText w:val="%7."/>
      <w:lvlJc w:val="left"/>
      <w:pPr>
        <w:ind w:left="5220" w:hanging="360"/>
      </w:pPr>
    </w:lvl>
    <w:lvl w:ilvl="7" w:tplc="10090019" w:tentative="1">
      <w:start w:val="1"/>
      <w:numFmt w:val="lowerLetter"/>
      <w:lvlText w:val="%8."/>
      <w:lvlJc w:val="left"/>
      <w:pPr>
        <w:ind w:left="5940" w:hanging="360"/>
      </w:pPr>
    </w:lvl>
    <w:lvl w:ilvl="8" w:tplc="1009001B" w:tentative="1">
      <w:start w:val="1"/>
      <w:numFmt w:val="lowerRoman"/>
      <w:lvlText w:val="%9."/>
      <w:lvlJc w:val="right"/>
      <w:pPr>
        <w:ind w:left="6660" w:hanging="180"/>
      </w:pPr>
    </w:lvl>
  </w:abstractNum>
  <w:abstractNum w:abstractNumId="55" w15:restartNumberingAfterBreak="0">
    <w:nsid w:val="416046F1"/>
    <w:multiLevelType w:val="hybridMultilevel"/>
    <w:tmpl w:val="FFFFFFFF"/>
    <w:lvl w:ilvl="0" w:tplc="EBB05394">
      <w:start w:val="1"/>
      <w:numFmt w:val="bullet"/>
      <w:lvlText w:val=""/>
      <w:lvlJc w:val="left"/>
      <w:pPr>
        <w:ind w:left="1800" w:hanging="360"/>
      </w:pPr>
      <w:rPr>
        <w:rFonts w:ascii="Symbol" w:hAnsi="Symbol" w:hint="default"/>
      </w:rPr>
    </w:lvl>
    <w:lvl w:ilvl="1" w:tplc="B0007376">
      <w:start w:val="1"/>
      <w:numFmt w:val="bullet"/>
      <w:lvlText w:val="o"/>
      <w:lvlJc w:val="left"/>
      <w:pPr>
        <w:ind w:left="2520" w:hanging="360"/>
      </w:pPr>
      <w:rPr>
        <w:rFonts w:ascii="Courier New" w:hAnsi="Courier New" w:hint="default"/>
      </w:rPr>
    </w:lvl>
    <w:lvl w:ilvl="2" w:tplc="0952DE60">
      <w:start w:val="1"/>
      <w:numFmt w:val="bullet"/>
      <w:lvlText w:val=""/>
      <w:lvlJc w:val="left"/>
      <w:pPr>
        <w:ind w:left="3240" w:hanging="360"/>
      </w:pPr>
      <w:rPr>
        <w:rFonts w:ascii="Wingdings" w:hAnsi="Wingdings" w:hint="default"/>
      </w:rPr>
    </w:lvl>
    <w:lvl w:ilvl="3" w:tplc="81D43ADE">
      <w:start w:val="1"/>
      <w:numFmt w:val="bullet"/>
      <w:lvlText w:val=""/>
      <w:lvlJc w:val="left"/>
      <w:pPr>
        <w:ind w:left="3960" w:hanging="360"/>
      </w:pPr>
      <w:rPr>
        <w:rFonts w:ascii="Symbol" w:hAnsi="Symbol" w:hint="default"/>
      </w:rPr>
    </w:lvl>
    <w:lvl w:ilvl="4" w:tplc="B6EC04F2">
      <w:start w:val="1"/>
      <w:numFmt w:val="bullet"/>
      <w:lvlText w:val="o"/>
      <w:lvlJc w:val="left"/>
      <w:pPr>
        <w:ind w:left="4680" w:hanging="360"/>
      </w:pPr>
      <w:rPr>
        <w:rFonts w:ascii="Courier New" w:hAnsi="Courier New" w:hint="default"/>
      </w:rPr>
    </w:lvl>
    <w:lvl w:ilvl="5" w:tplc="1032A73A">
      <w:start w:val="1"/>
      <w:numFmt w:val="bullet"/>
      <w:lvlText w:val=""/>
      <w:lvlJc w:val="left"/>
      <w:pPr>
        <w:ind w:left="5400" w:hanging="360"/>
      </w:pPr>
      <w:rPr>
        <w:rFonts w:ascii="Wingdings" w:hAnsi="Wingdings" w:hint="default"/>
      </w:rPr>
    </w:lvl>
    <w:lvl w:ilvl="6" w:tplc="DCB8371A">
      <w:start w:val="1"/>
      <w:numFmt w:val="bullet"/>
      <w:lvlText w:val=""/>
      <w:lvlJc w:val="left"/>
      <w:pPr>
        <w:ind w:left="6120" w:hanging="360"/>
      </w:pPr>
      <w:rPr>
        <w:rFonts w:ascii="Symbol" w:hAnsi="Symbol" w:hint="default"/>
      </w:rPr>
    </w:lvl>
    <w:lvl w:ilvl="7" w:tplc="46BCE916">
      <w:start w:val="1"/>
      <w:numFmt w:val="bullet"/>
      <w:lvlText w:val="o"/>
      <w:lvlJc w:val="left"/>
      <w:pPr>
        <w:ind w:left="6840" w:hanging="360"/>
      </w:pPr>
      <w:rPr>
        <w:rFonts w:ascii="Courier New" w:hAnsi="Courier New" w:hint="default"/>
      </w:rPr>
    </w:lvl>
    <w:lvl w:ilvl="8" w:tplc="7CE27966">
      <w:start w:val="1"/>
      <w:numFmt w:val="bullet"/>
      <w:lvlText w:val=""/>
      <w:lvlJc w:val="left"/>
      <w:pPr>
        <w:ind w:left="7560" w:hanging="360"/>
      </w:pPr>
      <w:rPr>
        <w:rFonts w:ascii="Wingdings" w:hAnsi="Wingdings" w:hint="default"/>
      </w:rPr>
    </w:lvl>
  </w:abstractNum>
  <w:abstractNum w:abstractNumId="56" w15:restartNumberingAfterBreak="0">
    <w:nsid w:val="41663414"/>
    <w:multiLevelType w:val="hybridMultilevel"/>
    <w:tmpl w:val="672EBBC0"/>
    <w:lvl w:ilvl="0" w:tplc="A7C85194">
      <w:start w:val="1"/>
      <w:numFmt w:val="bullet"/>
      <w:lvlText w:val=""/>
      <w:lvlJc w:val="left"/>
      <w:pPr>
        <w:ind w:left="720" w:hanging="360"/>
      </w:pPr>
      <w:rPr>
        <w:rFonts w:ascii="Symbol" w:hAnsi="Symbol" w:hint="default"/>
      </w:rPr>
    </w:lvl>
    <w:lvl w:ilvl="1" w:tplc="EFA64F74" w:tentative="1">
      <w:start w:val="1"/>
      <w:numFmt w:val="bullet"/>
      <w:lvlText w:val="o"/>
      <w:lvlJc w:val="left"/>
      <w:pPr>
        <w:ind w:left="1440" w:hanging="360"/>
      </w:pPr>
      <w:rPr>
        <w:rFonts w:ascii="Courier New" w:hAnsi="Courier New" w:hint="default"/>
      </w:rPr>
    </w:lvl>
    <w:lvl w:ilvl="2" w:tplc="733055F2" w:tentative="1">
      <w:start w:val="1"/>
      <w:numFmt w:val="bullet"/>
      <w:lvlText w:val=""/>
      <w:lvlJc w:val="left"/>
      <w:pPr>
        <w:ind w:left="2160" w:hanging="360"/>
      </w:pPr>
      <w:rPr>
        <w:rFonts w:ascii="Wingdings" w:hAnsi="Wingdings" w:hint="default"/>
      </w:rPr>
    </w:lvl>
    <w:lvl w:ilvl="3" w:tplc="A4D62168" w:tentative="1">
      <w:start w:val="1"/>
      <w:numFmt w:val="bullet"/>
      <w:lvlText w:val=""/>
      <w:lvlJc w:val="left"/>
      <w:pPr>
        <w:ind w:left="2880" w:hanging="360"/>
      </w:pPr>
      <w:rPr>
        <w:rFonts w:ascii="Symbol" w:hAnsi="Symbol" w:hint="default"/>
      </w:rPr>
    </w:lvl>
    <w:lvl w:ilvl="4" w:tplc="1EAAE616" w:tentative="1">
      <w:start w:val="1"/>
      <w:numFmt w:val="bullet"/>
      <w:lvlText w:val="o"/>
      <w:lvlJc w:val="left"/>
      <w:pPr>
        <w:ind w:left="3600" w:hanging="360"/>
      </w:pPr>
      <w:rPr>
        <w:rFonts w:ascii="Courier New" w:hAnsi="Courier New" w:hint="default"/>
      </w:rPr>
    </w:lvl>
    <w:lvl w:ilvl="5" w:tplc="66BEF9EE" w:tentative="1">
      <w:start w:val="1"/>
      <w:numFmt w:val="bullet"/>
      <w:lvlText w:val=""/>
      <w:lvlJc w:val="left"/>
      <w:pPr>
        <w:ind w:left="4320" w:hanging="360"/>
      </w:pPr>
      <w:rPr>
        <w:rFonts w:ascii="Wingdings" w:hAnsi="Wingdings" w:hint="default"/>
      </w:rPr>
    </w:lvl>
    <w:lvl w:ilvl="6" w:tplc="DA5EDA98" w:tentative="1">
      <w:start w:val="1"/>
      <w:numFmt w:val="bullet"/>
      <w:lvlText w:val=""/>
      <w:lvlJc w:val="left"/>
      <w:pPr>
        <w:ind w:left="5040" w:hanging="360"/>
      </w:pPr>
      <w:rPr>
        <w:rFonts w:ascii="Symbol" w:hAnsi="Symbol" w:hint="default"/>
      </w:rPr>
    </w:lvl>
    <w:lvl w:ilvl="7" w:tplc="797ACDF6" w:tentative="1">
      <w:start w:val="1"/>
      <w:numFmt w:val="bullet"/>
      <w:lvlText w:val="o"/>
      <w:lvlJc w:val="left"/>
      <w:pPr>
        <w:ind w:left="5760" w:hanging="360"/>
      </w:pPr>
      <w:rPr>
        <w:rFonts w:ascii="Courier New" w:hAnsi="Courier New" w:hint="default"/>
      </w:rPr>
    </w:lvl>
    <w:lvl w:ilvl="8" w:tplc="FA145AC8" w:tentative="1">
      <w:start w:val="1"/>
      <w:numFmt w:val="bullet"/>
      <w:lvlText w:val=""/>
      <w:lvlJc w:val="left"/>
      <w:pPr>
        <w:ind w:left="6480" w:hanging="360"/>
      </w:pPr>
      <w:rPr>
        <w:rFonts w:ascii="Wingdings" w:hAnsi="Wingdings" w:hint="default"/>
      </w:rPr>
    </w:lvl>
  </w:abstractNum>
  <w:abstractNum w:abstractNumId="57" w15:restartNumberingAfterBreak="0">
    <w:nsid w:val="41EB2506"/>
    <w:multiLevelType w:val="multilevel"/>
    <w:tmpl w:val="209C473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492E5D8"/>
    <w:multiLevelType w:val="hybridMultilevel"/>
    <w:tmpl w:val="FFFFFFFF"/>
    <w:lvl w:ilvl="0" w:tplc="F510EF7A">
      <w:start w:val="1"/>
      <w:numFmt w:val="bullet"/>
      <w:lvlText w:val=""/>
      <w:lvlJc w:val="left"/>
      <w:pPr>
        <w:ind w:left="720" w:hanging="360"/>
      </w:pPr>
      <w:rPr>
        <w:rFonts w:ascii="Symbol" w:hAnsi="Symbol" w:hint="default"/>
      </w:rPr>
    </w:lvl>
    <w:lvl w:ilvl="1" w:tplc="B4408D28">
      <w:start w:val="1"/>
      <w:numFmt w:val="bullet"/>
      <w:lvlText w:val="o"/>
      <w:lvlJc w:val="left"/>
      <w:pPr>
        <w:ind w:left="1440" w:hanging="360"/>
      </w:pPr>
      <w:rPr>
        <w:rFonts w:ascii="Courier New" w:hAnsi="Courier New" w:hint="default"/>
      </w:rPr>
    </w:lvl>
    <w:lvl w:ilvl="2" w:tplc="A3E2828C">
      <w:start w:val="1"/>
      <w:numFmt w:val="bullet"/>
      <w:lvlText w:val=""/>
      <w:lvlJc w:val="left"/>
      <w:pPr>
        <w:ind w:left="2160" w:hanging="360"/>
      </w:pPr>
      <w:rPr>
        <w:rFonts w:ascii="Wingdings" w:hAnsi="Wingdings" w:hint="default"/>
      </w:rPr>
    </w:lvl>
    <w:lvl w:ilvl="3" w:tplc="C5968496">
      <w:start w:val="1"/>
      <w:numFmt w:val="bullet"/>
      <w:lvlText w:val=""/>
      <w:lvlJc w:val="left"/>
      <w:pPr>
        <w:ind w:left="2880" w:hanging="360"/>
      </w:pPr>
      <w:rPr>
        <w:rFonts w:ascii="Symbol" w:hAnsi="Symbol" w:hint="default"/>
      </w:rPr>
    </w:lvl>
    <w:lvl w:ilvl="4" w:tplc="12B057C2">
      <w:start w:val="1"/>
      <w:numFmt w:val="bullet"/>
      <w:lvlText w:val="o"/>
      <w:lvlJc w:val="left"/>
      <w:pPr>
        <w:ind w:left="3600" w:hanging="360"/>
      </w:pPr>
      <w:rPr>
        <w:rFonts w:ascii="Courier New" w:hAnsi="Courier New" w:hint="default"/>
      </w:rPr>
    </w:lvl>
    <w:lvl w:ilvl="5" w:tplc="441E871C">
      <w:start w:val="1"/>
      <w:numFmt w:val="bullet"/>
      <w:lvlText w:val=""/>
      <w:lvlJc w:val="left"/>
      <w:pPr>
        <w:ind w:left="4320" w:hanging="360"/>
      </w:pPr>
      <w:rPr>
        <w:rFonts w:ascii="Wingdings" w:hAnsi="Wingdings" w:hint="default"/>
      </w:rPr>
    </w:lvl>
    <w:lvl w:ilvl="6" w:tplc="CE482914">
      <w:start w:val="1"/>
      <w:numFmt w:val="bullet"/>
      <w:lvlText w:val=""/>
      <w:lvlJc w:val="left"/>
      <w:pPr>
        <w:ind w:left="5040" w:hanging="360"/>
      </w:pPr>
      <w:rPr>
        <w:rFonts w:ascii="Symbol" w:hAnsi="Symbol" w:hint="default"/>
      </w:rPr>
    </w:lvl>
    <w:lvl w:ilvl="7" w:tplc="544ECCDE">
      <w:start w:val="1"/>
      <w:numFmt w:val="bullet"/>
      <w:lvlText w:val="o"/>
      <w:lvlJc w:val="left"/>
      <w:pPr>
        <w:ind w:left="5760" w:hanging="360"/>
      </w:pPr>
      <w:rPr>
        <w:rFonts w:ascii="Courier New" w:hAnsi="Courier New" w:hint="default"/>
      </w:rPr>
    </w:lvl>
    <w:lvl w:ilvl="8" w:tplc="F9E2017A">
      <w:start w:val="1"/>
      <w:numFmt w:val="bullet"/>
      <w:lvlText w:val=""/>
      <w:lvlJc w:val="left"/>
      <w:pPr>
        <w:ind w:left="6480" w:hanging="360"/>
      </w:pPr>
      <w:rPr>
        <w:rFonts w:ascii="Wingdings" w:hAnsi="Wingdings" w:hint="default"/>
      </w:rPr>
    </w:lvl>
  </w:abstractNum>
  <w:abstractNum w:abstractNumId="59" w15:restartNumberingAfterBreak="0">
    <w:nsid w:val="45FB6A47"/>
    <w:multiLevelType w:val="hybridMultilevel"/>
    <w:tmpl w:val="8A4E47FE"/>
    <w:lvl w:ilvl="0" w:tplc="688633CE">
      <w:start w:val="1"/>
      <w:numFmt w:val="bullet"/>
      <w:lvlText w:val=""/>
      <w:lvlJc w:val="left"/>
      <w:pPr>
        <w:ind w:left="720" w:hanging="360"/>
      </w:pPr>
      <w:rPr>
        <w:rFonts w:ascii="Symbol" w:hAnsi="Symbol" w:hint="default"/>
      </w:rPr>
    </w:lvl>
    <w:lvl w:ilvl="1" w:tplc="D6CA86B6">
      <w:start w:val="1"/>
      <w:numFmt w:val="bullet"/>
      <w:lvlText w:val="o"/>
      <w:lvlJc w:val="left"/>
      <w:pPr>
        <w:ind w:left="1440" w:hanging="360"/>
      </w:pPr>
      <w:rPr>
        <w:rFonts w:ascii="Courier New" w:hAnsi="Courier New" w:hint="default"/>
      </w:rPr>
    </w:lvl>
    <w:lvl w:ilvl="2" w:tplc="7CE82FC2">
      <w:start w:val="1"/>
      <w:numFmt w:val="bullet"/>
      <w:lvlText w:val=""/>
      <w:lvlJc w:val="left"/>
      <w:pPr>
        <w:ind w:left="2160" w:hanging="360"/>
      </w:pPr>
      <w:rPr>
        <w:rFonts w:ascii="Wingdings" w:hAnsi="Wingdings" w:hint="default"/>
      </w:rPr>
    </w:lvl>
    <w:lvl w:ilvl="3" w:tplc="81C0395A">
      <w:start w:val="1"/>
      <w:numFmt w:val="bullet"/>
      <w:lvlText w:val=""/>
      <w:lvlJc w:val="left"/>
      <w:pPr>
        <w:ind w:left="2880" w:hanging="360"/>
      </w:pPr>
      <w:rPr>
        <w:rFonts w:ascii="Symbol" w:hAnsi="Symbol" w:hint="default"/>
      </w:rPr>
    </w:lvl>
    <w:lvl w:ilvl="4" w:tplc="9FB68AD8">
      <w:start w:val="1"/>
      <w:numFmt w:val="bullet"/>
      <w:lvlText w:val="o"/>
      <w:lvlJc w:val="left"/>
      <w:pPr>
        <w:ind w:left="3600" w:hanging="360"/>
      </w:pPr>
      <w:rPr>
        <w:rFonts w:ascii="Courier New" w:hAnsi="Courier New" w:hint="default"/>
      </w:rPr>
    </w:lvl>
    <w:lvl w:ilvl="5" w:tplc="13A29E3A">
      <w:start w:val="1"/>
      <w:numFmt w:val="bullet"/>
      <w:lvlText w:val=""/>
      <w:lvlJc w:val="left"/>
      <w:pPr>
        <w:ind w:left="4320" w:hanging="360"/>
      </w:pPr>
      <w:rPr>
        <w:rFonts w:ascii="Wingdings" w:hAnsi="Wingdings" w:hint="default"/>
      </w:rPr>
    </w:lvl>
    <w:lvl w:ilvl="6" w:tplc="ACBC229A">
      <w:start w:val="1"/>
      <w:numFmt w:val="bullet"/>
      <w:lvlText w:val=""/>
      <w:lvlJc w:val="left"/>
      <w:pPr>
        <w:ind w:left="5040" w:hanging="360"/>
      </w:pPr>
      <w:rPr>
        <w:rFonts w:ascii="Symbol" w:hAnsi="Symbol" w:hint="default"/>
      </w:rPr>
    </w:lvl>
    <w:lvl w:ilvl="7" w:tplc="C6DC7D1C">
      <w:start w:val="1"/>
      <w:numFmt w:val="bullet"/>
      <w:lvlText w:val="o"/>
      <w:lvlJc w:val="left"/>
      <w:pPr>
        <w:ind w:left="5760" w:hanging="360"/>
      </w:pPr>
      <w:rPr>
        <w:rFonts w:ascii="Courier New" w:hAnsi="Courier New" w:hint="default"/>
      </w:rPr>
    </w:lvl>
    <w:lvl w:ilvl="8" w:tplc="15D6FC26">
      <w:start w:val="1"/>
      <w:numFmt w:val="bullet"/>
      <w:lvlText w:val=""/>
      <w:lvlJc w:val="left"/>
      <w:pPr>
        <w:ind w:left="6480" w:hanging="360"/>
      </w:pPr>
      <w:rPr>
        <w:rFonts w:ascii="Wingdings" w:hAnsi="Wingdings" w:hint="default"/>
      </w:rPr>
    </w:lvl>
  </w:abstractNum>
  <w:abstractNum w:abstractNumId="60" w15:restartNumberingAfterBreak="0">
    <w:nsid w:val="462E1BB1"/>
    <w:multiLevelType w:val="multilevel"/>
    <w:tmpl w:val="16922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4674187A"/>
    <w:multiLevelType w:val="hybridMultilevel"/>
    <w:tmpl w:val="2D988CD4"/>
    <w:lvl w:ilvl="0" w:tplc="AD1EDF72">
      <w:start w:val="1"/>
      <w:numFmt w:val="upperLetter"/>
      <w:lvlText w:val="%1."/>
      <w:lvlJc w:val="left"/>
      <w:pPr>
        <w:tabs>
          <w:tab w:val="num" w:pos="720"/>
        </w:tabs>
        <w:ind w:left="720" w:hanging="360"/>
      </w:pPr>
      <w:rPr>
        <w:rFonts w:ascii="Arial" w:hAnsi="Arial" w:hint="default"/>
        <w:b/>
        <w:sz w:val="22"/>
      </w:rPr>
    </w:lvl>
    <w:lvl w:ilvl="1" w:tplc="BE6855CC">
      <w:start w:val="1"/>
      <w:numFmt w:val="lowerLetter"/>
      <w:lvlText w:val="%2."/>
      <w:lvlJc w:val="left"/>
      <w:pPr>
        <w:tabs>
          <w:tab w:val="num" w:pos="1440"/>
        </w:tabs>
        <w:ind w:left="1440" w:hanging="360"/>
      </w:pPr>
    </w:lvl>
    <w:lvl w:ilvl="2" w:tplc="048E34F8" w:tentative="1">
      <w:start w:val="1"/>
      <w:numFmt w:val="lowerRoman"/>
      <w:lvlText w:val="%3."/>
      <w:lvlJc w:val="right"/>
      <w:pPr>
        <w:tabs>
          <w:tab w:val="num" w:pos="2160"/>
        </w:tabs>
        <w:ind w:left="2160" w:hanging="180"/>
      </w:pPr>
    </w:lvl>
    <w:lvl w:ilvl="3" w:tplc="9B6CF7C2" w:tentative="1">
      <w:start w:val="1"/>
      <w:numFmt w:val="decimal"/>
      <w:lvlText w:val="%4."/>
      <w:lvlJc w:val="left"/>
      <w:pPr>
        <w:tabs>
          <w:tab w:val="num" w:pos="2880"/>
        </w:tabs>
        <w:ind w:left="2880" w:hanging="360"/>
      </w:pPr>
    </w:lvl>
    <w:lvl w:ilvl="4" w:tplc="7C44E0C2" w:tentative="1">
      <w:start w:val="1"/>
      <w:numFmt w:val="lowerLetter"/>
      <w:lvlText w:val="%5."/>
      <w:lvlJc w:val="left"/>
      <w:pPr>
        <w:tabs>
          <w:tab w:val="num" w:pos="3600"/>
        </w:tabs>
        <w:ind w:left="3600" w:hanging="360"/>
      </w:pPr>
    </w:lvl>
    <w:lvl w:ilvl="5" w:tplc="F286BE32" w:tentative="1">
      <w:start w:val="1"/>
      <w:numFmt w:val="lowerRoman"/>
      <w:lvlText w:val="%6."/>
      <w:lvlJc w:val="right"/>
      <w:pPr>
        <w:tabs>
          <w:tab w:val="num" w:pos="4320"/>
        </w:tabs>
        <w:ind w:left="4320" w:hanging="180"/>
      </w:pPr>
    </w:lvl>
    <w:lvl w:ilvl="6" w:tplc="0EC605E0" w:tentative="1">
      <w:start w:val="1"/>
      <w:numFmt w:val="decimal"/>
      <w:lvlText w:val="%7."/>
      <w:lvlJc w:val="left"/>
      <w:pPr>
        <w:tabs>
          <w:tab w:val="num" w:pos="5040"/>
        </w:tabs>
        <w:ind w:left="5040" w:hanging="360"/>
      </w:pPr>
    </w:lvl>
    <w:lvl w:ilvl="7" w:tplc="CEF2A078" w:tentative="1">
      <w:start w:val="1"/>
      <w:numFmt w:val="lowerLetter"/>
      <w:lvlText w:val="%8."/>
      <w:lvlJc w:val="left"/>
      <w:pPr>
        <w:tabs>
          <w:tab w:val="num" w:pos="5760"/>
        </w:tabs>
        <w:ind w:left="5760" w:hanging="360"/>
      </w:pPr>
    </w:lvl>
    <w:lvl w:ilvl="8" w:tplc="BE24E17E" w:tentative="1">
      <w:start w:val="1"/>
      <w:numFmt w:val="lowerRoman"/>
      <w:lvlText w:val="%9."/>
      <w:lvlJc w:val="right"/>
      <w:pPr>
        <w:tabs>
          <w:tab w:val="num" w:pos="6480"/>
        </w:tabs>
        <w:ind w:left="6480" w:hanging="180"/>
      </w:pPr>
    </w:lvl>
  </w:abstractNum>
  <w:abstractNum w:abstractNumId="62" w15:restartNumberingAfterBreak="0">
    <w:nsid w:val="46D2C64D"/>
    <w:multiLevelType w:val="hybridMultilevel"/>
    <w:tmpl w:val="70002934"/>
    <w:lvl w:ilvl="0" w:tplc="F3825712">
      <w:start w:val="1"/>
      <w:numFmt w:val="bullet"/>
      <w:lvlText w:val=""/>
      <w:lvlJc w:val="left"/>
      <w:pPr>
        <w:ind w:left="720" w:hanging="360"/>
      </w:pPr>
      <w:rPr>
        <w:rFonts w:ascii="Symbol" w:hAnsi="Symbol" w:hint="default"/>
      </w:rPr>
    </w:lvl>
    <w:lvl w:ilvl="1" w:tplc="B4526062">
      <w:start w:val="1"/>
      <w:numFmt w:val="bullet"/>
      <w:lvlText w:val="o"/>
      <w:lvlJc w:val="left"/>
      <w:pPr>
        <w:ind w:left="1440" w:hanging="360"/>
      </w:pPr>
      <w:rPr>
        <w:rFonts w:ascii="Courier New" w:hAnsi="Courier New" w:hint="default"/>
      </w:rPr>
    </w:lvl>
    <w:lvl w:ilvl="2" w:tplc="09A2F984">
      <w:start w:val="1"/>
      <w:numFmt w:val="bullet"/>
      <w:lvlText w:val=""/>
      <w:lvlJc w:val="left"/>
      <w:pPr>
        <w:ind w:left="2160" w:hanging="360"/>
      </w:pPr>
      <w:rPr>
        <w:rFonts w:ascii="Wingdings" w:hAnsi="Wingdings" w:hint="default"/>
      </w:rPr>
    </w:lvl>
    <w:lvl w:ilvl="3" w:tplc="D95C2D56">
      <w:start w:val="1"/>
      <w:numFmt w:val="bullet"/>
      <w:lvlText w:val=""/>
      <w:lvlJc w:val="left"/>
      <w:pPr>
        <w:ind w:left="2880" w:hanging="360"/>
      </w:pPr>
      <w:rPr>
        <w:rFonts w:ascii="Symbol" w:hAnsi="Symbol" w:hint="default"/>
      </w:rPr>
    </w:lvl>
    <w:lvl w:ilvl="4" w:tplc="BBB83284">
      <w:start w:val="1"/>
      <w:numFmt w:val="bullet"/>
      <w:lvlText w:val="o"/>
      <w:lvlJc w:val="left"/>
      <w:pPr>
        <w:ind w:left="3600" w:hanging="360"/>
      </w:pPr>
      <w:rPr>
        <w:rFonts w:ascii="Courier New" w:hAnsi="Courier New" w:hint="default"/>
      </w:rPr>
    </w:lvl>
    <w:lvl w:ilvl="5" w:tplc="52D4E2A8">
      <w:start w:val="1"/>
      <w:numFmt w:val="bullet"/>
      <w:lvlText w:val=""/>
      <w:lvlJc w:val="left"/>
      <w:pPr>
        <w:ind w:left="4320" w:hanging="360"/>
      </w:pPr>
      <w:rPr>
        <w:rFonts w:ascii="Wingdings" w:hAnsi="Wingdings" w:hint="default"/>
      </w:rPr>
    </w:lvl>
    <w:lvl w:ilvl="6" w:tplc="D35ABE4A">
      <w:start w:val="1"/>
      <w:numFmt w:val="bullet"/>
      <w:lvlText w:val=""/>
      <w:lvlJc w:val="left"/>
      <w:pPr>
        <w:ind w:left="5040" w:hanging="360"/>
      </w:pPr>
      <w:rPr>
        <w:rFonts w:ascii="Symbol" w:hAnsi="Symbol" w:hint="default"/>
      </w:rPr>
    </w:lvl>
    <w:lvl w:ilvl="7" w:tplc="A1167BFE">
      <w:start w:val="1"/>
      <w:numFmt w:val="bullet"/>
      <w:lvlText w:val="o"/>
      <w:lvlJc w:val="left"/>
      <w:pPr>
        <w:ind w:left="5760" w:hanging="360"/>
      </w:pPr>
      <w:rPr>
        <w:rFonts w:ascii="Courier New" w:hAnsi="Courier New" w:hint="default"/>
      </w:rPr>
    </w:lvl>
    <w:lvl w:ilvl="8" w:tplc="3AA653EE">
      <w:start w:val="1"/>
      <w:numFmt w:val="bullet"/>
      <w:lvlText w:val=""/>
      <w:lvlJc w:val="left"/>
      <w:pPr>
        <w:ind w:left="6480" w:hanging="360"/>
      </w:pPr>
      <w:rPr>
        <w:rFonts w:ascii="Wingdings" w:hAnsi="Wingdings" w:hint="default"/>
      </w:rPr>
    </w:lvl>
  </w:abstractNum>
  <w:abstractNum w:abstractNumId="63" w15:restartNumberingAfterBreak="0">
    <w:nsid w:val="4745738F"/>
    <w:multiLevelType w:val="hybridMultilevel"/>
    <w:tmpl w:val="24B69E14"/>
    <w:lvl w:ilvl="0" w:tplc="B97436A0">
      <w:start w:val="1"/>
      <w:numFmt w:val="bullet"/>
      <w:lvlText w:val=""/>
      <w:lvlJc w:val="left"/>
      <w:pPr>
        <w:ind w:left="720" w:hanging="360"/>
      </w:pPr>
      <w:rPr>
        <w:rFonts w:ascii="Symbol" w:hAnsi="Symbol" w:hint="default"/>
      </w:rPr>
    </w:lvl>
    <w:lvl w:ilvl="1" w:tplc="0936993E" w:tentative="1">
      <w:start w:val="1"/>
      <w:numFmt w:val="bullet"/>
      <w:lvlText w:val="o"/>
      <w:lvlJc w:val="left"/>
      <w:pPr>
        <w:ind w:left="1440" w:hanging="360"/>
      </w:pPr>
      <w:rPr>
        <w:rFonts w:ascii="Courier New" w:hAnsi="Courier New" w:hint="default"/>
      </w:rPr>
    </w:lvl>
    <w:lvl w:ilvl="2" w:tplc="8E8E6EB2" w:tentative="1">
      <w:start w:val="1"/>
      <w:numFmt w:val="bullet"/>
      <w:lvlText w:val=""/>
      <w:lvlJc w:val="left"/>
      <w:pPr>
        <w:ind w:left="2160" w:hanging="360"/>
      </w:pPr>
      <w:rPr>
        <w:rFonts w:ascii="Wingdings" w:hAnsi="Wingdings" w:hint="default"/>
      </w:rPr>
    </w:lvl>
    <w:lvl w:ilvl="3" w:tplc="262CE8F4" w:tentative="1">
      <w:start w:val="1"/>
      <w:numFmt w:val="bullet"/>
      <w:lvlText w:val=""/>
      <w:lvlJc w:val="left"/>
      <w:pPr>
        <w:ind w:left="2880" w:hanging="360"/>
      </w:pPr>
      <w:rPr>
        <w:rFonts w:ascii="Symbol" w:hAnsi="Symbol" w:hint="default"/>
      </w:rPr>
    </w:lvl>
    <w:lvl w:ilvl="4" w:tplc="89421B98" w:tentative="1">
      <w:start w:val="1"/>
      <w:numFmt w:val="bullet"/>
      <w:lvlText w:val="o"/>
      <w:lvlJc w:val="left"/>
      <w:pPr>
        <w:ind w:left="3600" w:hanging="360"/>
      </w:pPr>
      <w:rPr>
        <w:rFonts w:ascii="Courier New" w:hAnsi="Courier New" w:hint="default"/>
      </w:rPr>
    </w:lvl>
    <w:lvl w:ilvl="5" w:tplc="0B1EBEC6" w:tentative="1">
      <w:start w:val="1"/>
      <w:numFmt w:val="bullet"/>
      <w:lvlText w:val=""/>
      <w:lvlJc w:val="left"/>
      <w:pPr>
        <w:ind w:left="4320" w:hanging="360"/>
      </w:pPr>
      <w:rPr>
        <w:rFonts w:ascii="Wingdings" w:hAnsi="Wingdings" w:hint="default"/>
      </w:rPr>
    </w:lvl>
    <w:lvl w:ilvl="6" w:tplc="30885AB2" w:tentative="1">
      <w:start w:val="1"/>
      <w:numFmt w:val="bullet"/>
      <w:lvlText w:val=""/>
      <w:lvlJc w:val="left"/>
      <w:pPr>
        <w:ind w:left="5040" w:hanging="360"/>
      </w:pPr>
      <w:rPr>
        <w:rFonts w:ascii="Symbol" w:hAnsi="Symbol" w:hint="default"/>
      </w:rPr>
    </w:lvl>
    <w:lvl w:ilvl="7" w:tplc="B1E8BEFC" w:tentative="1">
      <w:start w:val="1"/>
      <w:numFmt w:val="bullet"/>
      <w:lvlText w:val="o"/>
      <w:lvlJc w:val="left"/>
      <w:pPr>
        <w:ind w:left="5760" w:hanging="360"/>
      </w:pPr>
      <w:rPr>
        <w:rFonts w:ascii="Courier New" w:hAnsi="Courier New" w:hint="default"/>
      </w:rPr>
    </w:lvl>
    <w:lvl w:ilvl="8" w:tplc="7938F836" w:tentative="1">
      <w:start w:val="1"/>
      <w:numFmt w:val="bullet"/>
      <w:lvlText w:val=""/>
      <w:lvlJc w:val="left"/>
      <w:pPr>
        <w:ind w:left="6480" w:hanging="360"/>
      </w:pPr>
      <w:rPr>
        <w:rFonts w:ascii="Wingdings" w:hAnsi="Wingdings" w:hint="default"/>
      </w:rPr>
    </w:lvl>
  </w:abstractNum>
  <w:abstractNum w:abstractNumId="64" w15:restartNumberingAfterBreak="0">
    <w:nsid w:val="492B4D4F"/>
    <w:multiLevelType w:val="hybridMultilevel"/>
    <w:tmpl w:val="2BBC29DC"/>
    <w:lvl w:ilvl="0" w:tplc="BDB09D5E">
      <w:start w:val="1"/>
      <w:numFmt w:val="bullet"/>
      <w:lvlText w:val=""/>
      <w:lvlJc w:val="left"/>
      <w:pPr>
        <w:ind w:left="720" w:hanging="360"/>
      </w:pPr>
      <w:rPr>
        <w:rFonts w:ascii="Symbol" w:hAnsi="Symbol" w:hint="default"/>
      </w:rPr>
    </w:lvl>
    <w:lvl w:ilvl="1" w:tplc="9F2603BE">
      <w:start w:val="1"/>
      <w:numFmt w:val="bullet"/>
      <w:lvlText w:val="o"/>
      <w:lvlJc w:val="left"/>
      <w:pPr>
        <w:ind w:left="1440" w:hanging="360"/>
      </w:pPr>
      <w:rPr>
        <w:rFonts w:ascii="Courier New" w:hAnsi="Courier New" w:hint="default"/>
      </w:rPr>
    </w:lvl>
    <w:lvl w:ilvl="2" w:tplc="E6B41A7C">
      <w:start w:val="1"/>
      <w:numFmt w:val="bullet"/>
      <w:lvlText w:val=""/>
      <w:lvlJc w:val="left"/>
      <w:pPr>
        <w:ind w:left="2160" w:hanging="360"/>
      </w:pPr>
      <w:rPr>
        <w:rFonts w:ascii="Wingdings" w:hAnsi="Wingdings" w:hint="default"/>
      </w:rPr>
    </w:lvl>
    <w:lvl w:ilvl="3" w:tplc="7FEC07AA">
      <w:start w:val="1"/>
      <w:numFmt w:val="bullet"/>
      <w:lvlText w:val=""/>
      <w:lvlJc w:val="left"/>
      <w:pPr>
        <w:ind w:left="2880" w:hanging="360"/>
      </w:pPr>
      <w:rPr>
        <w:rFonts w:ascii="Symbol" w:hAnsi="Symbol" w:hint="default"/>
      </w:rPr>
    </w:lvl>
    <w:lvl w:ilvl="4" w:tplc="718699CC">
      <w:start w:val="1"/>
      <w:numFmt w:val="bullet"/>
      <w:lvlText w:val="o"/>
      <w:lvlJc w:val="left"/>
      <w:pPr>
        <w:ind w:left="3600" w:hanging="360"/>
      </w:pPr>
      <w:rPr>
        <w:rFonts w:ascii="Courier New" w:hAnsi="Courier New" w:hint="default"/>
      </w:rPr>
    </w:lvl>
    <w:lvl w:ilvl="5" w:tplc="B0B6DB60">
      <w:start w:val="1"/>
      <w:numFmt w:val="bullet"/>
      <w:lvlText w:val=""/>
      <w:lvlJc w:val="left"/>
      <w:pPr>
        <w:ind w:left="4320" w:hanging="360"/>
      </w:pPr>
      <w:rPr>
        <w:rFonts w:ascii="Wingdings" w:hAnsi="Wingdings" w:hint="default"/>
      </w:rPr>
    </w:lvl>
    <w:lvl w:ilvl="6" w:tplc="821035CE">
      <w:start w:val="1"/>
      <w:numFmt w:val="bullet"/>
      <w:lvlText w:val=""/>
      <w:lvlJc w:val="left"/>
      <w:pPr>
        <w:ind w:left="5040" w:hanging="360"/>
      </w:pPr>
      <w:rPr>
        <w:rFonts w:ascii="Symbol" w:hAnsi="Symbol" w:hint="default"/>
      </w:rPr>
    </w:lvl>
    <w:lvl w:ilvl="7" w:tplc="696CDB7E">
      <w:start w:val="1"/>
      <w:numFmt w:val="bullet"/>
      <w:lvlText w:val="o"/>
      <w:lvlJc w:val="left"/>
      <w:pPr>
        <w:ind w:left="5760" w:hanging="360"/>
      </w:pPr>
      <w:rPr>
        <w:rFonts w:ascii="Courier New" w:hAnsi="Courier New" w:hint="default"/>
      </w:rPr>
    </w:lvl>
    <w:lvl w:ilvl="8" w:tplc="1C3C9FD4">
      <w:start w:val="1"/>
      <w:numFmt w:val="bullet"/>
      <w:lvlText w:val=""/>
      <w:lvlJc w:val="left"/>
      <w:pPr>
        <w:ind w:left="6480" w:hanging="360"/>
      </w:pPr>
      <w:rPr>
        <w:rFonts w:ascii="Wingdings" w:hAnsi="Wingdings" w:hint="default"/>
      </w:rPr>
    </w:lvl>
  </w:abstractNum>
  <w:abstractNum w:abstractNumId="65" w15:restartNumberingAfterBreak="0">
    <w:nsid w:val="4A46123B"/>
    <w:multiLevelType w:val="hybridMultilevel"/>
    <w:tmpl w:val="5DC019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4ADF1CB3"/>
    <w:multiLevelType w:val="multilevel"/>
    <w:tmpl w:val="6D7C8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BE2F37F"/>
    <w:multiLevelType w:val="hybridMultilevel"/>
    <w:tmpl w:val="FFFFFFFF"/>
    <w:lvl w:ilvl="0" w:tplc="ECF2AA0E">
      <w:start w:val="1"/>
      <w:numFmt w:val="bullet"/>
      <w:lvlText w:val=""/>
      <w:lvlJc w:val="left"/>
      <w:pPr>
        <w:ind w:left="720" w:hanging="360"/>
      </w:pPr>
      <w:rPr>
        <w:rFonts w:ascii="Symbol" w:hAnsi="Symbol" w:hint="default"/>
      </w:rPr>
    </w:lvl>
    <w:lvl w:ilvl="1" w:tplc="73B6B18E">
      <w:start w:val="1"/>
      <w:numFmt w:val="bullet"/>
      <w:lvlText w:val="o"/>
      <w:lvlJc w:val="left"/>
      <w:pPr>
        <w:ind w:left="1440" w:hanging="360"/>
      </w:pPr>
      <w:rPr>
        <w:rFonts w:ascii="Courier New" w:hAnsi="Courier New" w:hint="default"/>
      </w:rPr>
    </w:lvl>
    <w:lvl w:ilvl="2" w:tplc="328C7B26">
      <w:start w:val="1"/>
      <w:numFmt w:val="bullet"/>
      <w:lvlText w:val=""/>
      <w:lvlJc w:val="left"/>
      <w:pPr>
        <w:ind w:left="2160" w:hanging="360"/>
      </w:pPr>
      <w:rPr>
        <w:rFonts w:ascii="Wingdings" w:hAnsi="Wingdings" w:hint="default"/>
      </w:rPr>
    </w:lvl>
    <w:lvl w:ilvl="3" w:tplc="E4284DA0">
      <w:start w:val="1"/>
      <w:numFmt w:val="bullet"/>
      <w:lvlText w:val=""/>
      <w:lvlJc w:val="left"/>
      <w:pPr>
        <w:ind w:left="2880" w:hanging="360"/>
      </w:pPr>
      <w:rPr>
        <w:rFonts w:ascii="Symbol" w:hAnsi="Symbol" w:hint="default"/>
      </w:rPr>
    </w:lvl>
    <w:lvl w:ilvl="4" w:tplc="5C8E3BA8">
      <w:start w:val="1"/>
      <w:numFmt w:val="bullet"/>
      <w:lvlText w:val="o"/>
      <w:lvlJc w:val="left"/>
      <w:pPr>
        <w:ind w:left="3600" w:hanging="360"/>
      </w:pPr>
      <w:rPr>
        <w:rFonts w:ascii="Courier New" w:hAnsi="Courier New" w:hint="default"/>
      </w:rPr>
    </w:lvl>
    <w:lvl w:ilvl="5" w:tplc="1D4AF4FE">
      <w:start w:val="1"/>
      <w:numFmt w:val="bullet"/>
      <w:lvlText w:val=""/>
      <w:lvlJc w:val="left"/>
      <w:pPr>
        <w:ind w:left="4320" w:hanging="360"/>
      </w:pPr>
      <w:rPr>
        <w:rFonts w:ascii="Wingdings" w:hAnsi="Wingdings" w:hint="default"/>
      </w:rPr>
    </w:lvl>
    <w:lvl w:ilvl="6" w:tplc="646027E4">
      <w:start w:val="1"/>
      <w:numFmt w:val="bullet"/>
      <w:lvlText w:val=""/>
      <w:lvlJc w:val="left"/>
      <w:pPr>
        <w:ind w:left="5040" w:hanging="360"/>
      </w:pPr>
      <w:rPr>
        <w:rFonts w:ascii="Symbol" w:hAnsi="Symbol" w:hint="default"/>
      </w:rPr>
    </w:lvl>
    <w:lvl w:ilvl="7" w:tplc="BD68AFE2">
      <w:start w:val="1"/>
      <w:numFmt w:val="bullet"/>
      <w:lvlText w:val="o"/>
      <w:lvlJc w:val="left"/>
      <w:pPr>
        <w:ind w:left="5760" w:hanging="360"/>
      </w:pPr>
      <w:rPr>
        <w:rFonts w:ascii="Courier New" w:hAnsi="Courier New" w:hint="default"/>
      </w:rPr>
    </w:lvl>
    <w:lvl w:ilvl="8" w:tplc="01E63924">
      <w:start w:val="1"/>
      <w:numFmt w:val="bullet"/>
      <w:lvlText w:val=""/>
      <w:lvlJc w:val="left"/>
      <w:pPr>
        <w:ind w:left="6480" w:hanging="360"/>
      </w:pPr>
      <w:rPr>
        <w:rFonts w:ascii="Wingdings" w:hAnsi="Wingdings" w:hint="default"/>
      </w:rPr>
    </w:lvl>
  </w:abstractNum>
  <w:abstractNum w:abstractNumId="68" w15:restartNumberingAfterBreak="0">
    <w:nsid w:val="4D7E3085"/>
    <w:multiLevelType w:val="hybridMultilevel"/>
    <w:tmpl w:val="FFFFFFFF"/>
    <w:lvl w:ilvl="0" w:tplc="624C5BF6">
      <w:start w:val="1"/>
      <w:numFmt w:val="bullet"/>
      <w:lvlText w:val=""/>
      <w:lvlJc w:val="left"/>
      <w:pPr>
        <w:ind w:left="720" w:hanging="360"/>
      </w:pPr>
      <w:rPr>
        <w:rFonts w:ascii="Symbol" w:hAnsi="Symbol" w:hint="default"/>
      </w:rPr>
    </w:lvl>
    <w:lvl w:ilvl="1" w:tplc="6B7CEE9A">
      <w:start w:val="1"/>
      <w:numFmt w:val="bullet"/>
      <w:lvlText w:val="o"/>
      <w:lvlJc w:val="left"/>
      <w:pPr>
        <w:ind w:left="1440" w:hanging="360"/>
      </w:pPr>
      <w:rPr>
        <w:rFonts w:ascii="Courier New" w:hAnsi="Courier New" w:hint="default"/>
      </w:rPr>
    </w:lvl>
    <w:lvl w:ilvl="2" w:tplc="49CEB43E">
      <w:start w:val="1"/>
      <w:numFmt w:val="bullet"/>
      <w:lvlText w:val=""/>
      <w:lvlJc w:val="left"/>
      <w:pPr>
        <w:ind w:left="2160" w:hanging="360"/>
      </w:pPr>
      <w:rPr>
        <w:rFonts w:ascii="Wingdings" w:hAnsi="Wingdings" w:hint="default"/>
      </w:rPr>
    </w:lvl>
    <w:lvl w:ilvl="3" w:tplc="3E7A3776">
      <w:start w:val="1"/>
      <w:numFmt w:val="bullet"/>
      <w:lvlText w:val=""/>
      <w:lvlJc w:val="left"/>
      <w:pPr>
        <w:ind w:left="2880" w:hanging="360"/>
      </w:pPr>
      <w:rPr>
        <w:rFonts w:ascii="Symbol" w:hAnsi="Symbol" w:hint="default"/>
      </w:rPr>
    </w:lvl>
    <w:lvl w:ilvl="4" w:tplc="265CE884">
      <w:start w:val="1"/>
      <w:numFmt w:val="bullet"/>
      <w:lvlText w:val="o"/>
      <w:lvlJc w:val="left"/>
      <w:pPr>
        <w:ind w:left="3600" w:hanging="360"/>
      </w:pPr>
      <w:rPr>
        <w:rFonts w:ascii="Courier New" w:hAnsi="Courier New" w:hint="default"/>
      </w:rPr>
    </w:lvl>
    <w:lvl w:ilvl="5" w:tplc="C59C9570">
      <w:start w:val="1"/>
      <w:numFmt w:val="bullet"/>
      <w:lvlText w:val=""/>
      <w:lvlJc w:val="left"/>
      <w:pPr>
        <w:ind w:left="4320" w:hanging="360"/>
      </w:pPr>
      <w:rPr>
        <w:rFonts w:ascii="Wingdings" w:hAnsi="Wingdings" w:hint="default"/>
      </w:rPr>
    </w:lvl>
    <w:lvl w:ilvl="6" w:tplc="8EB6513A">
      <w:start w:val="1"/>
      <w:numFmt w:val="bullet"/>
      <w:lvlText w:val=""/>
      <w:lvlJc w:val="left"/>
      <w:pPr>
        <w:ind w:left="5040" w:hanging="360"/>
      </w:pPr>
      <w:rPr>
        <w:rFonts w:ascii="Symbol" w:hAnsi="Symbol" w:hint="default"/>
      </w:rPr>
    </w:lvl>
    <w:lvl w:ilvl="7" w:tplc="8530E72C">
      <w:start w:val="1"/>
      <w:numFmt w:val="bullet"/>
      <w:lvlText w:val="o"/>
      <w:lvlJc w:val="left"/>
      <w:pPr>
        <w:ind w:left="5760" w:hanging="360"/>
      </w:pPr>
      <w:rPr>
        <w:rFonts w:ascii="Courier New" w:hAnsi="Courier New" w:hint="default"/>
      </w:rPr>
    </w:lvl>
    <w:lvl w:ilvl="8" w:tplc="2F8C68EE">
      <w:start w:val="1"/>
      <w:numFmt w:val="bullet"/>
      <w:lvlText w:val=""/>
      <w:lvlJc w:val="left"/>
      <w:pPr>
        <w:ind w:left="6480" w:hanging="360"/>
      </w:pPr>
      <w:rPr>
        <w:rFonts w:ascii="Wingdings" w:hAnsi="Wingdings" w:hint="default"/>
      </w:rPr>
    </w:lvl>
  </w:abstractNum>
  <w:abstractNum w:abstractNumId="69" w15:restartNumberingAfterBreak="0">
    <w:nsid w:val="4DA9CD74"/>
    <w:multiLevelType w:val="hybridMultilevel"/>
    <w:tmpl w:val="C47C3D50"/>
    <w:lvl w:ilvl="0" w:tplc="A74A525C">
      <w:start w:val="1"/>
      <w:numFmt w:val="bullet"/>
      <w:lvlText w:val=""/>
      <w:lvlJc w:val="left"/>
      <w:pPr>
        <w:ind w:left="720" w:hanging="360"/>
      </w:pPr>
      <w:rPr>
        <w:rFonts w:ascii="Symbol" w:hAnsi="Symbol" w:hint="default"/>
      </w:rPr>
    </w:lvl>
    <w:lvl w:ilvl="1" w:tplc="18D6142A">
      <w:start w:val="1"/>
      <w:numFmt w:val="bullet"/>
      <w:lvlText w:val="o"/>
      <w:lvlJc w:val="left"/>
      <w:pPr>
        <w:ind w:left="1440" w:hanging="360"/>
      </w:pPr>
      <w:rPr>
        <w:rFonts w:ascii="Courier New" w:hAnsi="Courier New" w:hint="default"/>
      </w:rPr>
    </w:lvl>
    <w:lvl w:ilvl="2" w:tplc="D6B6A648">
      <w:start w:val="1"/>
      <w:numFmt w:val="bullet"/>
      <w:lvlText w:val=""/>
      <w:lvlJc w:val="left"/>
      <w:pPr>
        <w:ind w:left="2160" w:hanging="360"/>
      </w:pPr>
      <w:rPr>
        <w:rFonts w:ascii="Wingdings" w:hAnsi="Wingdings" w:hint="default"/>
      </w:rPr>
    </w:lvl>
    <w:lvl w:ilvl="3" w:tplc="9118E6A2">
      <w:start w:val="1"/>
      <w:numFmt w:val="bullet"/>
      <w:lvlText w:val=""/>
      <w:lvlJc w:val="left"/>
      <w:pPr>
        <w:ind w:left="2880" w:hanging="360"/>
      </w:pPr>
      <w:rPr>
        <w:rFonts w:ascii="Symbol" w:hAnsi="Symbol" w:hint="default"/>
      </w:rPr>
    </w:lvl>
    <w:lvl w:ilvl="4" w:tplc="5D0AE502">
      <w:start w:val="1"/>
      <w:numFmt w:val="bullet"/>
      <w:lvlText w:val="o"/>
      <w:lvlJc w:val="left"/>
      <w:pPr>
        <w:ind w:left="3600" w:hanging="360"/>
      </w:pPr>
      <w:rPr>
        <w:rFonts w:ascii="Courier New" w:hAnsi="Courier New" w:hint="default"/>
      </w:rPr>
    </w:lvl>
    <w:lvl w:ilvl="5" w:tplc="3C5AA7FC">
      <w:start w:val="1"/>
      <w:numFmt w:val="bullet"/>
      <w:lvlText w:val=""/>
      <w:lvlJc w:val="left"/>
      <w:pPr>
        <w:ind w:left="4320" w:hanging="360"/>
      </w:pPr>
      <w:rPr>
        <w:rFonts w:ascii="Wingdings" w:hAnsi="Wingdings" w:hint="default"/>
      </w:rPr>
    </w:lvl>
    <w:lvl w:ilvl="6" w:tplc="1B12047A">
      <w:start w:val="1"/>
      <w:numFmt w:val="bullet"/>
      <w:lvlText w:val=""/>
      <w:lvlJc w:val="left"/>
      <w:pPr>
        <w:ind w:left="5040" w:hanging="360"/>
      </w:pPr>
      <w:rPr>
        <w:rFonts w:ascii="Symbol" w:hAnsi="Symbol" w:hint="default"/>
      </w:rPr>
    </w:lvl>
    <w:lvl w:ilvl="7" w:tplc="0EFC60B0">
      <w:start w:val="1"/>
      <w:numFmt w:val="bullet"/>
      <w:lvlText w:val="o"/>
      <w:lvlJc w:val="left"/>
      <w:pPr>
        <w:ind w:left="5760" w:hanging="360"/>
      </w:pPr>
      <w:rPr>
        <w:rFonts w:ascii="Courier New" w:hAnsi="Courier New" w:hint="default"/>
      </w:rPr>
    </w:lvl>
    <w:lvl w:ilvl="8" w:tplc="96B657AC">
      <w:start w:val="1"/>
      <w:numFmt w:val="bullet"/>
      <w:lvlText w:val=""/>
      <w:lvlJc w:val="left"/>
      <w:pPr>
        <w:ind w:left="6480" w:hanging="360"/>
      </w:pPr>
      <w:rPr>
        <w:rFonts w:ascii="Wingdings" w:hAnsi="Wingdings" w:hint="default"/>
      </w:rPr>
    </w:lvl>
  </w:abstractNum>
  <w:abstractNum w:abstractNumId="70" w15:restartNumberingAfterBreak="0">
    <w:nsid w:val="4E1F30D7"/>
    <w:multiLevelType w:val="multilevel"/>
    <w:tmpl w:val="CB7CF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E982500"/>
    <w:multiLevelType w:val="hybridMultilevel"/>
    <w:tmpl w:val="FFFFFFFF"/>
    <w:lvl w:ilvl="0" w:tplc="AAA03F7C">
      <w:start w:val="1"/>
      <w:numFmt w:val="decimal"/>
      <w:lvlText w:val="%1."/>
      <w:lvlJc w:val="left"/>
      <w:pPr>
        <w:ind w:left="720" w:hanging="360"/>
      </w:pPr>
    </w:lvl>
    <w:lvl w:ilvl="1" w:tplc="F47E1EAA">
      <w:start w:val="1"/>
      <w:numFmt w:val="lowerLetter"/>
      <w:lvlText w:val="%2."/>
      <w:lvlJc w:val="left"/>
      <w:pPr>
        <w:ind w:left="1440" w:hanging="360"/>
      </w:pPr>
    </w:lvl>
    <w:lvl w:ilvl="2" w:tplc="AB3CB654">
      <w:start w:val="1"/>
      <w:numFmt w:val="lowerRoman"/>
      <w:lvlText w:val="%3."/>
      <w:lvlJc w:val="right"/>
      <w:pPr>
        <w:ind w:left="2160" w:hanging="180"/>
      </w:pPr>
    </w:lvl>
    <w:lvl w:ilvl="3" w:tplc="61BE510E">
      <w:start w:val="1"/>
      <w:numFmt w:val="decimal"/>
      <w:lvlText w:val="%4."/>
      <w:lvlJc w:val="left"/>
      <w:pPr>
        <w:ind w:left="2880" w:hanging="360"/>
      </w:pPr>
    </w:lvl>
    <w:lvl w:ilvl="4" w:tplc="EB6C276E">
      <w:start w:val="1"/>
      <w:numFmt w:val="lowerLetter"/>
      <w:lvlText w:val="%5."/>
      <w:lvlJc w:val="left"/>
      <w:pPr>
        <w:ind w:left="3600" w:hanging="360"/>
      </w:pPr>
    </w:lvl>
    <w:lvl w:ilvl="5" w:tplc="2B001ECA">
      <w:start w:val="1"/>
      <w:numFmt w:val="lowerRoman"/>
      <w:lvlText w:val="%6."/>
      <w:lvlJc w:val="right"/>
      <w:pPr>
        <w:ind w:left="4320" w:hanging="180"/>
      </w:pPr>
    </w:lvl>
    <w:lvl w:ilvl="6" w:tplc="A8823068">
      <w:start w:val="1"/>
      <w:numFmt w:val="decimal"/>
      <w:lvlText w:val="%7."/>
      <w:lvlJc w:val="left"/>
      <w:pPr>
        <w:ind w:left="5040" w:hanging="360"/>
      </w:pPr>
    </w:lvl>
    <w:lvl w:ilvl="7" w:tplc="94EC9A22">
      <w:start w:val="1"/>
      <w:numFmt w:val="lowerLetter"/>
      <w:lvlText w:val="%8."/>
      <w:lvlJc w:val="left"/>
      <w:pPr>
        <w:ind w:left="5760" w:hanging="360"/>
      </w:pPr>
    </w:lvl>
    <w:lvl w:ilvl="8" w:tplc="898C3320">
      <w:start w:val="1"/>
      <w:numFmt w:val="lowerRoman"/>
      <w:lvlText w:val="%9."/>
      <w:lvlJc w:val="right"/>
      <w:pPr>
        <w:ind w:left="6480" w:hanging="180"/>
      </w:pPr>
    </w:lvl>
  </w:abstractNum>
  <w:abstractNum w:abstractNumId="72" w15:restartNumberingAfterBreak="0">
    <w:nsid w:val="4F774D61"/>
    <w:multiLevelType w:val="hybridMultilevel"/>
    <w:tmpl w:val="FFFFFFFF"/>
    <w:lvl w:ilvl="0" w:tplc="6B46EF70">
      <w:start w:val="1"/>
      <w:numFmt w:val="bullet"/>
      <w:lvlText w:val=""/>
      <w:lvlJc w:val="left"/>
      <w:pPr>
        <w:ind w:left="720" w:hanging="360"/>
      </w:pPr>
      <w:rPr>
        <w:rFonts w:ascii="Symbol" w:hAnsi="Symbol" w:hint="default"/>
      </w:rPr>
    </w:lvl>
    <w:lvl w:ilvl="1" w:tplc="5FF80034">
      <w:start w:val="1"/>
      <w:numFmt w:val="bullet"/>
      <w:lvlText w:val="o"/>
      <w:lvlJc w:val="left"/>
      <w:pPr>
        <w:ind w:left="1440" w:hanging="360"/>
      </w:pPr>
      <w:rPr>
        <w:rFonts w:ascii="Courier New" w:hAnsi="Courier New" w:hint="default"/>
      </w:rPr>
    </w:lvl>
    <w:lvl w:ilvl="2" w:tplc="36780C3E">
      <w:start w:val="1"/>
      <w:numFmt w:val="bullet"/>
      <w:lvlText w:val=""/>
      <w:lvlJc w:val="left"/>
      <w:pPr>
        <w:ind w:left="2160" w:hanging="360"/>
      </w:pPr>
      <w:rPr>
        <w:rFonts w:ascii="Wingdings" w:hAnsi="Wingdings" w:hint="default"/>
      </w:rPr>
    </w:lvl>
    <w:lvl w:ilvl="3" w:tplc="FE36EFC0">
      <w:start w:val="1"/>
      <w:numFmt w:val="bullet"/>
      <w:lvlText w:val=""/>
      <w:lvlJc w:val="left"/>
      <w:pPr>
        <w:ind w:left="2880" w:hanging="360"/>
      </w:pPr>
      <w:rPr>
        <w:rFonts w:ascii="Symbol" w:hAnsi="Symbol" w:hint="default"/>
      </w:rPr>
    </w:lvl>
    <w:lvl w:ilvl="4" w:tplc="5DD2AAF4">
      <w:start w:val="1"/>
      <w:numFmt w:val="bullet"/>
      <w:lvlText w:val="o"/>
      <w:lvlJc w:val="left"/>
      <w:pPr>
        <w:ind w:left="3600" w:hanging="360"/>
      </w:pPr>
      <w:rPr>
        <w:rFonts w:ascii="Courier New" w:hAnsi="Courier New" w:hint="default"/>
      </w:rPr>
    </w:lvl>
    <w:lvl w:ilvl="5" w:tplc="C16CE3A8">
      <w:start w:val="1"/>
      <w:numFmt w:val="bullet"/>
      <w:lvlText w:val=""/>
      <w:lvlJc w:val="left"/>
      <w:pPr>
        <w:ind w:left="4320" w:hanging="360"/>
      </w:pPr>
      <w:rPr>
        <w:rFonts w:ascii="Wingdings" w:hAnsi="Wingdings" w:hint="default"/>
      </w:rPr>
    </w:lvl>
    <w:lvl w:ilvl="6" w:tplc="49907FF0">
      <w:start w:val="1"/>
      <w:numFmt w:val="bullet"/>
      <w:lvlText w:val=""/>
      <w:lvlJc w:val="left"/>
      <w:pPr>
        <w:ind w:left="5040" w:hanging="360"/>
      </w:pPr>
      <w:rPr>
        <w:rFonts w:ascii="Symbol" w:hAnsi="Symbol" w:hint="default"/>
      </w:rPr>
    </w:lvl>
    <w:lvl w:ilvl="7" w:tplc="7892D950">
      <w:start w:val="1"/>
      <w:numFmt w:val="bullet"/>
      <w:lvlText w:val="o"/>
      <w:lvlJc w:val="left"/>
      <w:pPr>
        <w:ind w:left="5760" w:hanging="360"/>
      </w:pPr>
      <w:rPr>
        <w:rFonts w:ascii="Courier New" w:hAnsi="Courier New" w:hint="default"/>
      </w:rPr>
    </w:lvl>
    <w:lvl w:ilvl="8" w:tplc="594637C0">
      <w:start w:val="1"/>
      <w:numFmt w:val="bullet"/>
      <w:lvlText w:val=""/>
      <w:lvlJc w:val="left"/>
      <w:pPr>
        <w:ind w:left="6480" w:hanging="360"/>
      </w:pPr>
      <w:rPr>
        <w:rFonts w:ascii="Wingdings" w:hAnsi="Wingdings" w:hint="default"/>
      </w:rPr>
    </w:lvl>
  </w:abstractNum>
  <w:abstractNum w:abstractNumId="73" w15:restartNumberingAfterBreak="0">
    <w:nsid w:val="4F97D964"/>
    <w:multiLevelType w:val="hybridMultilevel"/>
    <w:tmpl w:val="924872A4"/>
    <w:lvl w:ilvl="0" w:tplc="6ED091E6">
      <w:start w:val="1"/>
      <w:numFmt w:val="bullet"/>
      <w:lvlText w:val=""/>
      <w:lvlJc w:val="left"/>
      <w:pPr>
        <w:ind w:left="720" w:hanging="360"/>
      </w:pPr>
      <w:rPr>
        <w:rFonts w:ascii="Symbol" w:hAnsi="Symbol" w:hint="default"/>
      </w:rPr>
    </w:lvl>
    <w:lvl w:ilvl="1" w:tplc="C3B2012C">
      <w:start w:val="1"/>
      <w:numFmt w:val="bullet"/>
      <w:lvlText w:val="o"/>
      <w:lvlJc w:val="left"/>
      <w:pPr>
        <w:ind w:left="1440" w:hanging="360"/>
      </w:pPr>
      <w:rPr>
        <w:rFonts w:ascii="Courier New" w:hAnsi="Courier New" w:hint="default"/>
      </w:rPr>
    </w:lvl>
    <w:lvl w:ilvl="2" w:tplc="6E2CEAF0">
      <w:start w:val="1"/>
      <w:numFmt w:val="bullet"/>
      <w:lvlText w:val=""/>
      <w:lvlJc w:val="left"/>
      <w:pPr>
        <w:ind w:left="2160" w:hanging="360"/>
      </w:pPr>
      <w:rPr>
        <w:rFonts w:ascii="Wingdings" w:hAnsi="Wingdings" w:hint="default"/>
      </w:rPr>
    </w:lvl>
    <w:lvl w:ilvl="3" w:tplc="8E92F160">
      <w:start w:val="1"/>
      <w:numFmt w:val="bullet"/>
      <w:lvlText w:val=""/>
      <w:lvlJc w:val="left"/>
      <w:pPr>
        <w:ind w:left="2880" w:hanging="360"/>
      </w:pPr>
      <w:rPr>
        <w:rFonts w:ascii="Symbol" w:hAnsi="Symbol" w:hint="default"/>
      </w:rPr>
    </w:lvl>
    <w:lvl w:ilvl="4" w:tplc="798A0A54">
      <w:start w:val="1"/>
      <w:numFmt w:val="bullet"/>
      <w:lvlText w:val="o"/>
      <w:lvlJc w:val="left"/>
      <w:pPr>
        <w:ind w:left="3600" w:hanging="360"/>
      </w:pPr>
      <w:rPr>
        <w:rFonts w:ascii="Courier New" w:hAnsi="Courier New" w:hint="default"/>
      </w:rPr>
    </w:lvl>
    <w:lvl w:ilvl="5" w:tplc="9F864F9C">
      <w:start w:val="1"/>
      <w:numFmt w:val="bullet"/>
      <w:lvlText w:val=""/>
      <w:lvlJc w:val="left"/>
      <w:pPr>
        <w:ind w:left="4320" w:hanging="360"/>
      </w:pPr>
      <w:rPr>
        <w:rFonts w:ascii="Wingdings" w:hAnsi="Wingdings" w:hint="default"/>
      </w:rPr>
    </w:lvl>
    <w:lvl w:ilvl="6" w:tplc="722688FC">
      <w:start w:val="1"/>
      <w:numFmt w:val="bullet"/>
      <w:lvlText w:val=""/>
      <w:lvlJc w:val="left"/>
      <w:pPr>
        <w:ind w:left="5040" w:hanging="360"/>
      </w:pPr>
      <w:rPr>
        <w:rFonts w:ascii="Symbol" w:hAnsi="Symbol" w:hint="default"/>
      </w:rPr>
    </w:lvl>
    <w:lvl w:ilvl="7" w:tplc="C5C22D7E">
      <w:start w:val="1"/>
      <w:numFmt w:val="bullet"/>
      <w:lvlText w:val="o"/>
      <w:lvlJc w:val="left"/>
      <w:pPr>
        <w:ind w:left="5760" w:hanging="360"/>
      </w:pPr>
      <w:rPr>
        <w:rFonts w:ascii="Courier New" w:hAnsi="Courier New" w:hint="default"/>
      </w:rPr>
    </w:lvl>
    <w:lvl w:ilvl="8" w:tplc="931AB67E">
      <w:start w:val="1"/>
      <w:numFmt w:val="bullet"/>
      <w:lvlText w:val=""/>
      <w:lvlJc w:val="left"/>
      <w:pPr>
        <w:ind w:left="6480" w:hanging="360"/>
      </w:pPr>
      <w:rPr>
        <w:rFonts w:ascii="Wingdings" w:hAnsi="Wingdings" w:hint="default"/>
      </w:rPr>
    </w:lvl>
  </w:abstractNum>
  <w:abstractNum w:abstractNumId="74" w15:restartNumberingAfterBreak="0">
    <w:nsid w:val="4FD86498"/>
    <w:multiLevelType w:val="hybridMultilevel"/>
    <w:tmpl w:val="E6AAAD4E"/>
    <w:lvl w:ilvl="0" w:tplc="FD2289D2">
      <w:start w:val="1"/>
      <w:numFmt w:val="bullet"/>
      <w:lvlText w:val=""/>
      <w:lvlJc w:val="left"/>
      <w:pPr>
        <w:ind w:left="720" w:hanging="360"/>
      </w:pPr>
      <w:rPr>
        <w:rFonts w:ascii="Symbol" w:hAnsi="Symbol" w:hint="default"/>
      </w:rPr>
    </w:lvl>
    <w:lvl w:ilvl="1" w:tplc="B12455E4" w:tentative="1">
      <w:start w:val="1"/>
      <w:numFmt w:val="bullet"/>
      <w:lvlText w:val="o"/>
      <w:lvlJc w:val="left"/>
      <w:pPr>
        <w:ind w:left="1440" w:hanging="360"/>
      </w:pPr>
      <w:rPr>
        <w:rFonts w:ascii="Courier New" w:hAnsi="Courier New" w:hint="default"/>
      </w:rPr>
    </w:lvl>
    <w:lvl w:ilvl="2" w:tplc="5EEAB4BA" w:tentative="1">
      <w:start w:val="1"/>
      <w:numFmt w:val="bullet"/>
      <w:lvlText w:val=""/>
      <w:lvlJc w:val="left"/>
      <w:pPr>
        <w:ind w:left="2160" w:hanging="360"/>
      </w:pPr>
      <w:rPr>
        <w:rFonts w:ascii="Wingdings" w:hAnsi="Wingdings" w:hint="default"/>
      </w:rPr>
    </w:lvl>
    <w:lvl w:ilvl="3" w:tplc="B7BE6E96" w:tentative="1">
      <w:start w:val="1"/>
      <w:numFmt w:val="bullet"/>
      <w:lvlText w:val=""/>
      <w:lvlJc w:val="left"/>
      <w:pPr>
        <w:ind w:left="2880" w:hanging="360"/>
      </w:pPr>
      <w:rPr>
        <w:rFonts w:ascii="Symbol" w:hAnsi="Symbol" w:hint="default"/>
      </w:rPr>
    </w:lvl>
    <w:lvl w:ilvl="4" w:tplc="F65E20E0" w:tentative="1">
      <w:start w:val="1"/>
      <w:numFmt w:val="bullet"/>
      <w:lvlText w:val="o"/>
      <w:lvlJc w:val="left"/>
      <w:pPr>
        <w:ind w:left="3600" w:hanging="360"/>
      </w:pPr>
      <w:rPr>
        <w:rFonts w:ascii="Courier New" w:hAnsi="Courier New" w:hint="default"/>
      </w:rPr>
    </w:lvl>
    <w:lvl w:ilvl="5" w:tplc="9222CCB2" w:tentative="1">
      <w:start w:val="1"/>
      <w:numFmt w:val="bullet"/>
      <w:lvlText w:val=""/>
      <w:lvlJc w:val="left"/>
      <w:pPr>
        <w:ind w:left="4320" w:hanging="360"/>
      </w:pPr>
      <w:rPr>
        <w:rFonts w:ascii="Wingdings" w:hAnsi="Wingdings" w:hint="default"/>
      </w:rPr>
    </w:lvl>
    <w:lvl w:ilvl="6" w:tplc="76B456CA" w:tentative="1">
      <w:start w:val="1"/>
      <w:numFmt w:val="bullet"/>
      <w:lvlText w:val=""/>
      <w:lvlJc w:val="left"/>
      <w:pPr>
        <w:ind w:left="5040" w:hanging="360"/>
      </w:pPr>
      <w:rPr>
        <w:rFonts w:ascii="Symbol" w:hAnsi="Symbol" w:hint="default"/>
      </w:rPr>
    </w:lvl>
    <w:lvl w:ilvl="7" w:tplc="F1C6035C" w:tentative="1">
      <w:start w:val="1"/>
      <w:numFmt w:val="bullet"/>
      <w:lvlText w:val="o"/>
      <w:lvlJc w:val="left"/>
      <w:pPr>
        <w:ind w:left="5760" w:hanging="360"/>
      </w:pPr>
      <w:rPr>
        <w:rFonts w:ascii="Courier New" w:hAnsi="Courier New" w:hint="default"/>
      </w:rPr>
    </w:lvl>
    <w:lvl w:ilvl="8" w:tplc="3B56BB38" w:tentative="1">
      <w:start w:val="1"/>
      <w:numFmt w:val="bullet"/>
      <w:lvlText w:val=""/>
      <w:lvlJc w:val="left"/>
      <w:pPr>
        <w:ind w:left="6480" w:hanging="360"/>
      </w:pPr>
      <w:rPr>
        <w:rFonts w:ascii="Wingdings" w:hAnsi="Wingdings" w:hint="default"/>
      </w:rPr>
    </w:lvl>
  </w:abstractNum>
  <w:abstractNum w:abstractNumId="75" w15:restartNumberingAfterBreak="0">
    <w:nsid w:val="504B0A57"/>
    <w:multiLevelType w:val="hybridMultilevel"/>
    <w:tmpl w:val="FFFFFFFF"/>
    <w:lvl w:ilvl="0" w:tplc="C3BA400E">
      <w:start w:val="1"/>
      <w:numFmt w:val="bullet"/>
      <w:lvlText w:val=""/>
      <w:lvlJc w:val="left"/>
      <w:pPr>
        <w:ind w:left="720" w:hanging="360"/>
      </w:pPr>
      <w:rPr>
        <w:rFonts w:ascii="Symbol" w:hAnsi="Symbol" w:hint="default"/>
      </w:rPr>
    </w:lvl>
    <w:lvl w:ilvl="1" w:tplc="D4D21228">
      <w:start w:val="1"/>
      <w:numFmt w:val="bullet"/>
      <w:lvlText w:val="o"/>
      <w:lvlJc w:val="left"/>
      <w:pPr>
        <w:ind w:left="1440" w:hanging="360"/>
      </w:pPr>
      <w:rPr>
        <w:rFonts w:ascii="Courier New" w:hAnsi="Courier New" w:hint="default"/>
      </w:rPr>
    </w:lvl>
    <w:lvl w:ilvl="2" w:tplc="0E366940">
      <w:start w:val="1"/>
      <w:numFmt w:val="bullet"/>
      <w:lvlText w:val=""/>
      <w:lvlJc w:val="left"/>
      <w:pPr>
        <w:ind w:left="2160" w:hanging="360"/>
      </w:pPr>
      <w:rPr>
        <w:rFonts w:ascii="Wingdings" w:hAnsi="Wingdings" w:hint="default"/>
      </w:rPr>
    </w:lvl>
    <w:lvl w:ilvl="3" w:tplc="224E7C3A">
      <w:start w:val="1"/>
      <w:numFmt w:val="bullet"/>
      <w:lvlText w:val=""/>
      <w:lvlJc w:val="left"/>
      <w:pPr>
        <w:ind w:left="2880" w:hanging="360"/>
      </w:pPr>
      <w:rPr>
        <w:rFonts w:ascii="Symbol" w:hAnsi="Symbol" w:hint="default"/>
      </w:rPr>
    </w:lvl>
    <w:lvl w:ilvl="4" w:tplc="3EA0F938">
      <w:start w:val="1"/>
      <w:numFmt w:val="bullet"/>
      <w:lvlText w:val="o"/>
      <w:lvlJc w:val="left"/>
      <w:pPr>
        <w:ind w:left="3600" w:hanging="360"/>
      </w:pPr>
      <w:rPr>
        <w:rFonts w:ascii="Courier New" w:hAnsi="Courier New" w:hint="default"/>
      </w:rPr>
    </w:lvl>
    <w:lvl w:ilvl="5" w:tplc="61602B20">
      <w:start w:val="1"/>
      <w:numFmt w:val="bullet"/>
      <w:lvlText w:val=""/>
      <w:lvlJc w:val="left"/>
      <w:pPr>
        <w:ind w:left="4320" w:hanging="360"/>
      </w:pPr>
      <w:rPr>
        <w:rFonts w:ascii="Wingdings" w:hAnsi="Wingdings" w:hint="default"/>
      </w:rPr>
    </w:lvl>
    <w:lvl w:ilvl="6" w:tplc="CBA4FDA0">
      <w:start w:val="1"/>
      <w:numFmt w:val="bullet"/>
      <w:lvlText w:val=""/>
      <w:lvlJc w:val="left"/>
      <w:pPr>
        <w:ind w:left="5040" w:hanging="360"/>
      </w:pPr>
      <w:rPr>
        <w:rFonts w:ascii="Symbol" w:hAnsi="Symbol" w:hint="default"/>
      </w:rPr>
    </w:lvl>
    <w:lvl w:ilvl="7" w:tplc="766A5D9C">
      <w:start w:val="1"/>
      <w:numFmt w:val="bullet"/>
      <w:lvlText w:val="o"/>
      <w:lvlJc w:val="left"/>
      <w:pPr>
        <w:ind w:left="5760" w:hanging="360"/>
      </w:pPr>
      <w:rPr>
        <w:rFonts w:ascii="Courier New" w:hAnsi="Courier New" w:hint="default"/>
      </w:rPr>
    </w:lvl>
    <w:lvl w:ilvl="8" w:tplc="860628A6">
      <w:start w:val="1"/>
      <w:numFmt w:val="bullet"/>
      <w:lvlText w:val=""/>
      <w:lvlJc w:val="left"/>
      <w:pPr>
        <w:ind w:left="6480" w:hanging="360"/>
      </w:pPr>
      <w:rPr>
        <w:rFonts w:ascii="Wingdings" w:hAnsi="Wingdings" w:hint="default"/>
      </w:rPr>
    </w:lvl>
  </w:abstractNum>
  <w:abstractNum w:abstractNumId="76" w15:restartNumberingAfterBreak="0">
    <w:nsid w:val="51D60D91"/>
    <w:multiLevelType w:val="hybridMultilevel"/>
    <w:tmpl w:val="F4BC7F08"/>
    <w:lvl w:ilvl="0" w:tplc="E8A0E662">
      <w:start w:val="1"/>
      <w:numFmt w:val="bullet"/>
      <w:lvlText w:val=""/>
      <w:lvlJc w:val="left"/>
      <w:pPr>
        <w:ind w:left="720" w:hanging="360"/>
      </w:pPr>
      <w:rPr>
        <w:rFonts w:ascii="Symbol" w:hAnsi="Symbol" w:hint="default"/>
      </w:rPr>
    </w:lvl>
    <w:lvl w:ilvl="1" w:tplc="BD5E6BF4">
      <w:start w:val="1"/>
      <w:numFmt w:val="bullet"/>
      <w:lvlText w:val="o"/>
      <w:lvlJc w:val="left"/>
      <w:pPr>
        <w:ind w:left="1440" w:hanging="360"/>
      </w:pPr>
      <w:rPr>
        <w:rFonts w:ascii="Courier New" w:hAnsi="Courier New" w:hint="default"/>
      </w:rPr>
    </w:lvl>
    <w:lvl w:ilvl="2" w:tplc="CEA0732E">
      <w:start w:val="1"/>
      <w:numFmt w:val="bullet"/>
      <w:lvlText w:val=""/>
      <w:lvlJc w:val="left"/>
      <w:pPr>
        <w:ind w:left="2160" w:hanging="360"/>
      </w:pPr>
      <w:rPr>
        <w:rFonts w:ascii="Wingdings" w:hAnsi="Wingdings" w:hint="default"/>
      </w:rPr>
    </w:lvl>
    <w:lvl w:ilvl="3" w:tplc="3A4AB692">
      <w:start w:val="1"/>
      <w:numFmt w:val="bullet"/>
      <w:lvlText w:val=""/>
      <w:lvlJc w:val="left"/>
      <w:pPr>
        <w:ind w:left="2880" w:hanging="360"/>
      </w:pPr>
      <w:rPr>
        <w:rFonts w:ascii="Symbol" w:hAnsi="Symbol" w:hint="default"/>
      </w:rPr>
    </w:lvl>
    <w:lvl w:ilvl="4" w:tplc="B1746656">
      <w:start w:val="1"/>
      <w:numFmt w:val="bullet"/>
      <w:lvlText w:val="o"/>
      <w:lvlJc w:val="left"/>
      <w:pPr>
        <w:ind w:left="3600" w:hanging="360"/>
      </w:pPr>
      <w:rPr>
        <w:rFonts w:ascii="Courier New" w:hAnsi="Courier New" w:hint="default"/>
      </w:rPr>
    </w:lvl>
    <w:lvl w:ilvl="5" w:tplc="8ACAD940">
      <w:start w:val="1"/>
      <w:numFmt w:val="bullet"/>
      <w:lvlText w:val=""/>
      <w:lvlJc w:val="left"/>
      <w:pPr>
        <w:ind w:left="4320" w:hanging="360"/>
      </w:pPr>
      <w:rPr>
        <w:rFonts w:ascii="Wingdings" w:hAnsi="Wingdings" w:hint="default"/>
      </w:rPr>
    </w:lvl>
    <w:lvl w:ilvl="6" w:tplc="118217B8">
      <w:start w:val="1"/>
      <w:numFmt w:val="bullet"/>
      <w:lvlText w:val=""/>
      <w:lvlJc w:val="left"/>
      <w:pPr>
        <w:ind w:left="5040" w:hanging="360"/>
      </w:pPr>
      <w:rPr>
        <w:rFonts w:ascii="Symbol" w:hAnsi="Symbol" w:hint="default"/>
      </w:rPr>
    </w:lvl>
    <w:lvl w:ilvl="7" w:tplc="6F963D1A">
      <w:start w:val="1"/>
      <w:numFmt w:val="bullet"/>
      <w:lvlText w:val="o"/>
      <w:lvlJc w:val="left"/>
      <w:pPr>
        <w:ind w:left="5760" w:hanging="360"/>
      </w:pPr>
      <w:rPr>
        <w:rFonts w:ascii="Courier New" w:hAnsi="Courier New" w:hint="default"/>
      </w:rPr>
    </w:lvl>
    <w:lvl w:ilvl="8" w:tplc="8654BA66">
      <w:start w:val="1"/>
      <w:numFmt w:val="bullet"/>
      <w:lvlText w:val=""/>
      <w:lvlJc w:val="left"/>
      <w:pPr>
        <w:ind w:left="6480" w:hanging="360"/>
      </w:pPr>
      <w:rPr>
        <w:rFonts w:ascii="Wingdings" w:hAnsi="Wingdings" w:hint="default"/>
      </w:rPr>
    </w:lvl>
  </w:abstractNum>
  <w:abstractNum w:abstractNumId="77" w15:restartNumberingAfterBreak="0">
    <w:nsid w:val="524D284E"/>
    <w:multiLevelType w:val="multilevel"/>
    <w:tmpl w:val="F4948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534FADA5"/>
    <w:multiLevelType w:val="hybridMultilevel"/>
    <w:tmpl w:val="FFFFFFFF"/>
    <w:lvl w:ilvl="0" w:tplc="C23C2F14">
      <w:start w:val="1"/>
      <w:numFmt w:val="bullet"/>
      <w:lvlText w:val=""/>
      <w:lvlJc w:val="left"/>
      <w:pPr>
        <w:ind w:left="720" w:hanging="360"/>
      </w:pPr>
      <w:rPr>
        <w:rFonts w:ascii="Symbol" w:hAnsi="Symbol" w:hint="default"/>
      </w:rPr>
    </w:lvl>
    <w:lvl w:ilvl="1" w:tplc="78827ED2">
      <w:start w:val="1"/>
      <w:numFmt w:val="bullet"/>
      <w:lvlText w:val="o"/>
      <w:lvlJc w:val="left"/>
      <w:pPr>
        <w:ind w:left="1440" w:hanging="360"/>
      </w:pPr>
      <w:rPr>
        <w:rFonts w:ascii="Courier New" w:hAnsi="Courier New" w:hint="default"/>
      </w:rPr>
    </w:lvl>
    <w:lvl w:ilvl="2" w:tplc="BD5E5B60">
      <w:start w:val="1"/>
      <w:numFmt w:val="bullet"/>
      <w:lvlText w:val=""/>
      <w:lvlJc w:val="left"/>
      <w:pPr>
        <w:ind w:left="2160" w:hanging="360"/>
      </w:pPr>
      <w:rPr>
        <w:rFonts w:ascii="Wingdings" w:hAnsi="Wingdings" w:hint="default"/>
      </w:rPr>
    </w:lvl>
    <w:lvl w:ilvl="3" w:tplc="DB3C22B6">
      <w:start w:val="1"/>
      <w:numFmt w:val="bullet"/>
      <w:lvlText w:val=""/>
      <w:lvlJc w:val="left"/>
      <w:pPr>
        <w:ind w:left="2880" w:hanging="360"/>
      </w:pPr>
      <w:rPr>
        <w:rFonts w:ascii="Symbol" w:hAnsi="Symbol" w:hint="default"/>
      </w:rPr>
    </w:lvl>
    <w:lvl w:ilvl="4" w:tplc="15AE038E">
      <w:start w:val="1"/>
      <w:numFmt w:val="bullet"/>
      <w:lvlText w:val="o"/>
      <w:lvlJc w:val="left"/>
      <w:pPr>
        <w:ind w:left="3600" w:hanging="360"/>
      </w:pPr>
      <w:rPr>
        <w:rFonts w:ascii="Courier New" w:hAnsi="Courier New" w:hint="default"/>
      </w:rPr>
    </w:lvl>
    <w:lvl w:ilvl="5" w:tplc="9760AC78">
      <w:start w:val="1"/>
      <w:numFmt w:val="bullet"/>
      <w:lvlText w:val=""/>
      <w:lvlJc w:val="left"/>
      <w:pPr>
        <w:ind w:left="4320" w:hanging="360"/>
      </w:pPr>
      <w:rPr>
        <w:rFonts w:ascii="Wingdings" w:hAnsi="Wingdings" w:hint="default"/>
      </w:rPr>
    </w:lvl>
    <w:lvl w:ilvl="6" w:tplc="2868988C">
      <w:start w:val="1"/>
      <w:numFmt w:val="bullet"/>
      <w:lvlText w:val=""/>
      <w:lvlJc w:val="left"/>
      <w:pPr>
        <w:ind w:left="5040" w:hanging="360"/>
      </w:pPr>
      <w:rPr>
        <w:rFonts w:ascii="Symbol" w:hAnsi="Symbol" w:hint="default"/>
      </w:rPr>
    </w:lvl>
    <w:lvl w:ilvl="7" w:tplc="C7AEF112">
      <w:start w:val="1"/>
      <w:numFmt w:val="bullet"/>
      <w:lvlText w:val="o"/>
      <w:lvlJc w:val="left"/>
      <w:pPr>
        <w:ind w:left="5760" w:hanging="360"/>
      </w:pPr>
      <w:rPr>
        <w:rFonts w:ascii="Courier New" w:hAnsi="Courier New" w:hint="default"/>
      </w:rPr>
    </w:lvl>
    <w:lvl w:ilvl="8" w:tplc="F6D2698E">
      <w:start w:val="1"/>
      <w:numFmt w:val="bullet"/>
      <w:lvlText w:val=""/>
      <w:lvlJc w:val="left"/>
      <w:pPr>
        <w:ind w:left="6480" w:hanging="360"/>
      </w:pPr>
      <w:rPr>
        <w:rFonts w:ascii="Wingdings" w:hAnsi="Wingdings" w:hint="default"/>
      </w:rPr>
    </w:lvl>
  </w:abstractNum>
  <w:abstractNum w:abstractNumId="79" w15:restartNumberingAfterBreak="0">
    <w:nsid w:val="55EA40DB"/>
    <w:multiLevelType w:val="hybridMultilevel"/>
    <w:tmpl w:val="AF943630"/>
    <w:lvl w:ilvl="0" w:tplc="168E9B5E">
      <w:start w:val="1"/>
      <w:numFmt w:val="bullet"/>
      <w:lvlText w:val=""/>
      <w:lvlJc w:val="left"/>
      <w:pPr>
        <w:ind w:left="720" w:hanging="360"/>
      </w:pPr>
      <w:rPr>
        <w:rFonts w:ascii="Symbol" w:hAnsi="Symbol" w:hint="default"/>
      </w:rPr>
    </w:lvl>
    <w:lvl w:ilvl="1" w:tplc="F5F20412">
      <w:start w:val="1"/>
      <w:numFmt w:val="bullet"/>
      <w:lvlText w:val="o"/>
      <w:lvlJc w:val="left"/>
      <w:pPr>
        <w:ind w:left="1440" w:hanging="360"/>
      </w:pPr>
      <w:rPr>
        <w:rFonts w:ascii="Courier New" w:hAnsi="Courier New" w:hint="default"/>
      </w:rPr>
    </w:lvl>
    <w:lvl w:ilvl="2" w:tplc="9258C7D2">
      <w:start w:val="1"/>
      <w:numFmt w:val="bullet"/>
      <w:lvlText w:val=""/>
      <w:lvlJc w:val="left"/>
      <w:pPr>
        <w:ind w:left="2160" w:hanging="360"/>
      </w:pPr>
      <w:rPr>
        <w:rFonts w:ascii="Wingdings" w:hAnsi="Wingdings" w:hint="default"/>
      </w:rPr>
    </w:lvl>
    <w:lvl w:ilvl="3" w:tplc="51629D06">
      <w:start w:val="1"/>
      <w:numFmt w:val="bullet"/>
      <w:lvlText w:val=""/>
      <w:lvlJc w:val="left"/>
      <w:pPr>
        <w:ind w:left="2880" w:hanging="360"/>
      </w:pPr>
      <w:rPr>
        <w:rFonts w:ascii="Symbol" w:hAnsi="Symbol" w:hint="default"/>
      </w:rPr>
    </w:lvl>
    <w:lvl w:ilvl="4" w:tplc="93082FF0">
      <w:start w:val="1"/>
      <w:numFmt w:val="bullet"/>
      <w:lvlText w:val="o"/>
      <w:lvlJc w:val="left"/>
      <w:pPr>
        <w:ind w:left="3600" w:hanging="360"/>
      </w:pPr>
      <w:rPr>
        <w:rFonts w:ascii="Courier New" w:hAnsi="Courier New" w:hint="default"/>
      </w:rPr>
    </w:lvl>
    <w:lvl w:ilvl="5" w:tplc="7D7A335C">
      <w:start w:val="1"/>
      <w:numFmt w:val="bullet"/>
      <w:lvlText w:val=""/>
      <w:lvlJc w:val="left"/>
      <w:pPr>
        <w:ind w:left="4320" w:hanging="360"/>
      </w:pPr>
      <w:rPr>
        <w:rFonts w:ascii="Wingdings" w:hAnsi="Wingdings" w:hint="default"/>
      </w:rPr>
    </w:lvl>
    <w:lvl w:ilvl="6" w:tplc="C2AE3CEA">
      <w:start w:val="1"/>
      <w:numFmt w:val="bullet"/>
      <w:lvlText w:val=""/>
      <w:lvlJc w:val="left"/>
      <w:pPr>
        <w:ind w:left="5040" w:hanging="360"/>
      </w:pPr>
      <w:rPr>
        <w:rFonts w:ascii="Symbol" w:hAnsi="Symbol" w:hint="default"/>
      </w:rPr>
    </w:lvl>
    <w:lvl w:ilvl="7" w:tplc="2D127466">
      <w:start w:val="1"/>
      <w:numFmt w:val="bullet"/>
      <w:lvlText w:val="o"/>
      <w:lvlJc w:val="left"/>
      <w:pPr>
        <w:ind w:left="5760" w:hanging="360"/>
      </w:pPr>
      <w:rPr>
        <w:rFonts w:ascii="Courier New" w:hAnsi="Courier New" w:hint="default"/>
      </w:rPr>
    </w:lvl>
    <w:lvl w:ilvl="8" w:tplc="0BC291DA">
      <w:start w:val="1"/>
      <w:numFmt w:val="bullet"/>
      <w:lvlText w:val=""/>
      <w:lvlJc w:val="left"/>
      <w:pPr>
        <w:ind w:left="6480" w:hanging="360"/>
      </w:pPr>
      <w:rPr>
        <w:rFonts w:ascii="Wingdings" w:hAnsi="Wingdings" w:hint="default"/>
      </w:rPr>
    </w:lvl>
  </w:abstractNum>
  <w:abstractNum w:abstractNumId="80" w15:restartNumberingAfterBreak="0">
    <w:nsid w:val="55F31EAA"/>
    <w:multiLevelType w:val="hybridMultilevel"/>
    <w:tmpl w:val="1F5EDB84"/>
    <w:lvl w:ilvl="0" w:tplc="7A823486">
      <w:start w:val="1"/>
      <w:numFmt w:val="bullet"/>
      <w:lvlText w:val=""/>
      <w:lvlJc w:val="left"/>
      <w:pPr>
        <w:ind w:left="720" w:hanging="360"/>
      </w:pPr>
      <w:rPr>
        <w:rFonts w:ascii="Symbol" w:hAnsi="Symbol" w:hint="default"/>
      </w:rPr>
    </w:lvl>
    <w:lvl w:ilvl="1" w:tplc="82D0F258" w:tentative="1">
      <w:start w:val="1"/>
      <w:numFmt w:val="bullet"/>
      <w:lvlText w:val="o"/>
      <w:lvlJc w:val="left"/>
      <w:pPr>
        <w:ind w:left="1440" w:hanging="360"/>
      </w:pPr>
      <w:rPr>
        <w:rFonts w:ascii="Courier New" w:hAnsi="Courier New" w:hint="default"/>
      </w:rPr>
    </w:lvl>
    <w:lvl w:ilvl="2" w:tplc="C1C88FCA" w:tentative="1">
      <w:start w:val="1"/>
      <w:numFmt w:val="bullet"/>
      <w:lvlText w:val=""/>
      <w:lvlJc w:val="left"/>
      <w:pPr>
        <w:ind w:left="2160" w:hanging="360"/>
      </w:pPr>
      <w:rPr>
        <w:rFonts w:ascii="Wingdings" w:hAnsi="Wingdings" w:hint="default"/>
      </w:rPr>
    </w:lvl>
    <w:lvl w:ilvl="3" w:tplc="9C2CCFD6" w:tentative="1">
      <w:start w:val="1"/>
      <w:numFmt w:val="bullet"/>
      <w:lvlText w:val=""/>
      <w:lvlJc w:val="left"/>
      <w:pPr>
        <w:ind w:left="2880" w:hanging="360"/>
      </w:pPr>
      <w:rPr>
        <w:rFonts w:ascii="Symbol" w:hAnsi="Symbol" w:hint="default"/>
      </w:rPr>
    </w:lvl>
    <w:lvl w:ilvl="4" w:tplc="D5FE0A2C" w:tentative="1">
      <w:start w:val="1"/>
      <w:numFmt w:val="bullet"/>
      <w:lvlText w:val="o"/>
      <w:lvlJc w:val="left"/>
      <w:pPr>
        <w:ind w:left="3600" w:hanging="360"/>
      </w:pPr>
      <w:rPr>
        <w:rFonts w:ascii="Courier New" w:hAnsi="Courier New" w:hint="default"/>
      </w:rPr>
    </w:lvl>
    <w:lvl w:ilvl="5" w:tplc="7612F032" w:tentative="1">
      <w:start w:val="1"/>
      <w:numFmt w:val="bullet"/>
      <w:lvlText w:val=""/>
      <w:lvlJc w:val="left"/>
      <w:pPr>
        <w:ind w:left="4320" w:hanging="360"/>
      </w:pPr>
      <w:rPr>
        <w:rFonts w:ascii="Wingdings" w:hAnsi="Wingdings" w:hint="default"/>
      </w:rPr>
    </w:lvl>
    <w:lvl w:ilvl="6" w:tplc="360486D8" w:tentative="1">
      <w:start w:val="1"/>
      <w:numFmt w:val="bullet"/>
      <w:lvlText w:val=""/>
      <w:lvlJc w:val="left"/>
      <w:pPr>
        <w:ind w:left="5040" w:hanging="360"/>
      </w:pPr>
      <w:rPr>
        <w:rFonts w:ascii="Symbol" w:hAnsi="Symbol" w:hint="default"/>
      </w:rPr>
    </w:lvl>
    <w:lvl w:ilvl="7" w:tplc="B40CA102" w:tentative="1">
      <w:start w:val="1"/>
      <w:numFmt w:val="bullet"/>
      <w:lvlText w:val="o"/>
      <w:lvlJc w:val="left"/>
      <w:pPr>
        <w:ind w:left="5760" w:hanging="360"/>
      </w:pPr>
      <w:rPr>
        <w:rFonts w:ascii="Courier New" w:hAnsi="Courier New" w:hint="default"/>
      </w:rPr>
    </w:lvl>
    <w:lvl w:ilvl="8" w:tplc="79B6ABAE" w:tentative="1">
      <w:start w:val="1"/>
      <w:numFmt w:val="bullet"/>
      <w:lvlText w:val=""/>
      <w:lvlJc w:val="left"/>
      <w:pPr>
        <w:ind w:left="6480" w:hanging="360"/>
      </w:pPr>
      <w:rPr>
        <w:rFonts w:ascii="Wingdings" w:hAnsi="Wingdings" w:hint="default"/>
      </w:rPr>
    </w:lvl>
  </w:abstractNum>
  <w:abstractNum w:abstractNumId="81" w15:restartNumberingAfterBreak="0">
    <w:nsid w:val="591821BC"/>
    <w:multiLevelType w:val="hybridMultilevel"/>
    <w:tmpl w:val="FFFFFFFF"/>
    <w:lvl w:ilvl="0" w:tplc="E6F6FC90">
      <w:start w:val="1"/>
      <w:numFmt w:val="bullet"/>
      <w:lvlText w:val=""/>
      <w:lvlJc w:val="left"/>
      <w:pPr>
        <w:ind w:left="720" w:hanging="360"/>
      </w:pPr>
      <w:rPr>
        <w:rFonts w:ascii="Symbol" w:hAnsi="Symbol" w:hint="default"/>
      </w:rPr>
    </w:lvl>
    <w:lvl w:ilvl="1" w:tplc="D0EC7A42">
      <w:start w:val="1"/>
      <w:numFmt w:val="bullet"/>
      <w:lvlText w:val="o"/>
      <w:lvlJc w:val="left"/>
      <w:pPr>
        <w:ind w:left="1440" w:hanging="360"/>
      </w:pPr>
      <w:rPr>
        <w:rFonts w:ascii="Courier New" w:hAnsi="Courier New" w:hint="default"/>
      </w:rPr>
    </w:lvl>
    <w:lvl w:ilvl="2" w:tplc="AC3E5964">
      <w:start w:val="1"/>
      <w:numFmt w:val="bullet"/>
      <w:lvlText w:val=""/>
      <w:lvlJc w:val="left"/>
      <w:pPr>
        <w:ind w:left="2160" w:hanging="360"/>
      </w:pPr>
      <w:rPr>
        <w:rFonts w:ascii="Wingdings" w:hAnsi="Wingdings" w:hint="default"/>
      </w:rPr>
    </w:lvl>
    <w:lvl w:ilvl="3" w:tplc="B1BCF7B8">
      <w:start w:val="1"/>
      <w:numFmt w:val="bullet"/>
      <w:lvlText w:val=""/>
      <w:lvlJc w:val="left"/>
      <w:pPr>
        <w:ind w:left="2880" w:hanging="360"/>
      </w:pPr>
      <w:rPr>
        <w:rFonts w:ascii="Symbol" w:hAnsi="Symbol" w:hint="default"/>
      </w:rPr>
    </w:lvl>
    <w:lvl w:ilvl="4" w:tplc="D80AAECC">
      <w:start w:val="1"/>
      <w:numFmt w:val="bullet"/>
      <w:lvlText w:val="o"/>
      <w:lvlJc w:val="left"/>
      <w:pPr>
        <w:ind w:left="3600" w:hanging="360"/>
      </w:pPr>
      <w:rPr>
        <w:rFonts w:ascii="Courier New" w:hAnsi="Courier New" w:hint="default"/>
      </w:rPr>
    </w:lvl>
    <w:lvl w:ilvl="5" w:tplc="5BEAA7A0">
      <w:start w:val="1"/>
      <w:numFmt w:val="bullet"/>
      <w:lvlText w:val=""/>
      <w:lvlJc w:val="left"/>
      <w:pPr>
        <w:ind w:left="4320" w:hanging="360"/>
      </w:pPr>
      <w:rPr>
        <w:rFonts w:ascii="Wingdings" w:hAnsi="Wingdings" w:hint="default"/>
      </w:rPr>
    </w:lvl>
    <w:lvl w:ilvl="6" w:tplc="1042112E">
      <w:start w:val="1"/>
      <w:numFmt w:val="bullet"/>
      <w:lvlText w:val=""/>
      <w:lvlJc w:val="left"/>
      <w:pPr>
        <w:ind w:left="5040" w:hanging="360"/>
      </w:pPr>
      <w:rPr>
        <w:rFonts w:ascii="Symbol" w:hAnsi="Symbol" w:hint="default"/>
      </w:rPr>
    </w:lvl>
    <w:lvl w:ilvl="7" w:tplc="8EEC8C26">
      <w:start w:val="1"/>
      <w:numFmt w:val="bullet"/>
      <w:lvlText w:val="o"/>
      <w:lvlJc w:val="left"/>
      <w:pPr>
        <w:ind w:left="5760" w:hanging="360"/>
      </w:pPr>
      <w:rPr>
        <w:rFonts w:ascii="Courier New" w:hAnsi="Courier New" w:hint="default"/>
      </w:rPr>
    </w:lvl>
    <w:lvl w:ilvl="8" w:tplc="2EAE4530">
      <w:start w:val="1"/>
      <w:numFmt w:val="bullet"/>
      <w:lvlText w:val=""/>
      <w:lvlJc w:val="left"/>
      <w:pPr>
        <w:ind w:left="6480" w:hanging="360"/>
      </w:pPr>
      <w:rPr>
        <w:rFonts w:ascii="Wingdings" w:hAnsi="Wingdings" w:hint="default"/>
      </w:rPr>
    </w:lvl>
  </w:abstractNum>
  <w:abstractNum w:abstractNumId="82" w15:restartNumberingAfterBreak="0">
    <w:nsid w:val="595E2536"/>
    <w:multiLevelType w:val="multilevel"/>
    <w:tmpl w:val="8E827D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5BD23E4E"/>
    <w:multiLevelType w:val="hybridMultilevel"/>
    <w:tmpl w:val="F02458DE"/>
    <w:lvl w:ilvl="0" w:tplc="FAD0863E">
      <w:start w:val="1"/>
      <w:numFmt w:val="bullet"/>
      <w:lvlText w:val=""/>
      <w:lvlJc w:val="left"/>
      <w:pPr>
        <w:ind w:left="720" w:hanging="360"/>
      </w:pPr>
      <w:rPr>
        <w:rFonts w:ascii="Symbol" w:hAnsi="Symbol" w:hint="default"/>
      </w:rPr>
    </w:lvl>
    <w:lvl w:ilvl="1" w:tplc="7B1C3D62" w:tentative="1">
      <w:start w:val="1"/>
      <w:numFmt w:val="bullet"/>
      <w:lvlText w:val="o"/>
      <w:lvlJc w:val="left"/>
      <w:pPr>
        <w:ind w:left="1440" w:hanging="360"/>
      </w:pPr>
      <w:rPr>
        <w:rFonts w:ascii="Courier New" w:hAnsi="Courier New" w:hint="default"/>
      </w:rPr>
    </w:lvl>
    <w:lvl w:ilvl="2" w:tplc="491C3B6E" w:tentative="1">
      <w:start w:val="1"/>
      <w:numFmt w:val="bullet"/>
      <w:lvlText w:val=""/>
      <w:lvlJc w:val="left"/>
      <w:pPr>
        <w:ind w:left="2160" w:hanging="360"/>
      </w:pPr>
      <w:rPr>
        <w:rFonts w:ascii="Wingdings" w:hAnsi="Wingdings" w:hint="default"/>
      </w:rPr>
    </w:lvl>
    <w:lvl w:ilvl="3" w:tplc="4C4EB4E8" w:tentative="1">
      <w:start w:val="1"/>
      <w:numFmt w:val="bullet"/>
      <w:lvlText w:val=""/>
      <w:lvlJc w:val="left"/>
      <w:pPr>
        <w:ind w:left="2880" w:hanging="360"/>
      </w:pPr>
      <w:rPr>
        <w:rFonts w:ascii="Symbol" w:hAnsi="Symbol" w:hint="default"/>
      </w:rPr>
    </w:lvl>
    <w:lvl w:ilvl="4" w:tplc="B242311C" w:tentative="1">
      <w:start w:val="1"/>
      <w:numFmt w:val="bullet"/>
      <w:lvlText w:val="o"/>
      <w:lvlJc w:val="left"/>
      <w:pPr>
        <w:ind w:left="3600" w:hanging="360"/>
      </w:pPr>
      <w:rPr>
        <w:rFonts w:ascii="Courier New" w:hAnsi="Courier New" w:hint="default"/>
      </w:rPr>
    </w:lvl>
    <w:lvl w:ilvl="5" w:tplc="652CC5A2" w:tentative="1">
      <w:start w:val="1"/>
      <w:numFmt w:val="bullet"/>
      <w:lvlText w:val=""/>
      <w:lvlJc w:val="left"/>
      <w:pPr>
        <w:ind w:left="4320" w:hanging="360"/>
      </w:pPr>
      <w:rPr>
        <w:rFonts w:ascii="Wingdings" w:hAnsi="Wingdings" w:hint="default"/>
      </w:rPr>
    </w:lvl>
    <w:lvl w:ilvl="6" w:tplc="7D14C4BE" w:tentative="1">
      <w:start w:val="1"/>
      <w:numFmt w:val="bullet"/>
      <w:lvlText w:val=""/>
      <w:lvlJc w:val="left"/>
      <w:pPr>
        <w:ind w:left="5040" w:hanging="360"/>
      </w:pPr>
      <w:rPr>
        <w:rFonts w:ascii="Symbol" w:hAnsi="Symbol" w:hint="default"/>
      </w:rPr>
    </w:lvl>
    <w:lvl w:ilvl="7" w:tplc="51C2FB64" w:tentative="1">
      <w:start w:val="1"/>
      <w:numFmt w:val="bullet"/>
      <w:lvlText w:val="o"/>
      <w:lvlJc w:val="left"/>
      <w:pPr>
        <w:ind w:left="5760" w:hanging="360"/>
      </w:pPr>
      <w:rPr>
        <w:rFonts w:ascii="Courier New" w:hAnsi="Courier New" w:hint="default"/>
      </w:rPr>
    </w:lvl>
    <w:lvl w:ilvl="8" w:tplc="BF387AC8" w:tentative="1">
      <w:start w:val="1"/>
      <w:numFmt w:val="bullet"/>
      <w:lvlText w:val=""/>
      <w:lvlJc w:val="left"/>
      <w:pPr>
        <w:ind w:left="6480" w:hanging="360"/>
      </w:pPr>
      <w:rPr>
        <w:rFonts w:ascii="Wingdings" w:hAnsi="Wingdings" w:hint="default"/>
      </w:rPr>
    </w:lvl>
  </w:abstractNum>
  <w:abstractNum w:abstractNumId="84" w15:restartNumberingAfterBreak="0">
    <w:nsid w:val="5BF5121E"/>
    <w:multiLevelType w:val="hybridMultilevel"/>
    <w:tmpl w:val="707A8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C5FB608"/>
    <w:multiLevelType w:val="hybridMultilevel"/>
    <w:tmpl w:val="C7662DC4"/>
    <w:lvl w:ilvl="0" w:tplc="1FD23904">
      <w:start w:val="1"/>
      <w:numFmt w:val="decimal"/>
      <w:lvlText w:val="%1."/>
      <w:lvlJc w:val="left"/>
      <w:pPr>
        <w:ind w:left="720" w:hanging="360"/>
      </w:pPr>
      <w:rPr>
        <w:rFonts w:ascii="Arial" w:hAnsi="Arial" w:hint="default"/>
      </w:rPr>
    </w:lvl>
    <w:lvl w:ilvl="1" w:tplc="B5E6CAEC">
      <w:start w:val="1"/>
      <w:numFmt w:val="lowerLetter"/>
      <w:lvlText w:val="%2."/>
      <w:lvlJc w:val="left"/>
      <w:pPr>
        <w:ind w:left="1440" w:hanging="360"/>
      </w:pPr>
    </w:lvl>
    <w:lvl w:ilvl="2" w:tplc="3AF2ACE2">
      <w:start w:val="1"/>
      <w:numFmt w:val="lowerRoman"/>
      <w:lvlText w:val="%3."/>
      <w:lvlJc w:val="right"/>
      <w:pPr>
        <w:ind w:left="2160" w:hanging="180"/>
      </w:pPr>
    </w:lvl>
    <w:lvl w:ilvl="3" w:tplc="EDB4B1C2">
      <w:start w:val="1"/>
      <w:numFmt w:val="decimal"/>
      <w:lvlText w:val="%4."/>
      <w:lvlJc w:val="left"/>
      <w:pPr>
        <w:ind w:left="2880" w:hanging="360"/>
      </w:pPr>
    </w:lvl>
    <w:lvl w:ilvl="4" w:tplc="D1A2BC7E">
      <w:start w:val="1"/>
      <w:numFmt w:val="lowerLetter"/>
      <w:lvlText w:val="%5."/>
      <w:lvlJc w:val="left"/>
      <w:pPr>
        <w:ind w:left="3600" w:hanging="360"/>
      </w:pPr>
    </w:lvl>
    <w:lvl w:ilvl="5" w:tplc="B2E4702C">
      <w:start w:val="1"/>
      <w:numFmt w:val="lowerRoman"/>
      <w:lvlText w:val="%6."/>
      <w:lvlJc w:val="right"/>
      <w:pPr>
        <w:ind w:left="4320" w:hanging="180"/>
      </w:pPr>
    </w:lvl>
    <w:lvl w:ilvl="6" w:tplc="E7148FCE">
      <w:start w:val="1"/>
      <w:numFmt w:val="decimal"/>
      <w:lvlText w:val="%7."/>
      <w:lvlJc w:val="left"/>
      <w:pPr>
        <w:ind w:left="5040" w:hanging="360"/>
      </w:pPr>
    </w:lvl>
    <w:lvl w:ilvl="7" w:tplc="5132471A">
      <w:start w:val="1"/>
      <w:numFmt w:val="lowerLetter"/>
      <w:lvlText w:val="%8."/>
      <w:lvlJc w:val="left"/>
      <w:pPr>
        <w:ind w:left="5760" w:hanging="360"/>
      </w:pPr>
    </w:lvl>
    <w:lvl w:ilvl="8" w:tplc="3B36D6A4">
      <w:start w:val="1"/>
      <w:numFmt w:val="lowerRoman"/>
      <w:lvlText w:val="%9."/>
      <w:lvlJc w:val="right"/>
      <w:pPr>
        <w:ind w:left="6480" w:hanging="180"/>
      </w:pPr>
    </w:lvl>
  </w:abstractNum>
  <w:abstractNum w:abstractNumId="86" w15:restartNumberingAfterBreak="0">
    <w:nsid w:val="5D1131FF"/>
    <w:multiLevelType w:val="hybridMultilevel"/>
    <w:tmpl w:val="7C2C1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F307592"/>
    <w:multiLevelType w:val="multilevel"/>
    <w:tmpl w:val="35AC881A"/>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88" w15:restartNumberingAfterBreak="0">
    <w:nsid w:val="60EF707F"/>
    <w:multiLevelType w:val="multilevel"/>
    <w:tmpl w:val="1272E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123477A"/>
    <w:multiLevelType w:val="hybridMultilevel"/>
    <w:tmpl w:val="B51C7CC4"/>
    <w:lvl w:ilvl="0" w:tplc="AB740056">
      <w:start w:val="1"/>
      <w:numFmt w:val="bullet"/>
      <w:lvlText w:val=""/>
      <w:lvlJc w:val="left"/>
      <w:pPr>
        <w:ind w:left="720" w:hanging="360"/>
      </w:pPr>
      <w:rPr>
        <w:rFonts w:ascii="Symbol" w:hAnsi="Symbol" w:hint="default"/>
      </w:rPr>
    </w:lvl>
    <w:lvl w:ilvl="1" w:tplc="33A805A8" w:tentative="1">
      <w:start w:val="1"/>
      <w:numFmt w:val="bullet"/>
      <w:lvlText w:val="o"/>
      <w:lvlJc w:val="left"/>
      <w:pPr>
        <w:ind w:left="1440" w:hanging="360"/>
      </w:pPr>
      <w:rPr>
        <w:rFonts w:ascii="Courier New" w:hAnsi="Courier New" w:hint="default"/>
      </w:rPr>
    </w:lvl>
    <w:lvl w:ilvl="2" w:tplc="44BC6BDA" w:tentative="1">
      <w:start w:val="1"/>
      <w:numFmt w:val="bullet"/>
      <w:lvlText w:val=""/>
      <w:lvlJc w:val="left"/>
      <w:pPr>
        <w:ind w:left="2160" w:hanging="360"/>
      </w:pPr>
      <w:rPr>
        <w:rFonts w:ascii="Wingdings" w:hAnsi="Wingdings" w:hint="default"/>
      </w:rPr>
    </w:lvl>
    <w:lvl w:ilvl="3" w:tplc="286060B6" w:tentative="1">
      <w:start w:val="1"/>
      <w:numFmt w:val="bullet"/>
      <w:lvlText w:val=""/>
      <w:lvlJc w:val="left"/>
      <w:pPr>
        <w:ind w:left="2880" w:hanging="360"/>
      </w:pPr>
      <w:rPr>
        <w:rFonts w:ascii="Symbol" w:hAnsi="Symbol" w:hint="default"/>
      </w:rPr>
    </w:lvl>
    <w:lvl w:ilvl="4" w:tplc="9838098C" w:tentative="1">
      <w:start w:val="1"/>
      <w:numFmt w:val="bullet"/>
      <w:lvlText w:val="o"/>
      <w:lvlJc w:val="left"/>
      <w:pPr>
        <w:ind w:left="3600" w:hanging="360"/>
      </w:pPr>
      <w:rPr>
        <w:rFonts w:ascii="Courier New" w:hAnsi="Courier New" w:hint="default"/>
      </w:rPr>
    </w:lvl>
    <w:lvl w:ilvl="5" w:tplc="C114BA2A" w:tentative="1">
      <w:start w:val="1"/>
      <w:numFmt w:val="bullet"/>
      <w:lvlText w:val=""/>
      <w:lvlJc w:val="left"/>
      <w:pPr>
        <w:ind w:left="4320" w:hanging="360"/>
      </w:pPr>
      <w:rPr>
        <w:rFonts w:ascii="Wingdings" w:hAnsi="Wingdings" w:hint="default"/>
      </w:rPr>
    </w:lvl>
    <w:lvl w:ilvl="6" w:tplc="53405276" w:tentative="1">
      <w:start w:val="1"/>
      <w:numFmt w:val="bullet"/>
      <w:lvlText w:val=""/>
      <w:lvlJc w:val="left"/>
      <w:pPr>
        <w:ind w:left="5040" w:hanging="360"/>
      </w:pPr>
      <w:rPr>
        <w:rFonts w:ascii="Symbol" w:hAnsi="Symbol" w:hint="default"/>
      </w:rPr>
    </w:lvl>
    <w:lvl w:ilvl="7" w:tplc="FFFADBFE" w:tentative="1">
      <w:start w:val="1"/>
      <w:numFmt w:val="bullet"/>
      <w:lvlText w:val="o"/>
      <w:lvlJc w:val="left"/>
      <w:pPr>
        <w:ind w:left="5760" w:hanging="360"/>
      </w:pPr>
      <w:rPr>
        <w:rFonts w:ascii="Courier New" w:hAnsi="Courier New" w:hint="default"/>
      </w:rPr>
    </w:lvl>
    <w:lvl w:ilvl="8" w:tplc="2B06DD28" w:tentative="1">
      <w:start w:val="1"/>
      <w:numFmt w:val="bullet"/>
      <w:lvlText w:val=""/>
      <w:lvlJc w:val="left"/>
      <w:pPr>
        <w:ind w:left="6480" w:hanging="360"/>
      </w:pPr>
      <w:rPr>
        <w:rFonts w:ascii="Wingdings" w:hAnsi="Wingdings" w:hint="default"/>
      </w:rPr>
    </w:lvl>
  </w:abstractNum>
  <w:abstractNum w:abstractNumId="90" w15:restartNumberingAfterBreak="0">
    <w:nsid w:val="617164AF"/>
    <w:multiLevelType w:val="hybridMultilevel"/>
    <w:tmpl w:val="BC36DC64"/>
    <w:lvl w:ilvl="0" w:tplc="340C0966">
      <w:start w:val="1"/>
      <w:numFmt w:val="bullet"/>
      <w:lvlText w:val=""/>
      <w:lvlJc w:val="left"/>
      <w:pPr>
        <w:ind w:left="720" w:hanging="360"/>
      </w:pPr>
      <w:rPr>
        <w:rFonts w:ascii="Symbol" w:hAnsi="Symbol" w:hint="default"/>
      </w:rPr>
    </w:lvl>
    <w:lvl w:ilvl="1" w:tplc="0D84EBB6" w:tentative="1">
      <w:start w:val="1"/>
      <w:numFmt w:val="bullet"/>
      <w:lvlText w:val="o"/>
      <w:lvlJc w:val="left"/>
      <w:pPr>
        <w:ind w:left="1440" w:hanging="360"/>
      </w:pPr>
      <w:rPr>
        <w:rFonts w:ascii="Courier New" w:hAnsi="Courier New" w:hint="default"/>
      </w:rPr>
    </w:lvl>
    <w:lvl w:ilvl="2" w:tplc="67C6B5F0" w:tentative="1">
      <w:start w:val="1"/>
      <w:numFmt w:val="bullet"/>
      <w:lvlText w:val=""/>
      <w:lvlJc w:val="left"/>
      <w:pPr>
        <w:ind w:left="2160" w:hanging="360"/>
      </w:pPr>
      <w:rPr>
        <w:rFonts w:ascii="Wingdings" w:hAnsi="Wingdings" w:hint="default"/>
      </w:rPr>
    </w:lvl>
    <w:lvl w:ilvl="3" w:tplc="44526E60" w:tentative="1">
      <w:start w:val="1"/>
      <w:numFmt w:val="bullet"/>
      <w:lvlText w:val=""/>
      <w:lvlJc w:val="left"/>
      <w:pPr>
        <w:ind w:left="2880" w:hanging="360"/>
      </w:pPr>
      <w:rPr>
        <w:rFonts w:ascii="Symbol" w:hAnsi="Symbol" w:hint="default"/>
      </w:rPr>
    </w:lvl>
    <w:lvl w:ilvl="4" w:tplc="DC9614BA" w:tentative="1">
      <w:start w:val="1"/>
      <w:numFmt w:val="bullet"/>
      <w:lvlText w:val="o"/>
      <w:lvlJc w:val="left"/>
      <w:pPr>
        <w:ind w:left="3600" w:hanging="360"/>
      </w:pPr>
      <w:rPr>
        <w:rFonts w:ascii="Courier New" w:hAnsi="Courier New" w:hint="default"/>
      </w:rPr>
    </w:lvl>
    <w:lvl w:ilvl="5" w:tplc="A6385C60" w:tentative="1">
      <w:start w:val="1"/>
      <w:numFmt w:val="bullet"/>
      <w:lvlText w:val=""/>
      <w:lvlJc w:val="left"/>
      <w:pPr>
        <w:ind w:left="4320" w:hanging="360"/>
      </w:pPr>
      <w:rPr>
        <w:rFonts w:ascii="Wingdings" w:hAnsi="Wingdings" w:hint="default"/>
      </w:rPr>
    </w:lvl>
    <w:lvl w:ilvl="6" w:tplc="27B8005C" w:tentative="1">
      <w:start w:val="1"/>
      <w:numFmt w:val="bullet"/>
      <w:lvlText w:val=""/>
      <w:lvlJc w:val="left"/>
      <w:pPr>
        <w:ind w:left="5040" w:hanging="360"/>
      </w:pPr>
      <w:rPr>
        <w:rFonts w:ascii="Symbol" w:hAnsi="Symbol" w:hint="default"/>
      </w:rPr>
    </w:lvl>
    <w:lvl w:ilvl="7" w:tplc="19065C0E" w:tentative="1">
      <w:start w:val="1"/>
      <w:numFmt w:val="bullet"/>
      <w:lvlText w:val="o"/>
      <w:lvlJc w:val="left"/>
      <w:pPr>
        <w:ind w:left="5760" w:hanging="360"/>
      </w:pPr>
      <w:rPr>
        <w:rFonts w:ascii="Courier New" w:hAnsi="Courier New" w:hint="default"/>
      </w:rPr>
    </w:lvl>
    <w:lvl w:ilvl="8" w:tplc="1B3AE110" w:tentative="1">
      <w:start w:val="1"/>
      <w:numFmt w:val="bullet"/>
      <w:lvlText w:val=""/>
      <w:lvlJc w:val="left"/>
      <w:pPr>
        <w:ind w:left="6480" w:hanging="360"/>
      </w:pPr>
      <w:rPr>
        <w:rFonts w:ascii="Wingdings" w:hAnsi="Wingdings" w:hint="default"/>
      </w:rPr>
    </w:lvl>
  </w:abstractNum>
  <w:abstractNum w:abstractNumId="91" w15:restartNumberingAfterBreak="0">
    <w:nsid w:val="620C3B73"/>
    <w:multiLevelType w:val="hybridMultilevel"/>
    <w:tmpl w:val="E458A5CC"/>
    <w:lvl w:ilvl="0" w:tplc="602CE7FA">
      <w:start w:val="1"/>
      <w:numFmt w:val="bullet"/>
      <w:lvlText w:val=""/>
      <w:lvlJc w:val="left"/>
      <w:pPr>
        <w:ind w:left="720" w:hanging="360"/>
      </w:pPr>
      <w:rPr>
        <w:rFonts w:ascii="Symbol" w:hAnsi="Symbol" w:hint="default"/>
      </w:rPr>
    </w:lvl>
    <w:lvl w:ilvl="1" w:tplc="015A5BCE" w:tentative="1">
      <w:start w:val="1"/>
      <w:numFmt w:val="bullet"/>
      <w:lvlText w:val="o"/>
      <w:lvlJc w:val="left"/>
      <w:pPr>
        <w:ind w:left="1440" w:hanging="360"/>
      </w:pPr>
      <w:rPr>
        <w:rFonts w:ascii="Courier New" w:hAnsi="Courier New" w:hint="default"/>
      </w:rPr>
    </w:lvl>
    <w:lvl w:ilvl="2" w:tplc="780E0E7A" w:tentative="1">
      <w:start w:val="1"/>
      <w:numFmt w:val="bullet"/>
      <w:lvlText w:val=""/>
      <w:lvlJc w:val="left"/>
      <w:pPr>
        <w:ind w:left="2160" w:hanging="360"/>
      </w:pPr>
      <w:rPr>
        <w:rFonts w:ascii="Wingdings" w:hAnsi="Wingdings" w:hint="default"/>
      </w:rPr>
    </w:lvl>
    <w:lvl w:ilvl="3" w:tplc="C302D456" w:tentative="1">
      <w:start w:val="1"/>
      <w:numFmt w:val="bullet"/>
      <w:lvlText w:val=""/>
      <w:lvlJc w:val="left"/>
      <w:pPr>
        <w:ind w:left="2880" w:hanging="360"/>
      </w:pPr>
      <w:rPr>
        <w:rFonts w:ascii="Symbol" w:hAnsi="Symbol" w:hint="default"/>
      </w:rPr>
    </w:lvl>
    <w:lvl w:ilvl="4" w:tplc="99C24F3A" w:tentative="1">
      <w:start w:val="1"/>
      <w:numFmt w:val="bullet"/>
      <w:lvlText w:val="o"/>
      <w:lvlJc w:val="left"/>
      <w:pPr>
        <w:ind w:left="3600" w:hanging="360"/>
      </w:pPr>
      <w:rPr>
        <w:rFonts w:ascii="Courier New" w:hAnsi="Courier New" w:hint="default"/>
      </w:rPr>
    </w:lvl>
    <w:lvl w:ilvl="5" w:tplc="F6ACB8CC" w:tentative="1">
      <w:start w:val="1"/>
      <w:numFmt w:val="bullet"/>
      <w:lvlText w:val=""/>
      <w:lvlJc w:val="left"/>
      <w:pPr>
        <w:ind w:left="4320" w:hanging="360"/>
      </w:pPr>
      <w:rPr>
        <w:rFonts w:ascii="Wingdings" w:hAnsi="Wingdings" w:hint="default"/>
      </w:rPr>
    </w:lvl>
    <w:lvl w:ilvl="6" w:tplc="F35CB6EA" w:tentative="1">
      <w:start w:val="1"/>
      <w:numFmt w:val="bullet"/>
      <w:lvlText w:val=""/>
      <w:lvlJc w:val="left"/>
      <w:pPr>
        <w:ind w:left="5040" w:hanging="360"/>
      </w:pPr>
      <w:rPr>
        <w:rFonts w:ascii="Symbol" w:hAnsi="Symbol" w:hint="default"/>
      </w:rPr>
    </w:lvl>
    <w:lvl w:ilvl="7" w:tplc="CA186E0C" w:tentative="1">
      <w:start w:val="1"/>
      <w:numFmt w:val="bullet"/>
      <w:lvlText w:val="o"/>
      <w:lvlJc w:val="left"/>
      <w:pPr>
        <w:ind w:left="5760" w:hanging="360"/>
      </w:pPr>
      <w:rPr>
        <w:rFonts w:ascii="Courier New" w:hAnsi="Courier New" w:hint="default"/>
      </w:rPr>
    </w:lvl>
    <w:lvl w:ilvl="8" w:tplc="205CB004" w:tentative="1">
      <w:start w:val="1"/>
      <w:numFmt w:val="bullet"/>
      <w:lvlText w:val=""/>
      <w:lvlJc w:val="left"/>
      <w:pPr>
        <w:ind w:left="6480" w:hanging="360"/>
      </w:pPr>
      <w:rPr>
        <w:rFonts w:ascii="Wingdings" w:hAnsi="Wingdings" w:hint="default"/>
      </w:rPr>
    </w:lvl>
  </w:abstractNum>
  <w:abstractNum w:abstractNumId="92" w15:restartNumberingAfterBreak="0">
    <w:nsid w:val="624CFB17"/>
    <w:multiLevelType w:val="hybridMultilevel"/>
    <w:tmpl w:val="A15CB194"/>
    <w:lvl w:ilvl="0" w:tplc="EC3429D6">
      <w:start w:val="1"/>
      <w:numFmt w:val="decimal"/>
      <w:lvlText w:val="%1."/>
      <w:lvlJc w:val="left"/>
      <w:pPr>
        <w:ind w:left="360" w:hanging="360"/>
      </w:pPr>
    </w:lvl>
    <w:lvl w:ilvl="1" w:tplc="64D6E1CE">
      <w:start w:val="1"/>
      <w:numFmt w:val="lowerLetter"/>
      <w:lvlText w:val="%2."/>
      <w:lvlJc w:val="left"/>
      <w:pPr>
        <w:ind w:left="1080" w:hanging="360"/>
      </w:pPr>
    </w:lvl>
    <w:lvl w:ilvl="2" w:tplc="5E5EAEE8">
      <w:start w:val="1"/>
      <w:numFmt w:val="lowerRoman"/>
      <w:lvlText w:val="%3."/>
      <w:lvlJc w:val="right"/>
      <w:pPr>
        <w:ind w:left="1800" w:hanging="180"/>
      </w:pPr>
    </w:lvl>
    <w:lvl w:ilvl="3" w:tplc="8EF4B1B8">
      <w:start w:val="1"/>
      <w:numFmt w:val="decimal"/>
      <w:lvlText w:val="%4."/>
      <w:lvlJc w:val="left"/>
      <w:pPr>
        <w:ind w:left="2520" w:hanging="360"/>
      </w:pPr>
    </w:lvl>
    <w:lvl w:ilvl="4" w:tplc="81921D9E">
      <w:start w:val="1"/>
      <w:numFmt w:val="lowerLetter"/>
      <w:lvlText w:val="%5."/>
      <w:lvlJc w:val="left"/>
      <w:pPr>
        <w:ind w:left="3240" w:hanging="360"/>
      </w:pPr>
    </w:lvl>
    <w:lvl w:ilvl="5" w:tplc="B8B22188">
      <w:start w:val="1"/>
      <w:numFmt w:val="lowerRoman"/>
      <w:lvlText w:val="%6."/>
      <w:lvlJc w:val="right"/>
      <w:pPr>
        <w:ind w:left="3960" w:hanging="180"/>
      </w:pPr>
    </w:lvl>
    <w:lvl w:ilvl="6" w:tplc="E4926388">
      <w:start w:val="1"/>
      <w:numFmt w:val="decimal"/>
      <w:lvlText w:val="%7."/>
      <w:lvlJc w:val="left"/>
      <w:pPr>
        <w:ind w:left="4680" w:hanging="360"/>
      </w:pPr>
    </w:lvl>
    <w:lvl w:ilvl="7" w:tplc="DD7C871E">
      <w:start w:val="1"/>
      <w:numFmt w:val="lowerLetter"/>
      <w:lvlText w:val="%8."/>
      <w:lvlJc w:val="left"/>
      <w:pPr>
        <w:ind w:left="5400" w:hanging="360"/>
      </w:pPr>
    </w:lvl>
    <w:lvl w:ilvl="8" w:tplc="F4EC8866">
      <w:start w:val="1"/>
      <w:numFmt w:val="lowerRoman"/>
      <w:lvlText w:val="%9."/>
      <w:lvlJc w:val="right"/>
      <w:pPr>
        <w:ind w:left="6120" w:hanging="180"/>
      </w:pPr>
    </w:lvl>
  </w:abstractNum>
  <w:abstractNum w:abstractNumId="93" w15:restartNumberingAfterBreak="0">
    <w:nsid w:val="6295DCE8"/>
    <w:multiLevelType w:val="hybridMultilevel"/>
    <w:tmpl w:val="FFFFFFFF"/>
    <w:lvl w:ilvl="0" w:tplc="D12078E0">
      <w:start w:val="1"/>
      <w:numFmt w:val="decimal"/>
      <w:lvlText w:val="%1."/>
      <w:lvlJc w:val="left"/>
      <w:pPr>
        <w:ind w:left="720" w:hanging="360"/>
      </w:pPr>
    </w:lvl>
    <w:lvl w:ilvl="1" w:tplc="C58C41CE">
      <w:start w:val="1"/>
      <w:numFmt w:val="lowerLetter"/>
      <w:lvlText w:val="%2."/>
      <w:lvlJc w:val="left"/>
      <w:pPr>
        <w:ind w:left="1440" w:hanging="360"/>
      </w:pPr>
    </w:lvl>
    <w:lvl w:ilvl="2" w:tplc="F3C21B2E">
      <w:start w:val="1"/>
      <w:numFmt w:val="lowerRoman"/>
      <w:lvlText w:val="%3."/>
      <w:lvlJc w:val="right"/>
      <w:pPr>
        <w:ind w:left="2160" w:hanging="180"/>
      </w:pPr>
    </w:lvl>
    <w:lvl w:ilvl="3" w:tplc="339A0BFA">
      <w:start w:val="1"/>
      <w:numFmt w:val="decimal"/>
      <w:lvlText w:val="%4."/>
      <w:lvlJc w:val="left"/>
      <w:pPr>
        <w:ind w:left="2880" w:hanging="360"/>
      </w:pPr>
    </w:lvl>
    <w:lvl w:ilvl="4" w:tplc="E654B9D6">
      <w:start w:val="1"/>
      <w:numFmt w:val="lowerLetter"/>
      <w:lvlText w:val="%5."/>
      <w:lvlJc w:val="left"/>
      <w:pPr>
        <w:ind w:left="3600" w:hanging="360"/>
      </w:pPr>
    </w:lvl>
    <w:lvl w:ilvl="5" w:tplc="D75A1C1E">
      <w:start w:val="1"/>
      <w:numFmt w:val="lowerRoman"/>
      <w:lvlText w:val="%6."/>
      <w:lvlJc w:val="right"/>
      <w:pPr>
        <w:ind w:left="4320" w:hanging="180"/>
      </w:pPr>
    </w:lvl>
    <w:lvl w:ilvl="6" w:tplc="EFF8BD2C">
      <w:start w:val="1"/>
      <w:numFmt w:val="decimal"/>
      <w:lvlText w:val="%7."/>
      <w:lvlJc w:val="left"/>
      <w:pPr>
        <w:ind w:left="5040" w:hanging="360"/>
      </w:pPr>
    </w:lvl>
    <w:lvl w:ilvl="7" w:tplc="C3F2AD8A">
      <w:start w:val="1"/>
      <w:numFmt w:val="lowerLetter"/>
      <w:lvlText w:val="%8."/>
      <w:lvlJc w:val="left"/>
      <w:pPr>
        <w:ind w:left="5760" w:hanging="360"/>
      </w:pPr>
    </w:lvl>
    <w:lvl w:ilvl="8" w:tplc="187EE0EE">
      <w:start w:val="1"/>
      <w:numFmt w:val="lowerRoman"/>
      <w:lvlText w:val="%9."/>
      <w:lvlJc w:val="right"/>
      <w:pPr>
        <w:ind w:left="6480" w:hanging="180"/>
      </w:pPr>
    </w:lvl>
  </w:abstractNum>
  <w:abstractNum w:abstractNumId="94" w15:restartNumberingAfterBreak="0">
    <w:nsid w:val="635FE65C"/>
    <w:multiLevelType w:val="hybridMultilevel"/>
    <w:tmpl w:val="FFFFFFFF"/>
    <w:lvl w:ilvl="0" w:tplc="66761C84">
      <w:start w:val="1"/>
      <w:numFmt w:val="bullet"/>
      <w:lvlText w:val=""/>
      <w:lvlJc w:val="left"/>
      <w:pPr>
        <w:ind w:left="720" w:hanging="360"/>
      </w:pPr>
      <w:rPr>
        <w:rFonts w:ascii="Symbol" w:hAnsi="Symbol" w:hint="default"/>
      </w:rPr>
    </w:lvl>
    <w:lvl w:ilvl="1" w:tplc="7398104E">
      <w:start w:val="1"/>
      <w:numFmt w:val="bullet"/>
      <w:lvlText w:val="o"/>
      <w:lvlJc w:val="left"/>
      <w:pPr>
        <w:ind w:left="1440" w:hanging="360"/>
      </w:pPr>
      <w:rPr>
        <w:rFonts w:ascii="Courier New" w:hAnsi="Courier New" w:hint="default"/>
      </w:rPr>
    </w:lvl>
    <w:lvl w:ilvl="2" w:tplc="BED8E8AE">
      <w:start w:val="1"/>
      <w:numFmt w:val="bullet"/>
      <w:lvlText w:val=""/>
      <w:lvlJc w:val="left"/>
      <w:pPr>
        <w:ind w:left="2160" w:hanging="360"/>
      </w:pPr>
      <w:rPr>
        <w:rFonts w:ascii="Wingdings" w:hAnsi="Wingdings" w:hint="default"/>
      </w:rPr>
    </w:lvl>
    <w:lvl w:ilvl="3" w:tplc="FF608984">
      <w:start w:val="1"/>
      <w:numFmt w:val="bullet"/>
      <w:lvlText w:val=""/>
      <w:lvlJc w:val="left"/>
      <w:pPr>
        <w:ind w:left="2880" w:hanging="360"/>
      </w:pPr>
      <w:rPr>
        <w:rFonts w:ascii="Symbol" w:hAnsi="Symbol" w:hint="default"/>
      </w:rPr>
    </w:lvl>
    <w:lvl w:ilvl="4" w:tplc="ED00A88C">
      <w:start w:val="1"/>
      <w:numFmt w:val="bullet"/>
      <w:lvlText w:val="o"/>
      <w:lvlJc w:val="left"/>
      <w:pPr>
        <w:ind w:left="3600" w:hanging="360"/>
      </w:pPr>
      <w:rPr>
        <w:rFonts w:ascii="Courier New" w:hAnsi="Courier New" w:hint="default"/>
      </w:rPr>
    </w:lvl>
    <w:lvl w:ilvl="5" w:tplc="9776F510">
      <w:start w:val="1"/>
      <w:numFmt w:val="bullet"/>
      <w:lvlText w:val=""/>
      <w:lvlJc w:val="left"/>
      <w:pPr>
        <w:ind w:left="4320" w:hanging="360"/>
      </w:pPr>
      <w:rPr>
        <w:rFonts w:ascii="Wingdings" w:hAnsi="Wingdings" w:hint="default"/>
      </w:rPr>
    </w:lvl>
    <w:lvl w:ilvl="6" w:tplc="2566076E">
      <w:start w:val="1"/>
      <w:numFmt w:val="bullet"/>
      <w:lvlText w:val=""/>
      <w:lvlJc w:val="left"/>
      <w:pPr>
        <w:ind w:left="5040" w:hanging="360"/>
      </w:pPr>
      <w:rPr>
        <w:rFonts w:ascii="Symbol" w:hAnsi="Symbol" w:hint="default"/>
      </w:rPr>
    </w:lvl>
    <w:lvl w:ilvl="7" w:tplc="72DE2ABE">
      <w:start w:val="1"/>
      <w:numFmt w:val="bullet"/>
      <w:lvlText w:val="o"/>
      <w:lvlJc w:val="left"/>
      <w:pPr>
        <w:ind w:left="5760" w:hanging="360"/>
      </w:pPr>
      <w:rPr>
        <w:rFonts w:ascii="Courier New" w:hAnsi="Courier New" w:hint="default"/>
      </w:rPr>
    </w:lvl>
    <w:lvl w:ilvl="8" w:tplc="3C94675C">
      <w:start w:val="1"/>
      <w:numFmt w:val="bullet"/>
      <w:lvlText w:val=""/>
      <w:lvlJc w:val="left"/>
      <w:pPr>
        <w:ind w:left="6480" w:hanging="360"/>
      </w:pPr>
      <w:rPr>
        <w:rFonts w:ascii="Wingdings" w:hAnsi="Wingdings" w:hint="default"/>
      </w:rPr>
    </w:lvl>
  </w:abstractNum>
  <w:abstractNum w:abstractNumId="95" w15:restartNumberingAfterBreak="0">
    <w:nsid w:val="6424156F"/>
    <w:multiLevelType w:val="hybridMultilevel"/>
    <w:tmpl w:val="DBDE6794"/>
    <w:lvl w:ilvl="0" w:tplc="3E20A3B4">
      <w:start w:val="1"/>
      <w:numFmt w:val="bullet"/>
      <w:lvlText w:val=""/>
      <w:lvlJc w:val="left"/>
      <w:pPr>
        <w:ind w:left="720" w:hanging="360"/>
      </w:pPr>
      <w:rPr>
        <w:rFonts w:ascii="Symbol" w:hAnsi="Symbol" w:hint="default"/>
      </w:rPr>
    </w:lvl>
    <w:lvl w:ilvl="1" w:tplc="9F0C294C" w:tentative="1">
      <w:start w:val="1"/>
      <w:numFmt w:val="bullet"/>
      <w:lvlText w:val="o"/>
      <w:lvlJc w:val="left"/>
      <w:pPr>
        <w:ind w:left="1440" w:hanging="360"/>
      </w:pPr>
      <w:rPr>
        <w:rFonts w:ascii="Courier New" w:hAnsi="Courier New" w:hint="default"/>
      </w:rPr>
    </w:lvl>
    <w:lvl w:ilvl="2" w:tplc="92CC2BBA" w:tentative="1">
      <w:start w:val="1"/>
      <w:numFmt w:val="bullet"/>
      <w:lvlText w:val=""/>
      <w:lvlJc w:val="left"/>
      <w:pPr>
        <w:ind w:left="2160" w:hanging="360"/>
      </w:pPr>
      <w:rPr>
        <w:rFonts w:ascii="Wingdings" w:hAnsi="Wingdings" w:hint="default"/>
      </w:rPr>
    </w:lvl>
    <w:lvl w:ilvl="3" w:tplc="C34243F4" w:tentative="1">
      <w:start w:val="1"/>
      <w:numFmt w:val="bullet"/>
      <w:lvlText w:val=""/>
      <w:lvlJc w:val="left"/>
      <w:pPr>
        <w:ind w:left="2880" w:hanging="360"/>
      </w:pPr>
      <w:rPr>
        <w:rFonts w:ascii="Symbol" w:hAnsi="Symbol" w:hint="default"/>
      </w:rPr>
    </w:lvl>
    <w:lvl w:ilvl="4" w:tplc="790C5390" w:tentative="1">
      <w:start w:val="1"/>
      <w:numFmt w:val="bullet"/>
      <w:lvlText w:val="o"/>
      <w:lvlJc w:val="left"/>
      <w:pPr>
        <w:ind w:left="3600" w:hanging="360"/>
      </w:pPr>
      <w:rPr>
        <w:rFonts w:ascii="Courier New" w:hAnsi="Courier New" w:hint="default"/>
      </w:rPr>
    </w:lvl>
    <w:lvl w:ilvl="5" w:tplc="149ACC5E" w:tentative="1">
      <w:start w:val="1"/>
      <w:numFmt w:val="bullet"/>
      <w:lvlText w:val=""/>
      <w:lvlJc w:val="left"/>
      <w:pPr>
        <w:ind w:left="4320" w:hanging="360"/>
      </w:pPr>
      <w:rPr>
        <w:rFonts w:ascii="Wingdings" w:hAnsi="Wingdings" w:hint="default"/>
      </w:rPr>
    </w:lvl>
    <w:lvl w:ilvl="6" w:tplc="EAE2A8B0" w:tentative="1">
      <w:start w:val="1"/>
      <w:numFmt w:val="bullet"/>
      <w:lvlText w:val=""/>
      <w:lvlJc w:val="left"/>
      <w:pPr>
        <w:ind w:left="5040" w:hanging="360"/>
      </w:pPr>
      <w:rPr>
        <w:rFonts w:ascii="Symbol" w:hAnsi="Symbol" w:hint="default"/>
      </w:rPr>
    </w:lvl>
    <w:lvl w:ilvl="7" w:tplc="F07EC250" w:tentative="1">
      <w:start w:val="1"/>
      <w:numFmt w:val="bullet"/>
      <w:lvlText w:val="o"/>
      <w:lvlJc w:val="left"/>
      <w:pPr>
        <w:ind w:left="5760" w:hanging="360"/>
      </w:pPr>
      <w:rPr>
        <w:rFonts w:ascii="Courier New" w:hAnsi="Courier New" w:hint="default"/>
      </w:rPr>
    </w:lvl>
    <w:lvl w:ilvl="8" w:tplc="1CB48FAA" w:tentative="1">
      <w:start w:val="1"/>
      <w:numFmt w:val="bullet"/>
      <w:lvlText w:val=""/>
      <w:lvlJc w:val="left"/>
      <w:pPr>
        <w:ind w:left="6480" w:hanging="360"/>
      </w:pPr>
      <w:rPr>
        <w:rFonts w:ascii="Wingdings" w:hAnsi="Wingdings" w:hint="default"/>
      </w:rPr>
    </w:lvl>
  </w:abstractNum>
  <w:abstractNum w:abstractNumId="96" w15:restartNumberingAfterBreak="0">
    <w:nsid w:val="64E02B48"/>
    <w:multiLevelType w:val="multilevel"/>
    <w:tmpl w:val="9F2832B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652633C2"/>
    <w:multiLevelType w:val="multilevel"/>
    <w:tmpl w:val="B478D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652CC3AC"/>
    <w:multiLevelType w:val="hybridMultilevel"/>
    <w:tmpl w:val="FFFFFFFF"/>
    <w:lvl w:ilvl="0" w:tplc="823C977E">
      <w:start w:val="1"/>
      <w:numFmt w:val="decimal"/>
      <w:lvlText w:val="%1."/>
      <w:lvlJc w:val="left"/>
      <w:pPr>
        <w:ind w:left="720" w:hanging="360"/>
      </w:pPr>
    </w:lvl>
    <w:lvl w:ilvl="1" w:tplc="6C4E4D2E">
      <w:start w:val="1"/>
      <w:numFmt w:val="lowerLetter"/>
      <w:lvlText w:val="%2."/>
      <w:lvlJc w:val="left"/>
      <w:pPr>
        <w:ind w:left="1440" w:hanging="360"/>
      </w:pPr>
    </w:lvl>
    <w:lvl w:ilvl="2" w:tplc="3AA4FDBC">
      <w:start w:val="1"/>
      <w:numFmt w:val="lowerRoman"/>
      <w:lvlText w:val="%3."/>
      <w:lvlJc w:val="right"/>
      <w:pPr>
        <w:ind w:left="2160" w:hanging="180"/>
      </w:pPr>
    </w:lvl>
    <w:lvl w:ilvl="3" w:tplc="B6CC2FBA">
      <w:start w:val="1"/>
      <w:numFmt w:val="decimal"/>
      <w:lvlText w:val="%4."/>
      <w:lvlJc w:val="left"/>
      <w:pPr>
        <w:ind w:left="2880" w:hanging="360"/>
      </w:pPr>
    </w:lvl>
    <w:lvl w:ilvl="4" w:tplc="382671AC">
      <w:start w:val="1"/>
      <w:numFmt w:val="lowerLetter"/>
      <w:lvlText w:val="%5."/>
      <w:lvlJc w:val="left"/>
      <w:pPr>
        <w:ind w:left="3600" w:hanging="360"/>
      </w:pPr>
    </w:lvl>
    <w:lvl w:ilvl="5" w:tplc="50486AF4">
      <w:start w:val="1"/>
      <w:numFmt w:val="lowerRoman"/>
      <w:lvlText w:val="%6."/>
      <w:lvlJc w:val="right"/>
      <w:pPr>
        <w:ind w:left="4320" w:hanging="180"/>
      </w:pPr>
    </w:lvl>
    <w:lvl w:ilvl="6" w:tplc="B55C3A7C">
      <w:start w:val="1"/>
      <w:numFmt w:val="decimal"/>
      <w:lvlText w:val="%7."/>
      <w:lvlJc w:val="left"/>
      <w:pPr>
        <w:ind w:left="5040" w:hanging="360"/>
      </w:pPr>
    </w:lvl>
    <w:lvl w:ilvl="7" w:tplc="02141732">
      <w:start w:val="1"/>
      <w:numFmt w:val="lowerLetter"/>
      <w:lvlText w:val="%8."/>
      <w:lvlJc w:val="left"/>
      <w:pPr>
        <w:ind w:left="5760" w:hanging="360"/>
      </w:pPr>
    </w:lvl>
    <w:lvl w:ilvl="8" w:tplc="4D8ECA1C">
      <w:start w:val="1"/>
      <w:numFmt w:val="lowerRoman"/>
      <w:lvlText w:val="%9."/>
      <w:lvlJc w:val="right"/>
      <w:pPr>
        <w:ind w:left="6480" w:hanging="180"/>
      </w:pPr>
    </w:lvl>
  </w:abstractNum>
  <w:abstractNum w:abstractNumId="99" w15:restartNumberingAfterBreak="0">
    <w:nsid w:val="6554641D"/>
    <w:multiLevelType w:val="hybridMultilevel"/>
    <w:tmpl w:val="FFFFFFFF"/>
    <w:lvl w:ilvl="0" w:tplc="96129866">
      <w:start w:val="1"/>
      <w:numFmt w:val="bullet"/>
      <w:lvlText w:val=""/>
      <w:lvlJc w:val="left"/>
      <w:pPr>
        <w:ind w:left="720" w:hanging="360"/>
      </w:pPr>
      <w:rPr>
        <w:rFonts w:ascii="Symbol" w:hAnsi="Symbol" w:hint="default"/>
      </w:rPr>
    </w:lvl>
    <w:lvl w:ilvl="1" w:tplc="2B92DCDE">
      <w:start w:val="1"/>
      <w:numFmt w:val="bullet"/>
      <w:lvlText w:val="o"/>
      <w:lvlJc w:val="left"/>
      <w:pPr>
        <w:ind w:left="1440" w:hanging="360"/>
      </w:pPr>
      <w:rPr>
        <w:rFonts w:ascii="Courier New" w:hAnsi="Courier New" w:hint="default"/>
      </w:rPr>
    </w:lvl>
    <w:lvl w:ilvl="2" w:tplc="C1B0FAA2">
      <w:start w:val="1"/>
      <w:numFmt w:val="bullet"/>
      <w:lvlText w:val=""/>
      <w:lvlJc w:val="left"/>
      <w:pPr>
        <w:ind w:left="2160" w:hanging="360"/>
      </w:pPr>
      <w:rPr>
        <w:rFonts w:ascii="Wingdings" w:hAnsi="Wingdings" w:hint="default"/>
      </w:rPr>
    </w:lvl>
    <w:lvl w:ilvl="3" w:tplc="CED68E3A">
      <w:start w:val="1"/>
      <w:numFmt w:val="bullet"/>
      <w:lvlText w:val=""/>
      <w:lvlJc w:val="left"/>
      <w:pPr>
        <w:ind w:left="2880" w:hanging="360"/>
      </w:pPr>
      <w:rPr>
        <w:rFonts w:ascii="Symbol" w:hAnsi="Symbol" w:hint="default"/>
      </w:rPr>
    </w:lvl>
    <w:lvl w:ilvl="4" w:tplc="AE72F952">
      <w:start w:val="1"/>
      <w:numFmt w:val="bullet"/>
      <w:lvlText w:val="o"/>
      <w:lvlJc w:val="left"/>
      <w:pPr>
        <w:ind w:left="3600" w:hanging="360"/>
      </w:pPr>
      <w:rPr>
        <w:rFonts w:ascii="Courier New" w:hAnsi="Courier New" w:hint="default"/>
      </w:rPr>
    </w:lvl>
    <w:lvl w:ilvl="5" w:tplc="5034446E">
      <w:start w:val="1"/>
      <w:numFmt w:val="bullet"/>
      <w:lvlText w:val=""/>
      <w:lvlJc w:val="left"/>
      <w:pPr>
        <w:ind w:left="4320" w:hanging="360"/>
      </w:pPr>
      <w:rPr>
        <w:rFonts w:ascii="Wingdings" w:hAnsi="Wingdings" w:hint="default"/>
      </w:rPr>
    </w:lvl>
    <w:lvl w:ilvl="6" w:tplc="AAE8119C">
      <w:start w:val="1"/>
      <w:numFmt w:val="bullet"/>
      <w:lvlText w:val=""/>
      <w:lvlJc w:val="left"/>
      <w:pPr>
        <w:ind w:left="5040" w:hanging="360"/>
      </w:pPr>
      <w:rPr>
        <w:rFonts w:ascii="Symbol" w:hAnsi="Symbol" w:hint="default"/>
      </w:rPr>
    </w:lvl>
    <w:lvl w:ilvl="7" w:tplc="04F821EE">
      <w:start w:val="1"/>
      <w:numFmt w:val="bullet"/>
      <w:lvlText w:val="o"/>
      <w:lvlJc w:val="left"/>
      <w:pPr>
        <w:ind w:left="5760" w:hanging="360"/>
      </w:pPr>
      <w:rPr>
        <w:rFonts w:ascii="Courier New" w:hAnsi="Courier New" w:hint="default"/>
      </w:rPr>
    </w:lvl>
    <w:lvl w:ilvl="8" w:tplc="1B90EB16">
      <w:start w:val="1"/>
      <w:numFmt w:val="bullet"/>
      <w:lvlText w:val=""/>
      <w:lvlJc w:val="left"/>
      <w:pPr>
        <w:ind w:left="6480" w:hanging="360"/>
      </w:pPr>
      <w:rPr>
        <w:rFonts w:ascii="Wingdings" w:hAnsi="Wingdings" w:hint="default"/>
      </w:rPr>
    </w:lvl>
  </w:abstractNum>
  <w:abstractNum w:abstractNumId="100" w15:restartNumberingAfterBreak="0">
    <w:nsid w:val="6653536F"/>
    <w:multiLevelType w:val="hybridMultilevel"/>
    <w:tmpl w:val="522E1440"/>
    <w:lvl w:ilvl="0" w:tplc="43F80C02">
      <w:start w:val="1"/>
      <w:numFmt w:val="bullet"/>
      <w:lvlText w:val=""/>
      <w:lvlJc w:val="left"/>
      <w:pPr>
        <w:ind w:left="720" w:hanging="360"/>
      </w:pPr>
      <w:rPr>
        <w:rFonts w:ascii="Symbol" w:hAnsi="Symbol" w:hint="default"/>
      </w:rPr>
    </w:lvl>
    <w:lvl w:ilvl="1" w:tplc="2A1AB4F2">
      <w:start w:val="1"/>
      <w:numFmt w:val="bullet"/>
      <w:lvlText w:val="o"/>
      <w:lvlJc w:val="left"/>
      <w:pPr>
        <w:ind w:left="1440" w:hanging="360"/>
      </w:pPr>
      <w:rPr>
        <w:rFonts w:ascii="Courier New" w:hAnsi="Courier New" w:hint="default"/>
      </w:rPr>
    </w:lvl>
    <w:lvl w:ilvl="2" w:tplc="4BDCAAF2">
      <w:start w:val="1"/>
      <w:numFmt w:val="bullet"/>
      <w:lvlText w:val=""/>
      <w:lvlJc w:val="left"/>
      <w:pPr>
        <w:ind w:left="2160" w:hanging="360"/>
      </w:pPr>
      <w:rPr>
        <w:rFonts w:ascii="Wingdings" w:hAnsi="Wingdings" w:hint="default"/>
      </w:rPr>
    </w:lvl>
    <w:lvl w:ilvl="3" w:tplc="9A0A11E6">
      <w:start w:val="1"/>
      <w:numFmt w:val="bullet"/>
      <w:lvlText w:val=""/>
      <w:lvlJc w:val="left"/>
      <w:pPr>
        <w:ind w:left="2880" w:hanging="360"/>
      </w:pPr>
      <w:rPr>
        <w:rFonts w:ascii="Symbol" w:hAnsi="Symbol" w:hint="default"/>
      </w:rPr>
    </w:lvl>
    <w:lvl w:ilvl="4" w:tplc="E3EEDC30">
      <w:start w:val="1"/>
      <w:numFmt w:val="bullet"/>
      <w:lvlText w:val="o"/>
      <w:lvlJc w:val="left"/>
      <w:pPr>
        <w:ind w:left="3600" w:hanging="360"/>
      </w:pPr>
      <w:rPr>
        <w:rFonts w:ascii="Courier New" w:hAnsi="Courier New" w:hint="default"/>
      </w:rPr>
    </w:lvl>
    <w:lvl w:ilvl="5" w:tplc="96804164">
      <w:start w:val="1"/>
      <w:numFmt w:val="bullet"/>
      <w:lvlText w:val=""/>
      <w:lvlJc w:val="left"/>
      <w:pPr>
        <w:ind w:left="4320" w:hanging="360"/>
      </w:pPr>
      <w:rPr>
        <w:rFonts w:ascii="Wingdings" w:hAnsi="Wingdings" w:hint="default"/>
      </w:rPr>
    </w:lvl>
    <w:lvl w:ilvl="6" w:tplc="F3DCD824">
      <w:start w:val="1"/>
      <w:numFmt w:val="bullet"/>
      <w:lvlText w:val=""/>
      <w:lvlJc w:val="left"/>
      <w:pPr>
        <w:ind w:left="5040" w:hanging="360"/>
      </w:pPr>
      <w:rPr>
        <w:rFonts w:ascii="Symbol" w:hAnsi="Symbol" w:hint="default"/>
      </w:rPr>
    </w:lvl>
    <w:lvl w:ilvl="7" w:tplc="94FAA9BE">
      <w:start w:val="1"/>
      <w:numFmt w:val="bullet"/>
      <w:lvlText w:val="o"/>
      <w:lvlJc w:val="left"/>
      <w:pPr>
        <w:ind w:left="5760" w:hanging="360"/>
      </w:pPr>
      <w:rPr>
        <w:rFonts w:ascii="Courier New" w:hAnsi="Courier New" w:hint="default"/>
      </w:rPr>
    </w:lvl>
    <w:lvl w:ilvl="8" w:tplc="59126F58">
      <w:start w:val="1"/>
      <w:numFmt w:val="bullet"/>
      <w:lvlText w:val=""/>
      <w:lvlJc w:val="left"/>
      <w:pPr>
        <w:ind w:left="6480" w:hanging="360"/>
      </w:pPr>
      <w:rPr>
        <w:rFonts w:ascii="Wingdings" w:hAnsi="Wingdings" w:hint="default"/>
      </w:rPr>
    </w:lvl>
  </w:abstractNum>
  <w:abstractNum w:abstractNumId="101" w15:restartNumberingAfterBreak="0">
    <w:nsid w:val="67E46ED7"/>
    <w:multiLevelType w:val="hybridMultilevel"/>
    <w:tmpl w:val="20BE7E4C"/>
    <w:lvl w:ilvl="0" w:tplc="8EF84BBC">
      <w:start w:val="1"/>
      <w:numFmt w:val="bullet"/>
      <w:lvlText w:val=""/>
      <w:lvlJc w:val="left"/>
      <w:pPr>
        <w:ind w:left="720" w:hanging="360"/>
      </w:pPr>
      <w:rPr>
        <w:rFonts w:ascii="Symbol" w:hAnsi="Symbol" w:hint="default"/>
      </w:rPr>
    </w:lvl>
    <w:lvl w:ilvl="1" w:tplc="BF8A8B48">
      <w:start w:val="1"/>
      <w:numFmt w:val="bullet"/>
      <w:lvlText w:val="o"/>
      <w:lvlJc w:val="left"/>
      <w:pPr>
        <w:ind w:left="1440" w:hanging="360"/>
      </w:pPr>
      <w:rPr>
        <w:rFonts w:ascii="Courier New" w:hAnsi="Courier New" w:hint="default"/>
      </w:rPr>
    </w:lvl>
    <w:lvl w:ilvl="2" w:tplc="DAB4E89E">
      <w:start w:val="1"/>
      <w:numFmt w:val="bullet"/>
      <w:lvlText w:val=""/>
      <w:lvlJc w:val="left"/>
      <w:pPr>
        <w:ind w:left="2160" w:hanging="360"/>
      </w:pPr>
      <w:rPr>
        <w:rFonts w:ascii="Wingdings" w:hAnsi="Wingdings" w:hint="default"/>
      </w:rPr>
    </w:lvl>
    <w:lvl w:ilvl="3" w:tplc="A23ECDD2">
      <w:start w:val="1"/>
      <w:numFmt w:val="bullet"/>
      <w:lvlText w:val=""/>
      <w:lvlJc w:val="left"/>
      <w:pPr>
        <w:ind w:left="2880" w:hanging="360"/>
      </w:pPr>
      <w:rPr>
        <w:rFonts w:ascii="Symbol" w:hAnsi="Symbol" w:hint="default"/>
      </w:rPr>
    </w:lvl>
    <w:lvl w:ilvl="4" w:tplc="7D3A93C0">
      <w:start w:val="1"/>
      <w:numFmt w:val="bullet"/>
      <w:lvlText w:val="o"/>
      <w:lvlJc w:val="left"/>
      <w:pPr>
        <w:ind w:left="3600" w:hanging="360"/>
      </w:pPr>
      <w:rPr>
        <w:rFonts w:ascii="Courier New" w:hAnsi="Courier New" w:hint="default"/>
      </w:rPr>
    </w:lvl>
    <w:lvl w:ilvl="5" w:tplc="BF721B7A">
      <w:start w:val="1"/>
      <w:numFmt w:val="bullet"/>
      <w:lvlText w:val=""/>
      <w:lvlJc w:val="left"/>
      <w:pPr>
        <w:ind w:left="4320" w:hanging="360"/>
      </w:pPr>
      <w:rPr>
        <w:rFonts w:ascii="Wingdings" w:hAnsi="Wingdings" w:hint="default"/>
      </w:rPr>
    </w:lvl>
    <w:lvl w:ilvl="6" w:tplc="9D38E580">
      <w:start w:val="1"/>
      <w:numFmt w:val="bullet"/>
      <w:lvlText w:val=""/>
      <w:lvlJc w:val="left"/>
      <w:pPr>
        <w:ind w:left="5040" w:hanging="360"/>
      </w:pPr>
      <w:rPr>
        <w:rFonts w:ascii="Symbol" w:hAnsi="Symbol" w:hint="default"/>
      </w:rPr>
    </w:lvl>
    <w:lvl w:ilvl="7" w:tplc="DD62782A">
      <w:start w:val="1"/>
      <w:numFmt w:val="bullet"/>
      <w:lvlText w:val="o"/>
      <w:lvlJc w:val="left"/>
      <w:pPr>
        <w:ind w:left="5760" w:hanging="360"/>
      </w:pPr>
      <w:rPr>
        <w:rFonts w:ascii="Courier New" w:hAnsi="Courier New" w:hint="default"/>
      </w:rPr>
    </w:lvl>
    <w:lvl w:ilvl="8" w:tplc="8404F7B4">
      <w:start w:val="1"/>
      <w:numFmt w:val="bullet"/>
      <w:lvlText w:val=""/>
      <w:lvlJc w:val="left"/>
      <w:pPr>
        <w:ind w:left="6480" w:hanging="360"/>
      </w:pPr>
      <w:rPr>
        <w:rFonts w:ascii="Wingdings" w:hAnsi="Wingdings" w:hint="default"/>
      </w:rPr>
    </w:lvl>
  </w:abstractNum>
  <w:abstractNum w:abstractNumId="102" w15:restartNumberingAfterBreak="0">
    <w:nsid w:val="6B1F7F39"/>
    <w:multiLevelType w:val="hybridMultilevel"/>
    <w:tmpl w:val="C4D48FD6"/>
    <w:lvl w:ilvl="0" w:tplc="77186E5A">
      <w:start w:val="1"/>
      <w:numFmt w:val="bullet"/>
      <w:lvlText w:val=""/>
      <w:lvlJc w:val="left"/>
      <w:pPr>
        <w:ind w:left="720" w:hanging="360"/>
      </w:pPr>
      <w:rPr>
        <w:rFonts w:ascii="Symbol" w:hAnsi="Symbol" w:hint="default"/>
      </w:rPr>
    </w:lvl>
    <w:lvl w:ilvl="1" w:tplc="CD444446">
      <w:start w:val="1"/>
      <w:numFmt w:val="bullet"/>
      <w:lvlText w:val="o"/>
      <w:lvlJc w:val="left"/>
      <w:pPr>
        <w:ind w:left="1440" w:hanging="360"/>
      </w:pPr>
      <w:rPr>
        <w:rFonts w:ascii="Courier New" w:hAnsi="Courier New" w:hint="default"/>
      </w:rPr>
    </w:lvl>
    <w:lvl w:ilvl="2" w:tplc="C0400F2C">
      <w:start w:val="1"/>
      <w:numFmt w:val="bullet"/>
      <w:lvlText w:val=""/>
      <w:lvlJc w:val="left"/>
      <w:pPr>
        <w:ind w:left="2160" w:hanging="360"/>
      </w:pPr>
      <w:rPr>
        <w:rFonts w:ascii="Wingdings" w:hAnsi="Wingdings" w:hint="default"/>
      </w:rPr>
    </w:lvl>
    <w:lvl w:ilvl="3" w:tplc="7DAA400E">
      <w:start w:val="1"/>
      <w:numFmt w:val="bullet"/>
      <w:lvlText w:val=""/>
      <w:lvlJc w:val="left"/>
      <w:pPr>
        <w:ind w:left="2880" w:hanging="360"/>
      </w:pPr>
      <w:rPr>
        <w:rFonts w:ascii="Symbol" w:hAnsi="Symbol" w:hint="default"/>
      </w:rPr>
    </w:lvl>
    <w:lvl w:ilvl="4" w:tplc="BE3EDBD6">
      <w:start w:val="1"/>
      <w:numFmt w:val="bullet"/>
      <w:lvlText w:val="o"/>
      <w:lvlJc w:val="left"/>
      <w:pPr>
        <w:ind w:left="3600" w:hanging="360"/>
      </w:pPr>
      <w:rPr>
        <w:rFonts w:ascii="Courier New" w:hAnsi="Courier New" w:hint="default"/>
      </w:rPr>
    </w:lvl>
    <w:lvl w:ilvl="5" w:tplc="25908AE4">
      <w:start w:val="1"/>
      <w:numFmt w:val="bullet"/>
      <w:lvlText w:val=""/>
      <w:lvlJc w:val="left"/>
      <w:pPr>
        <w:ind w:left="4320" w:hanging="360"/>
      </w:pPr>
      <w:rPr>
        <w:rFonts w:ascii="Wingdings" w:hAnsi="Wingdings" w:hint="default"/>
      </w:rPr>
    </w:lvl>
    <w:lvl w:ilvl="6" w:tplc="F1E22C8E">
      <w:start w:val="1"/>
      <w:numFmt w:val="bullet"/>
      <w:lvlText w:val=""/>
      <w:lvlJc w:val="left"/>
      <w:pPr>
        <w:ind w:left="5040" w:hanging="360"/>
      </w:pPr>
      <w:rPr>
        <w:rFonts w:ascii="Symbol" w:hAnsi="Symbol" w:hint="default"/>
      </w:rPr>
    </w:lvl>
    <w:lvl w:ilvl="7" w:tplc="B492B19C">
      <w:start w:val="1"/>
      <w:numFmt w:val="bullet"/>
      <w:lvlText w:val="o"/>
      <w:lvlJc w:val="left"/>
      <w:pPr>
        <w:ind w:left="5760" w:hanging="360"/>
      </w:pPr>
      <w:rPr>
        <w:rFonts w:ascii="Courier New" w:hAnsi="Courier New" w:hint="default"/>
      </w:rPr>
    </w:lvl>
    <w:lvl w:ilvl="8" w:tplc="35288A2C">
      <w:start w:val="1"/>
      <w:numFmt w:val="bullet"/>
      <w:lvlText w:val=""/>
      <w:lvlJc w:val="left"/>
      <w:pPr>
        <w:ind w:left="6480" w:hanging="360"/>
      </w:pPr>
      <w:rPr>
        <w:rFonts w:ascii="Wingdings" w:hAnsi="Wingdings" w:hint="default"/>
      </w:rPr>
    </w:lvl>
  </w:abstractNum>
  <w:abstractNum w:abstractNumId="103" w15:restartNumberingAfterBreak="0">
    <w:nsid w:val="6D105E25"/>
    <w:multiLevelType w:val="multilevel"/>
    <w:tmpl w:val="119CF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6F38BE19"/>
    <w:multiLevelType w:val="hybridMultilevel"/>
    <w:tmpl w:val="EEFCDE8E"/>
    <w:lvl w:ilvl="0" w:tplc="7AD6FD66">
      <w:start w:val="1"/>
      <w:numFmt w:val="bullet"/>
      <w:lvlText w:val=""/>
      <w:lvlJc w:val="left"/>
      <w:pPr>
        <w:ind w:left="720" w:hanging="360"/>
      </w:pPr>
      <w:rPr>
        <w:rFonts w:ascii="Symbol" w:hAnsi="Symbol" w:hint="default"/>
      </w:rPr>
    </w:lvl>
    <w:lvl w:ilvl="1" w:tplc="F996975C">
      <w:start w:val="1"/>
      <w:numFmt w:val="bullet"/>
      <w:lvlText w:val="o"/>
      <w:lvlJc w:val="left"/>
      <w:pPr>
        <w:ind w:left="1440" w:hanging="360"/>
      </w:pPr>
      <w:rPr>
        <w:rFonts w:ascii="Courier New" w:hAnsi="Courier New" w:hint="default"/>
      </w:rPr>
    </w:lvl>
    <w:lvl w:ilvl="2" w:tplc="1616995C">
      <w:start w:val="1"/>
      <w:numFmt w:val="bullet"/>
      <w:lvlText w:val=""/>
      <w:lvlJc w:val="left"/>
      <w:pPr>
        <w:ind w:left="2160" w:hanging="360"/>
      </w:pPr>
      <w:rPr>
        <w:rFonts w:ascii="Wingdings" w:hAnsi="Wingdings" w:hint="default"/>
      </w:rPr>
    </w:lvl>
    <w:lvl w:ilvl="3" w:tplc="0BE80774">
      <w:start w:val="1"/>
      <w:numFmt w:val="bullet"/>
      <w:lvlText w:val=""/>
      <w:lvlJc w:val="left"/>
      <w:pPr>
        <w:ind w:left="2880" w:hanging="360"/>
      </w:pPr>
      <w:rPr>
        <w:rFonts w:ascii="Symbol" w:hAnsi="Symbol" w:hint="default"/>
      </w:rPr>
    </w:lvl>
    <w:lvl w:ilvl="4" w:tplc="522E2AF6">
      <w:start w:val="1"/>
      <w:numFmt w:val="bullet"/>
      <w:lvlText w:val="o"/>
      <w:lvlJc w:val="left"/>
      <w:pPr>
        <w:ind w:left="3600" w:hanging="360"/>
      </w:pPr>
      <w:rPr>
        <w:rFonts w:ascii="Courier New" w:hAnsi="Courier New" w:hint="default"/>
      </w:rPr>
    </w:lvl>
    <w:lvl w:ilvl="5" w:tplc="69069496">
      <w:start w:val="1"/>
      <w:numFmt w:val="bullet"/>
      <w:lvlText w:val=""/>
      <w:lvlJc w:val="left"/>
      <w:pPr>
        <w:ind w:left="4320" w:hanging="360"/>
      </w:pPr>
      <w:rPr>
        <w:rFonts w:ascii="Wingdings" w:hAnsi="Wingdings" w:hint="default"/>
      </w:rPr>
    </w:lvl>
    <w:lvl w:ilvl="6" w:tplc="DA0CA134">
      <w:start w:val="1"/>
      <w:numFmt w:val="bullet"/>
      <w:lvlText w:val=""/>
      <w:lvlJc w:val="left"/>
      <w:pPr>
        <w:ind w:left="5040" w:hanging="360"/>
      </w:pPr>
      <w:rPr>
        <w:rFonts w:ascii="Symbol" w:hAnsi="Symbol" w:hint="default"/>
      </w:rPr>
    </w:lvl>
    <w:lvl w:ilvl="7" w:tplc="C2606528">
      <w:start w:val="1"/>
      <w:numFmt w:val="bullet"/>
      <w:lvlText w:val="o"/>
      <w:lvlJc w:val="left"/>
      <w:pPr>
        <w:ind w:left="5760" w:hanging="360"/>
      </w:pPr>
      <w:rPr>
        <w:rFonts w:ascii="Courier New" w:hAnsi="Courier New" w:hint="default"/>
      </w:rPr>
    </w:lvl>
    <w:lvl w:ilvl="8" w:tplc="3C1A1196">
      <w:start w:val="1"/>
      <w:numFmt w:val="bullet"/>
      <w:lvlText w:val=""/>
      <w:lvlJc w:val="left"/>
      <w:pPr>
        <w:ind w:left="6480" w:hanging="360"/>
      </w:pPr>
      <w:rPr>
        <w:rFonts w:ascii="Wingdings" w:hAnsi="Wingdings" w:hint="default"/>
      </w:rPr>
    </w:lvl>
  </w:abstractNum>
  <w:abstractNum w:abstractNumId="105" w15:restartNumberingAfterBreak="0">
    <w:nsid w:val="6F4DF195"/>
    <w:multiLevelType w:val="hybridMultilevel"/>
    <w:tmpl w:val="DD386632"/>
    <w:lvl w:ilvl="0" w:tplc="07D61918">
      <w:start w:val="1"/>
      <w:numFmt w:val="bullet"/>
      <w:lvlText w:val=""/>
      <w:lvlJc w:val="left"/>
      <w:pPr>
        <w:ind w:left="720" w:hanging="360"/>
      </w:pPr>
      <w:rPr>
        <w:rFonts w:ascii="Symbol" w:hAnsi="Symbol" w:hint="default"/>
      </w:rPr>
    </w:lvl>
    <w:lvl w:ilvl="1" w:tplc="33EE7D7E">
      <w:start w:val="1"/>
      <w:numFmt w:val="bullet"/>
      <w:lvlText w:val="o"/>
      <w:lvlJc w:val="left"/>
      <w:pPr>
        <w:ind w:left="1440" w:hanging="360"/>
      </w:pPr>
      <w:rPr>
        <w:rFonts w:ascii="Courier New" w:hAnsi="Courier New" w:hint="default"/>
      </w:rPr>
    </w:lvl>
    <w:lvl w:ilvl="2" w:tplc="A844CD60">
      <w:start w:val="1"/>
      <w:numFmt w:val="bullet"/>
      <w:lvlText w:val=""/>
      <w:lvlJc w:val="left"/>
      <w:pPr>
        <w:ind w:left="2160" w:hanging="360"/>
      </w:pPr>
      <w:rPr>
        <w:rFonts w:ascii="Wingdings" w:hAnsi="Wingdings" w:hint="default"/>
      </w:rPr>
    </w:lvl>
    <w:lvl w:ilvl="3" w:tplc="865AA96A">
      <w:start w:val="1"/>
      <w:numFmt w:val="bullet"/>
      <w:lvlText w:val=""/>
      <w:lvlJc w:val="left"/>
      <w:pPr>
        <w:ind w:left="2880" w:hanging="360"/>
      </w:pPr>
      <w:rPr>
        <w:rFonts w:ascii="Symbol" w:hAnsi="Symbol" w:hint="default"/>
      </w:rPr>
    </w:lvl>
    <w:lvl w:ilvl="4" w:tplc="BB36878E">
      <w:start w:val="1"/>
      <w:numFmt w:val="bullet"/>
      <w:lvlText w:val="o"/>
      <w:lvlJc w:val="left"/>
      <w:pPr>
        <w:ind w:left="3600" w:hanging="360"/>
      </w:pPr>
      <w:rPr>
        <w:rFonts w:ascii="Courier New" w:hAnsi="Courier New" w:hint="default"/>
      </w:rPr>
    </w:lvl>
    <w:lvl w:ilvl="5" w:tplc="F86603C2">
      <w:start w:val="1"/>
      <w:numFmt w:val="bullet"/>
      <w:lvlText w:val=""/>
      <w:lvlJc w:val="left"/>
      <w:pPr>
        <w:ind w:left="4320" w:hanging="360"/>
      </w:pPr>
      <w:rPr>
        <w:rFonts w:ascii="Wingdings" w:hAnsi="Wingdings" w:hint="default"/>
      </w:rPr>
    </w:lvl>
    <w:lvl w:ilvl="6" w:tplc="A5985608">
      <w:start w:val="1"/>
      <w:numFmt w:val="bullet"/>
      <w:lvlText w:val=""/>
      <w:lvlJc w:val="left"/>
      <w:pPr>
        <w:ind w:left="5040" w:hanging="360"/>
      </w:pPr>
      <w:rPr>
        <w:rFonts w:ascii="Symbol" w:hAnsi="Symbol" w:hint="default"/>
      </w:rPr>
    </w:lvl>
    <w:lvl w:ilvl="7" w:tplc="C6706260">
      <w:start w:val="1"/>
      <w:numFmt w:val="bullet"/>
      <w:lvlText w:val="o"/>
      <w:lvlJc w:val="left"/>
      <w:pPr>
        <w:ind w:left="5760" w:hanging="360"/>
      </w:pPr>
      <w:rPr>
        <w:rFonts w:ascii="Courier New" w:hAnsi="Courier New" w:hint="default"/>
      </w:rPr>
    </w:lvl>
    <w:lvl w:ilvl="8" w:tplc="8C3C41B8">
      <w:start w:val="1"/>
      <w:numFmt w:val="bullet"/>
      <w:lvlText w:val=""/>
      <w:lvlJc w:val="left"/>
      <w:pPr>
        <w:ind w:left="6480" w:hanging="360"/>
      </w:pPr>
      <w:rPr>
        <w:rFonts w:ascii="Wingdings" w:hAnsi="Wingdings" w:hint="default"/>
      </w:rPr>
    </w:lvl>
  </w:abstractNum>
  <w:abstractNum w:abstractNumId="106" w15:restartNumberingAfterBreak="0">
    <w:nsid w:val="70152661"/>
    <w:multiLevelType w:val="hybridMultilevel"/>
    <w:tmpl w:val="1C205C36"/>
    <w:lvl w:ilvl="0" w:tplc="BF907698">
      <w:start w:val="1"/>
      <w:numFmt w:val="bullet"/>
      <w:lvlText w:val=""/>
      <w:lvlJc w:val="left"/>
      <w:pPr>
        <w:ind w:left="720" w:hanging="360"/>
      </w:pPr>
      <w:rPr>
        <w:rFonts w:ascii="Symbol" w:hAnsi="Symbol" w:hint="default"/>
      </w:rPr>
    </w:lvl>
    <w:lvl w:ilvl="1" w:tplc="4190C0C2" w:tentative="1">
      <w:start w:val="1"/>
      <w:numFmt w:val="bullet"/>
      <w:lvlText w:val="o"/>
      <w:lvlJc w:val="left"/>
      <w:pPr>
        <w:ind w:left="1440" w:hanging="360"/>
      </w:pPr>
      <w:rPr>
        <w:rFonts w:ascii="Courier New" w:hAnsi="Courier New" w:hint="default"/>
      </w:rPr>
    </w:lvl>
    <w:lvl w:ilvl="2" w:tplc="723CD7B4" w:tentative="1">
      <w:start w:val="1"/>
      <w:numFmt w:val="bullet"/>
      <w:lvlText w:val=""/>
      <w:lvlJc w:val="left"/>
      <w:pPr>
        <w:ind w:left="2160" w:hanging="360"/>
      </w:pPr>
      <w:rPr>
        <w:rFonts w:ascii="Wingdings" w:hAnsi="Wingdings" w:hint="default"/>
      </w:rPr>
    </w:lvl>
    <w:lvl w:ilvl="3" w:tplc="C374BC22" w:tentative="1">
      <w:start w:val="1"/>
      <w:numFmt w:val="bullet"/>
      <w:lvlText w:val=""/>
      <w:lvlJc w:val="left"/>
      <w:pPr>
        <w:ind w:left="2880" w:hanging="360"/>
      </w:pPr>
      <w:rPr>
        <w:rFonts w:ascii="Symbol" w:hAnsi="Symbol" w:hint="default"/>
      </w:rPr>
    </w:lvl>
    <w:lvl w:ilvl="4" w:tplc="1AC45284" w:tentative="1">
      <w:start w:val="1"/>
      <w:numFmt w:val="bullet"/>
      <w:lvlText w:val="o"/>
      <w:lvlJc w:val="left"/>
      <w:pPr>
        <w:ind w:left="3600" w:hanging="360"/>
      </w:pPr>
      <w:rPr>
        <w:rFonts w:ascii="Courier New" w:hAnsi="Courier New" w:hint="default"/>
      </w:rPr>
    </w:lvl>
    <w:lvl w:ilvl="5" w:tplc="2BB2A564" w:tentative="1">
      <w:start w:val="1"/>
      <w:numFmt w:val="bullet"/>
      <w:lvlText w:val=""/>
      <w:lvlJc w:val="left"/>
      <w:pPr>
        <w:ind w:left="4320" w:hanging="360"/>
      </w:pPr>
      <w:rPr>
        <w:rFonts w:ascii="Wingdings" w:hAnsi="Wingdings" w:hint="default"/>
      </w:rPr>
    </w:lvl>
    <w:lvl w:ilvl="6" w:tplc="8A648E94" w:tentative="1">
      <w:start w:val="1"/>
      <w:numFmt w:val="bullet"/>
      <w:lvlText w:val=""/>
      <w:lvlJc w:val="left"/>
      <w:pPr>
        <w:ind w:left="5040" w:hanging="360"/>
      </w:pPr>
      <w:rPr>
        <w:rFonts w:ascii="Symbol" w:hAnsi="Symbol" w:hint="default"/>
      </w:rPr>
    </w:lvl>
    <w:lvl w:ilvl="7" w:tplc="49746924" w:tentative="1">
      <w:start w:val="1"/>
      <w:numFmt w:val="bullet"/>
      <w:lvlText w:val="o"/>
      <w:lvlJc w:val="left"/>
      <w:pPr>
        <w:ind w:left="5760" w:hanging="360"/>
      </w:pPr>
      <w:rPr>
        <w:rFonts w:ascii="Courier New" w:hAnsi="Courier New" w:hint="default"/>
      </w:rPr>
    </w:lvl>
    <w:lvl w:ilvl="8" w:tplc="EB9C497E" w:tentative="1">
      <w:start w:val="1"/>
      <w:numFmt w:val="bullet"/>
      <w:lvlText w:val=""/>
      <w:lvlJc w:val="left"/>
      <w:pPr>
        <w:ind w:left="6480" w:hanging="360"/>
      </w:pPr>
      <w:rPr>
        <w:rFonts w:ascii="Wingdings" w:hAnsi="Wingdings" w:hint="default"/>
      </w:rPr>
    </w:lvl>
  </w:abstractNum>
  <w:abstractNum w:abstractNumId="107" w15:restartNumberingAfterBreak="0">
    <w:nsid w:val="716221D5"/>
    <w:multiLevelType w:val="hybridMultilevel"/>
    <w:tmpl w:val="FFFFFFFF"/>
    <w:lvl w:ilvl="0" w:tplc="FEA8F878">
      <w:start w:val="1"/>
      <w:numFmt w:val="bullet"/>
      <w:lvlText w:val="·"/>
      <w:lvlJc w:val="left"/>
      <w:pPr>
        <w:ind w:left="720" w:hanging="360"/>
      </w:pPr>
      <w:rPr>
        <w:rFonts w:ascii="Symbol" w:hAnsi="Symbol" w:hint="default"/>
      </w:rPr>
    </w:lvl>
    <w:lvl w:ilvl="1" w:tplc="97D2C2C4">
      <w:start w:val="1"/>
      <w:numFmt w:val="bullet"/>
      <w:lvlText w:val="o"/>
      <w:lvlJc w:val="left"/>
      <w:pPr>
        <w:ind w:left="1440" w:hanging="360"/>
      </w:pPr>
      <w:rPr>
        <w:rFonts w:ascii="Courier New" w:hAnsi="Courier New" w:hint="default"/>
      </w:rPr>
    </w:lvl>
    <w:lvl w:ilvl="2" w:tplc="51FED24A">
      <w:start w:val="1"/>
      <w:numFmt w:val="bullet"/>
      <w:lvlText w:val=""/>
      <w:lvlJc w:val="left"/>
      <w:pPr>
        <w:ind w:left="2160" w:hanging="360"/>
      </w:pPr>
      <w:rPr>
        <w:rFonts w:ascii="Wingdings" w:hAnsi="Wingdings" w:hint="default"/>
      </w:rPr>
    </w:lvl>
    <w:lvl w:ilvl="3" w:tplc="05F252F0">
      <w:start w:val="1"/>
      <w:numFmt w:val="bullet"/>
      <w:lvlText w:val=""/>
      <w:lvlJc w:val="left"/>
      <w:pPr>
        <w:ind w:left="2880" w:hanging="360"/>
      </w:pPr>
      <w:rPr>
        <w:rFonts w:ascii="Symbol" w:hAnsi="Symbol" w:hint="default"/>
      </w:rPr>
    </w:lvl>
    <w:lvl w:ilvl="4" w:tplc="1D804186">
      <w:start w:val="1"/>
      <w:numFmt w:val="bullet"/>
      <w:lvlText w:val="o"/>
      <w:lvlJc w:val="left"/>
      <w:pPr>
        <w:ind w:left="3600" w:hanging="360"/>
      </w:pPr>
      <w:rPr>
        <w:rFonts w:ascii="Courier New" w:hAnsi="Courier New" w:hint="default"/>
      </w:rPr>
    </w:lvl>
    <w:lvl w:ilvl="5" w:tplc="3BEAFF40">
      <w:start w:val="1"/>
      <w:numFmt w:val="bullet"/>
      <w:lvlText w:val=""/>
      <w:lvlJc w:val="left"/>
      <w:pPr>
        <w:ind w:left="4320" w:hanging="360"/>
      </w:pPr>
      <w:rPr>
        <w:rFonts w:ascii="Wingdings" w:hAnsi="Wingdings" w:hint="default"/>
      </w:rPr>
    </w:lvl>
    <w:lvl w:ilvl="6" w:tplc="F49813FE">
      <w:start w:val="1"/>
      <w:numFmt w:val="bullet"/>
      <w:lvlText w:val=""/>
      <w:lvlJc w:val="left"/>
      <w:pPr>
        <w:ind w:left="5040" w:hanging="360"/>
      </w:pPr>
      <w:rPr>
        <w:rFonts w:ascii="Symbol" w:hAnsi="Symbol" w:hint="default"/>
      </w:rPr>
    </w:lvl>
    <w:lvl w:ilvl="7" w:tplc="6F687C5A">
      <w:start w:val="1"/>
      <w:numFmt w:val="bullet"/>
      <w:lvlText w:val="o"/>
      <w:lvlJc w:val="left"/>
      <w:pPr>
        <w:ind w:left="5760" w:hanging="360"/>
      </w:pPr>
      <w:rPr>
        <w:rFonts w:ascii="Courier New" w:hAnsi="Courier New" w:hint="default"/>
      </w:rPr>
    </w:lvl>
    <w:lvl w:ilvl="8" w:tplc="16DAEE90">
      <w:start w:val="1"/>
      <w:numFmt w:val="bullet"/>
      <w:lvlText w:val=""/>
      <w:lvlJc w:val="left"/>
      <w:pPr>
        <w:ind w:left="6480" w:hanging="360"/>
      </w:pPr>
      <w:rPr>
        <w:rFonts w:ascii="Wingdings" w:hAnsi="Wingdings" w:hint="default"/>
      </w:rPr>
    </w:lvl>
  </w:abstractNum>
  <w:abstractNum w:abstractNumId="108" w15:restartNumberingAfterBreak="0">
    <w:nsid w:val="72C28198"/>
    <w:multiLevelType w:val="hybridMultilevel"/>
    <w:tmpl w:val="FFFFFFFF"/>
    <w:lvl w:ilvl="0" w:tplc="3052153A">
      <w:start w:val="1"/>
      <w:numFmt w:val="bullet"/>
      <w:lvlText w:val=""/>
      <w:lvlJc w:val="left"/>
      <w:pPr>
        <w:ind w:left="720" w:hanging="360"/>
      </w:pPr>
      <w:rPr>
        <w:rFonts w:ascii="Symbol" w:hAnsi="Symbol" w:hint="default"/>
      </w:rPr>
    </w:lvl>
    <w:lvl w:ilvl="1" w:tplc="BEA2EAFA">
      <w:start w:val="1"/>
      <w:numFmt w:val="bullet"/>
      <w:lvlText w:val="o"/>
      <w:lvlJc w:val="left"/>
      <w:pPr>
        <w:ind w:left="1440" w:hanging="360"/>
      </w:pPr>
      <w:rPr>
        <w:rFonts w:ascii="Courier New" w:hAnsi="Courier New" w:hint="default"/>
      </w:rPr>
    </w:lvl>
    <w:lvl w:ilvl="2" w:tplc="20CC9BE0">
      <w:start w:val="1"/>
      <w:numFmt w:val="bullet"/>
      <w:lvlText w:val=""/>
      <w:lvlJc w:val="left"/>
      <w:pPr>
        <w:ind w:left="2160" w:hanging="360"/>
      </w:pPr>
      <w:rPr>
        <w:rFonts w:ascii="Wingdings" w:hAnsi="Wingdings" w:hint="default"/>
      </w:rPr>
    </w:lvl>
    <w:lvl w:ilvl="3" w:tplc="73E8E80C">
      <w:start w:val="1"/>
      <w:numFmt w:val="bullet"/>
      <w:lvlText w:val=""/>
      <w:lvlJc w:val="left"/>
      <w:pPr>
        <w:ind w:left="2880" w:hanging="360"/>
      </w:pPr>
      <w:rPr>
        <w:rFonts w:ascii="Symbol" w:hAnsi="Symbol" w:hint="default"/>
      </w:rPr>
    </w:lvl>
    <w:lvl w:ilvl="4" w:tplc="A5C05510">
      <w:start w:val="1"/>
      <w:numFmt w:val="bullet"/>
      <w:lvlText w:val="o"/>
      <w:lvlJc w:val="left"/>
      <w:pPr>
        <w:ind w:left="3600" w:hanging="360"/>
      </w:pPr>
      <w:rPr>
        <w:rFonts w:ascii="Courier New" w:hAnsi="Courier New" w:hint="default"/>
      </w:rPr>
    </w:lvl>
    <w:lvl w:ilvl="5" w:tplc="9AB23F80">
      <w:start w:val="1"/>
      <w:numFmt w:val="bullet"/>
      <w:lvlText w:val=""/>
      <w:lvlJc w:val="left"/>
      <w:pPr>
        <w:ind w:left="4320" w:hanging="360"/>
      </w:pPr>
      <w:rPr>
        <w:rFonts w:ascii="Wingdings" w:hAnsi="Wingdings" w:hint="default"/>
      </w:rPr>
    </w:lvl>
    <w:lvl w:ilvl="6" w:tplc="883E2AA6">
      <w:start w:val="1"/>
      <w:numFmt w:val="bullet"/>
      <w:lvlText w:val=""/>
      <w:lvlJc w:val="left"/>
      <w:pPr>
        <w:ind w:left="5040" w:hanging="360"/>
      </w:pPr>
      <w:rPr>
        <w:rFonts w:ascii="Symbol" w:hAnsi="Symbol" w:hint="default"/>
      </w:rPr>
    </w:lvl>
    <w:lvl w:ilvl="7" w:tplc="AE1E4E98">
      <w:start w:val="1"/>
      <w:numFmt w:val="bullet"/>
      <w:lvlText w:val="o"/>
      <w:lvlJc w:val="left"/>
      <w:pPr>
        <w:ind w:left="5760" w:hanging="360"/>
      </w:pPr>
      <w:rPr>
        <w:rFonts w:ascii="Courier New" w:hAnsi="Courier New" w:hint="default"/>
      </w:rPr>
    </w:lvl>
    <w:lvl w:ilvl="8" w:tplc="A7EA62FE">
      <w:start w:val="1"/>
      <w:numFmt w:val="bullet"/>
      <w:lvlText w:val=""/>
      <w:lvlJc w:val="left"/>
      <w:pPr>
        <w:ind w:left="6480" w:hanging="360"/>
      </w:pPr>
      <w:rPr>
        <w:rFonts w:ascii="Wingdings" w:hAnsi="Wingdings" w:hint="default"/>
      </w:rPr>
    </w:lvl>
  </w:abstractNum>
  <w:abstractNum w:abstractNumId="109" w15:restartNumberingAfterBreak="0">
    <w:nsid w:val="75A8C0D1"/>
    <w:multiLevelType w:val="hybridMultilevel"/>
    <w:tmpl w:val="BEA69CB4"/>
    <w:lvl w:ilvl="0" w:tplc="3B9EA18A">
      <w:start w:val="1"/>
      <w:numFmt w:val="bullet"/>
      <w:lvlText w:val=""/>
      <w:lvlJc w:val="left"/>
      <w:pPr>
        <w:ind w:left="720" w:hanging="360"/>
      </w:pPr>
      <w:rPr>
        <w:rFonts w:ascii="Symbol" w:hAnsi="Symbol" w:hint="default"/>
      </w:rPr>
    </w:lvl>
    <w:lvl w:ilvl="1" w:tplc="BC662E4E">
      <w:start w:val="1"/>
      <w:numFmt w:val="bullet"/>
      <w:lvlText w:val="o"/>
      <w:lvlJc w:val="left"/>
      <w:pPr>
        <w:ind w:left="1440" w:hanging="360"/>
      </w:pPr>
      <w:rPr>
        <w:rFonts w:ascii="Courier New" w:hAnsi="Courier New" w:hint="default"/>
      </w:rPr>
    </w:lvl>
    <w:lvl w:ilvl="2" w:tplc="C242097C">
      <w:start w:val="1"/>
      <w:numFmt w:val="bullet"/>
      <w:lvlText w:val=""/>
      <w:lvlJc w:val="left"/>
      <w:pPr>
        <w:ind w:left="2160" w:hanging="360"/>
      </w:pPr>
      <w:rPr>
        <w:rFonts w:ascii="Wingdings" w:hAnsi="Wingdings" w:hint="default"/>
      </w:rPr>
    </w:lvl>
    <w:lvl w:ilvl="3" w:tplc="575E2A9E">
      <w:start w:val="1"/>
      <w:numFmt w:val="bullet"/>
      <w:lvlText w:val=""/>
      <w:lvlJc w:val="left"/>
      <w:pPr>
        <w:ind w:left="2880" w:hanging="360"/>
      </w:pPr>
      <w:rPr>
        <w:rFonts w:ascii="Symbol" w:hAnsi="Symbol" w:hint="default"/>
      </w:rPr>
    </w:lvl>
    <w:lvl w:ilvl="4" w:tplc="32DA52A0">
      <w:start w:val="1"/>
      <w:numFmt w:val="bullet"/>
      <w:lvlText w:val="o"/>
      <w:lvlJc w:val="left"/>
      <w:pPr>
        <w:ind w:left="3600" w:hanging="360"/>
      </w:pPr>
      <w:rPr>
        <w:rFonts w:ascii="Courier New" w:hAnsi="Courier New" w:hint="default"/>
      </w:rPr>
    </w:lvl>
    <w:lvl w:ilvl="5" w:tplc="5C989E14">
      <w:start w:val="1"/>
      <w:numFmt w:val="bullet"/>
      <w:lvlText w:val=""/>
      <w:lvlJc w:val="left"/>
      <w:pPr>
        <w:ind w:left="4320" w:hanging="360"/>
      </w:pPr>
      <w:rPr>
        <w:rFonts w:ascii="Wingdings" w:hAnsi="Wingdings" w:hint="default"/>
      </w:rPr>
    </w:lvl>
    <w:lvl w:ilvl="6" w:tplc="F50A1C52">
      <w:start w:val="1"/>
      <w:numFmt w:val="bullet"/>
      <w:lvlText w:val=""/>
      <w:lvlJc w:val="left"/>
      <w:pPr>
        <w:ind w:left="5040" w:hanging="360"/>
      </w:pPr>
      <w:rPr>
        <w:rFonts w:ascii="Symbol" w:hAnsi="Symbol" w:hint="default"/>
      </w:rPr>
    </w:lvl>
    <w:lvl w:ilvl="7" w:tplc="ED5A23EC">
      <w:start w:val="1"/>
      <w:numFmt w:val="bullet"/>
      <w:lvlText w:val="o"/>
      <w:lvlJc w:val="left"/>
      <w:pPr>
        <w:ind w:left="5760" w:hanging="360"/>
      </w:pPr>
      <w:rPr>
        <w:rFonts w:ascii="Courier New" w:hAnsi="Courier New" w:hint="default"/>
      </w:rPr>
    </w:lvl>
    <w:lvl w:ilvl="8" w:tplc="7264F274">
      <w:start w:val="1"/>
      <w:numFmt w:val="bullet"/>
      <w:lvlText w:val=""/>
      <w:lvlJc w:val="left"/>
      <w:pPr>
        <w:ind w:left="6480" w:hanging="360"/>
      </w:pPr>
      <w:rPr>
        <w:rFonts w:ascii="Wingdings" w:hAnsi="Wingdings" w:hint="default"/>
      </w:rPr>
    </w:lvl>
  </w:abstractNum>
  <w:abstractNum w:abstractNumId="110" w15:restartNumberingAfterBreak="0">
    <w:nsid w:val="7788265F"/>
    <w:multiLevelType w:val="hybridMultilevel"/>
    <w:tmpl w:val="033C8EC2"/>
    <w:lvl w:ilvl="0" w:tplc="30128B38">
      <w:start w:val="1"/>
      <w:numFmt w:val="bullet"/>
      <w:lvlText w:val="·"/>
      <w:lvlJc w:val="left"/>
      <w:pPr>
        <w:ind w:left="720" w:hanging="360"/>
      </w:pPr>
      <w:rPr>
        <w:rFonts w:ascii="Symbol" w:hAnsi="Symbol" w:hint="default"/>
      </w:rPr>
    </w:lvl>
    <w:lvl w:ilvl="1" w:tplc="4C48DF6C">
      <w:start w:val="1"/>
      <w:numFmt w:val="bullet"/>
      <w:lvlText w:val="o"/>
      <w:lvlJc w:val="left"/>
      <w:pPr>
        <w:ind w:left="1440" w:hanging="360"/>
      </w:pPr>
      <w:rPr>
        <w:rFonts w:ascii="Courier New" w:hAnsi="Courier New" w:hint="default"/>
      </w:rPr>
    </w:lvl>
    <w:lvl w:ilvl="2" w:tplc="C2804E0C">
      <w:start w:val="1"/>
      <w:numFmt w:val="bullet"/>
      <w:lvlText w:val=""/>
      <w:lvlJc w:val="left"/>
      <w:pPr>
        <w:ind w:left="2160" w:hanging="360"/>
      </w:pPr>
      <w:rPr>
        <w:rFonts w:ascii="Wingdings" w:hAnsi="Wingdings" w:hint="default"/>
      </w:rPr>
    </w:lvl>
    <w:lvl w:ilvl="3" w:tplc="B9CC5198">
      <w:start w:val="1"/>
      <w:numFmt w:val="bullet"/>
      <w:lvlText w:val=""/>
      <w:lvlJc w:val="left"/>
      <w:pPr>
        <w:ind w:left="2880" w:hanging="360"/>
      </w:pPr>
      <w:rPr>
        <w:rFonts w:ascii="Symbol" w:hAnsi="Symbol" w:hint="default"/>
      </w:rPr>
    </w:lvl>
    <w:lvl w:ilvl="4" w:tplc="C39CB130">
      <w:start w:val="1"/>
      <w:numFmt w:val="bullet"/>
      <w:lvlText w:val="o"/>
      <w:lvlJc w:val="left"/>
      <w:pPr>
        <w:ind w:left="3600" w:hanging="360"/>
      </w:pPr>
      <w:rPr>
        <w:rFonts w:ascii="Courier New" w:hAnsi="Courier New" w:hint="default"/>
      </w:rPr>
    </w:lvl>
    <w:lvl w:ilvl="5" w:tplc="06B0F5FE">
      <w:start w:val="1"/>
      <w:numFmt w:val="bullet"/>
      <w:lvlText w:val=""/>
      <w:lvlJc w:val="left"/>
      <w:pPr>
        <w:ind w:left="4320" w:hanging="360"/>
      </w:pPr>
      <w:rPr>
        <w:rFonts w:ascii="Wingdings" w:hAnsi="Wingdings" w:hint="default"/>
      </w:rPr>
    </w:lvl>
    <w:lvl w:ilvl="6" w:tplc="CF688818">
      <w:start w:val="1"/>
      <w:numFmt w:val="bullet"/>
      <w:lvlText w:val=""/>
      <w:lvlJc w:val="left"/>
      <w:pPr>
        <w:ind w:left="5040" w:hanging="360"/>
      </w:pPr>
      <w:rPr>
        <w:rFonts w:ascii="Symbol" w:hAnsi="Symbol" w:hint="default"/>
      </w:rPr>
    </w:lvl>
    <w:lvl w:ilvl="7" w:tplc="9FF89D4C">
      <w:start w:val="1"/>
      <w:numFmt w:val="bullet"/>
      <w:lvlText w:val="o"/>
      <w:lvlJc w:val="left"/>
      <w:pPr>
        <w:ind w:left="5760" w:hanging="360"/>
      </w:pPr>
      <w:rPr>
        <w:rFonts w:ascii="Courier New" w:hAnsi="Courier New" w:hint="default"/>
      </w:rPr>
    </w:lvl>
    <w:lvl w:ilvl="8" w:tplc="07FCAB4C">
      <w:start w:val="1"/>
      <w:numFmt w:val="bullet"/>
      <w:lvlText w:val=""/>
      <w:lvlJc w:val="left"/>
      <w:pPr>
        <w:ind w:left="6480" w:hanging="360"/>
      </w:pPr>
      <w:rPr>
        <w:rFonts w:ascii="Wingdings" w:hAnsi="Wingdings" w:hint="default"/>
      </w:rPr>
    </w:lvl>
  </w:abstractNum>
  <w:abstractNum w:abstractNumId="111" w15:restartNumberingAfterBreak="0">
    <w:nsid w:val="78891F7D"/>
    <w:multiLevelType w:val="hybridMultilevel"/>
    <w:tmpl w:val="FFFFFFFF"/>
    <w:lvl w:ilvl="0" w:tplc="1FB0ECC2">
      <w:start w:val="1"/>
      <w:numFmt w:val="bullet"/>
      <w:lvlText w:val=""/>
      <w:lvlJc w:val="left"/>
      <w:pPr>
        <w:ind w:left="720" w:hanging="360"/>
      </w:pPr>
      <w:rPr>
        <w:rFonts w:ascii="Symbol" w:hAnsi="Symbol" w:hint="default"/>
      </w:rPr>
    </w:lvl>
    <w:lvl w:ilvl="1" w:tplc="70E44B8C">
      <w:start w:val="1"/>
      <w:numFmt w:val="bullet"/>
      <w:lvlText w:val="o"/>
      <w:lvlJc w:val="left"/>
      <w:pPr>
        <w:ind w:left="1440" w:hanging="360"/>
      </w:pPr>
      <w:rPr>
        <w:rFonts w:ascii="Courier New" w:hAnsi="Courier New" w:hint="default"/>
      </w:rPr>
    </w:lvl>
    <w:lvl w:ilvl="2" w:tplc="A740B00E">
      <w:start w:val="1"/>
      <w:numFmt w:val="bullet"/>
      <w:lvlText w:val=""/>
      <w:lvlJc w:val="left"/>
      <w:pPr>
        <w:ind w:left="2160" w:hanging="360"/>
      </w:pPr>
      <w:rPr>
        <w:rFonts w:ascii="Wingdings" w:hAnsi="Wingdings" w:hint="default"/>
      </w:rPr>
    </w:lvl>
    <w:lvl w:ilvl="3" w:tplc="BB240EBA">
      <w:start w:val="1"/>
      <w:numFmt w:val="bullet"/>
      <w:lvlText w:val=""/>
      <w:lvlJc w:val="left"/>
      <w:pPr>
        <w:ind w:left="2880" w:hanging="360"/>
      </w:pPr>
      <w:rPr>
        <w:rFonts w:ascii="Symbol" w:hAnsi="Symbol" w:hint="default"/>
      </w:rPr>
    </w:lvl>
    <w:lvl w:ilvl="4" w:tplc="6DFCD680">
      <w:start w:val="1"/>
      <w:numFmt w:val="bullet"/>
      <w:lvlText w:val="o"/>
      <w:lvlJc w:val="left"/>
      <w:pPr>
        <w:ind w:left="3600" w:hanging="360"/>
      </w:pPr>
      <w:rPr>
        <w:rFonts w:ascii="Courier New" w:hAnsi="Courier New" w:hint="default"/>
      </w:rPr>
    </w:lvl>
    <w:lvl w:ilvl="5" w:tplc="92D816E6">
      <w:start w:val="1"/>
      <w:numFmt w:val="bullet"/>
      <w:lvlText w:val=""/>
      <w:lvlJc w:val="left"/>
      <w:pPr>
        <w:ind w:left="4320" w:hanging="360"/>
      </w:pPr>
      <w:rPr>
        <w:rFonts w:ascii="Wingdings" w:hAnsi="Wingdings" w:hint="default"/>
      </w:rPr>
    </w:lvl>
    <w:lvl w:ilvl="6" w:tplc="F12CE2CC">
      <w:start w:val="1"/>
      <w:numFmt w:val="bullet"/>
      <w:lvlText w:val=""/>
      <w:lvlJc w:val="left"/>
      <w:pPr>
        <w:ind w:left="5040" w:hanging="360"/>
      </w:pPr>
      <w:rPr>
        <w:rFonts w:ascii="Symbol" w:hAnsi="Symbol" w:hint="default"/>
      </w:rPr>
    </w:lvl>
    <w:lvl w:ilvl="7" w:tplc="6AA80DB8">
      <w:start w:val="1"/>
      <w:numFmt w:val="bullet"/>
      <w:lvlText w:val="o"/>
      <w:lvlJc w:val="left"/>
      <w:pPr>
        <w:ind w:left="5760" w:hanging="360"/>
      </w:pPr>
      <w:rPr>
        <w:rFonts w:ascii="Courier New" w:hAnsi="Courier New" w:hint="default"/>
      </w:rPr>
    </w:lvl>
    <w:lvl w:ilvl="8" w:tplc="CA32980C">
      <w:start w:val="1"/>
      <w:numFmt w:val="bullet"/>
      <w:lvlText w:val=""/>
      <w:lvlJc w:val="left"/>
      <w:pPr>
        <w:ind w:left="6480" w:hanging="360"/>
      </w:pPr>
      <w:rPr>
        <w:rFonts w:ascii="Wingdings" w:hAnsi="Wingdings" w:hint="default"/>
      </w:rPr>
    </w:lvl>
  </w:abstractNum>
  <w:abstractNum w:abstractNumId="112" w15:restartNumberingAfterBreak="0">
    <w:nsid w:val="7A32BE9A"/>
    <w:multiLevelType w:val="hybridMultilevel"/>
    <w:tmpl w:val="FFFFFFFF"/>
    <w:lvl w:ilvl="0" w:tplc="AF56152E">
      <w:start w:val="1"/>
      <w:numFmt w:val="bullet"/>
      <w:lvlText w:val=""/>
      <w:lvlJc w:val="left"/>
      <w:pPr>
        <w:ind w:left="720" w:hanging="360"/>
      </w:pPr>
      <w:rPr>
        <w:rFonts w:ascii="Symbol" w:hAnsi="Symbol" w:hint="default"/>
      </w:rPr>
    </w:lvl>
    <w:lvl w:ilvl="1" w:tplc="E8A46F84">
      <w:start w:val="1"/>
      <w:numFmt w:val="bullet"/>
      <w:lvlText w:val="o"/>
      <w:lvlJc w:val="left"/>
      <w:pPr>
        <w:ind w:left="1440" w:hanging="360"/>
      </w:pPr>
      <w:rPr>
        <w:rFonts w:ascii="Courier New" w:hAnsi="Courier New" w:hint="default"/>
      </w:rPr>
    </w:lvl>
    <w:lvl w:ilvl="2" w:tplc="A6A6C4E6">
      <w:start w:val="1"/>
      <w:numFmt w:val="bullet"/>
      <w:lvlText w:val=""/>
      <w:lvlJc w:val="left"/>
      <w:pPr>
        <w:ind w:left="2160" w:hanging="360"/>
      </w:pPr>
      <w:rPr>
        <w:rFonts w:ascii="Wingdings" w:hAnsi="Wingdings" w:hint="default"/>
      </w:rPr>
    </w:lvl>
    <w:lvl w:ilvl="3" w:tplc="4FEEDF6E">
      <w:start w:val="1"/>
      <w:numFmt w:val="bullet"/>
      <w:lvlText w:val=""/>
      <w:lvlJc w:val="left"/>
      <w:pPr>
        <w:ind w:left="2880" w:hanging="360"/>
      </w:pPr>
      <w:rPr>
        <w:rFonts w:ascii="Symbol" w:hAnsi="Symbol" w:hint="default"/>
      </w:rPr>
    </w:lvl>
    <w:lvl w:ilvl="4" w:tplc="13981B9E">
      <w:start w:val="1"/>
      <w:numFmt w:val="bullet"/>
      <w:lvlText w:val="o"/>
      <w:lvlJc w:val="left"/>
      <w:pPr>
        <w:ind w:left="3600" w:hanging="360"/>
      </w:pPr>
      <w:rPr>
        <w:rFonts w:ascii="Courier New" w:hAnsi="Courier New" w:hint="default"/>
      </w:rPr>
    </w:lvl>
    <w:lvl w:ilvl="5" w:tplc="CB7E468C">
      <w:start w:val="1"/>
      <w:numFmt w:val="bullet"/>
      <w:lvlText w:val=""/>
      <w:lvlJc w:val="left"/>
      <w:pPr>
        <w:ind w:left="4320" w:hanging="360"/>
      </w:pPr>
      <w:rPr>
        <w:rFonts w:ascii="Wingdings" w:hAnsi="Wingdings" w:hint="default"/>
      </w:rPr>
    </w:lvl>
    <w:lvl w:ilvl="6" w:tplc="00228BD0">
      <w:start w:val="1"/>
      <w:numFmt w:val="bullet"/>
      <w:lvlText w:val=""/>
      <w:lvlJc w:val="left"/>
      <w:pPr>
        <w:ind w:left="5040" w:hanging="360"/>
      </w:pPr>
      <w:rPr>
        <w:rFonts w:ascii="Symbol" w:hAnsi="Symbol" w:hint="default"/>
      </w:rPr>
    </w:lvl>
    <w:lvl w:ilvl="7" w:tplc="14A8F200">
      <w:start w:val="1"/>
      <w:numFmt w:val="bullet"/>
      <w:lvlText w:val="o"/>
      <w:lvlJc w:val="left"/>
      <w:pPr>
        <w:ind w:left="5760" w:hanging="360"/>
      </w:pPr>
      <w:rPr>
        <w:rFonts w:ascii="Courier New" w:hAnsi="Courier New" w:hint="default"/>
      </w:rPr>
    </w:lvl>
    <w:lvl w:ilvl="8" w:tplc="9B768A3E">
      <w:start w:val="1"/>
      <w:numFmt w:val="bullet"/>
      <w:lvlText w:val=""/>
      <w:lvlJc w:val="left"/>
      <w:pPr>
        <w:ind w:left="6480" w:hanging="360"/>
      </w:pPr>
      <w:rPr>
        <w:rFonts w:ascii="Wingdings" w:hAnsi="Wingdings" w:hint="default"/>
      </w:rPr>
    </w:lvl>
  </w:abstractNum>
  <w:abstractNum w:abstractNumId="113" w15:restartNumberingAfterBreak="0">
    <w:nsid w:val="7C3D1228"/>
    <w:multiLevelType w:val="hybridMultilevel"/>
    <w:tmpl w:val="29004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7FA93F77"/>
    <w:multiLevelType w:val="hybridMultilevel"/>
    <w:tmpl w:val="FFFFFFFF"/>
    <w:lvl w:ilvl="0" w:tplc="5E24F2DA">
      <w:start w:val="1"/>
      <w:numFmt w:val="bullet"/>
      <w:lvlText w:val=""/>
      <w:lvlJc w:val="left"/>
      <w:pPr>
        <w:ind w:left="720" w:hanging="360"/>
      </w:pPr>
      <w:rPr>
        <w:rFonts w:ascii="Symbol" w:hAnsi="Symbol" w:hint="default"/>
      </w:rPr>
    </w:lvl>
    <w:lvl w:ilvl="1" w:tplc="1CAC3468">
      <w:start w:val="1"/>
      <w:numFmt w:val="bullet"/>
      <w:lvlText w:val="o"/>
      <w:lvlJc w:val="left"/>
      <w:pPr>
        <w:ind w:left="1440" w:hanging="360"/>
      </w:pPr>
      <w:rPr>
        <w:rFonts w:ascii="Courier New" w:hAnsi="Courier New" w:hint="default"/>
      </w:rPr>
    </w:lvl>
    <w:lvl w:ilvl="2" w:tplc="C36A7548">
      <w:start w:val="1"/>
      <w:numFmt w:val="bullet"/>
      <w:lvlText w:val=""/>
      <w:lvlJc w:val="left"/>
      <w:pPr>
        <w:ind w:left="2160" w:hanging="360"/>
      </w:pPr>
      <w:rPr>
        <w:rFonts w:ascii="Wingdings" w:hAnsi="Wingdings" w:hint="default"/>
      </w:rPr>
    </w:lvl>
    <w:lvl w:ilvl="3" w:tplc="E092E584">
      <w:start w:val="1"/>
      <w:numFmt w:val="bullet"/>
      <w:lvlText w:val=""/>
      <w:lvlJc w:val="left"/>
      <w:pPr>
        <w:ind w:left="2880" w:hanging="360"/>
      </w:pPr>
      <w:rPr>
        <w:rFonts w:ascii="Symbol" w:hAnsi="Symbol" w:hint="default"/>
      </w:rPr>
    </w:lvl>
    <w:lvl w:ilvl="4" w:tplc="978A0458">
      <w:start w:val="1"/>
      <w:numFmt w:val="bullet"/>
      <w:lvlText w:val="o"/>
      <w:lvlJc w:val="left"/>
      <w:pPr>
        <w:ind w:left="3600" w:hanging="360"/>
      </w:pPr>
      <w:rPr>
        <w:rFonts w:ascii="Courier New" w:hAnsi="Courier New" w:hint="default"/>
      </w:rPr>
    </w:lvl>
    <w:lvl w:ilvl="5" w:tplc="07E099A8">
      <w:start w:val="1"/>
      <w:numFmt w:val="bullet"/>
      <w:lvlText w:val=""/>
      <w:lvlJc w:val="left"/>
      <w:pPr>
        <w:ind w:left="4320" w:hanging="360"/>
      </w:pPr>
      <w:rPr>
        <w:rFonts w:ascii="Wingdings" w:hAnsi="Wingdings" w:hint="default"/>
      </w:rPr>
    </w:lvl>
    <w:lvl w:ilvl="6" w:tplc="282A2296">
      <w:start w:val="1"/>
      <w:numFmt w:val="bullet"/>
      <w:lvlText w:val=""/>
      <w:lvlJc w:val="left"/>
      <w:pPr>
        <w:ind w:left="5040" w:hanging="360"/>
      </w:pPr>
      <w:rPr>
        <w:rFonts w:ascii="Symbol" w:hAnsi="Symbol" w:hint="default"/>
      </w:rPr>
    </w:lvl>
    <w:lvl w:ilvl="7" w:tplc="456810BC">
      <w:start w:val="1"/>
      <w:numFmt w:val="bullet"/>
      <w:lvlText w:val="o"/>
      <w:lvlJc w:val="left"/>
      <w:pPr>
        <w:ind w:left="5760" w:hanging="360"/>
      </w:pPr>
      <w:rPr>
        <w:rFonts w:ascii="Courier New" w:hAnsi="Courier New" w:hint="default"/>
      </w:rPr>
    </w:lvl>
    <w:lvl w:ilvl="8" w:tplc="77B85078">
      <w:start w:val="1"/>
      <w:numFmt w:val="bullet"/>
      <w:lvlText w:val=""/>
      <w:lvlJc w:val="left"/>
      <w:pPr>
        <w:ind w:left="6480" w:hanging="360"/>
      </w:pPr>
      <w:rPr>
        <w:rFonts w:ascii="Wingdings" w:hAnsi="Wingdings" w:hint="default"/>
      </w:rPr>
    </w:lvl>
  </w:abstractNum>
  <w:abstractNum w:abstractNumId="115" w15:restartNumberingAfterBreak="0">
    <w:nsid w:val="7FF83D39"/>
    <w:multiLevelType w:val="hybridMultilevel"/>
    <w:tmpl w:val="FFFFFFFF"/>
    <w:lvl w:ilvl="0" w:tplc="AF26C7DE">
      <w:start w:val="1"/>
      <w:numFmt w:val="bullet"/>
      <w:lvlText w:val=""/>
      <w:lvlJc w:val="left"/>
      <w:pPr>
        <w:ind w:left="720" w:hanging="360"/>
      </w:pPr>
      <w:rPr>
        <w:rFonts w:ascii="Symbol" w:hAnsi="Symbol" w:hint="default"/>
      </w:rPr>
    </w:lvl>
    <w:lvl w:ilvl="1" w:tplc="2F949990">
      <w:start w:val="1"/>
      <w:numFmt w:val="bullet"/>
      <w:lvlText w:val="o"/>
      <w:lvlJc w:val="left"/>
      <w:pPr>
        <w:ind w:left="1440" w:hanging="360"/>
      </w:pPr>
      <w:rPr>
        <w:rFonts w:ascii="Courier New" w:hAnsi="Courier New" w:hint="default"/>
      </w:rPr>
    </w:lvl>
    <w:lvl w:ilvl="2" w:tplc="B5B205B4">
      <w:start w:val="1"/>
      <w:numFmt w:val="bullet"/>
      <w:lvlText w:val=""/>
      <w:lvlJc w:val="left"/>
      <w:pPr>
        <w:ind w:left="2160" w:hanging="360"/>
      </w:pPr>
      <w:rPr>
        <w:rFonts w:ascii="Wingdings" w:hAnsi="Wingdings" w:hint="default"/>
      </w:rPr>
    </w:lvl>
    <w:lvl w:ilvl="3" w:tplc="44F4A0C0">
      <w:start w:val="1"/>
      <w:numFmt w:val="bullet"/>
      <w:lvlText w:val=""/>
      <w:lvlJc w:val="left"/>
      <w:pPr>
        <w:ind w:left="2880" w:hanging="360"/>
      </w:pPr>
      <w:rPr>
        <w:rFonts w:ascii="Symbol" w:hAnsi="Symbol" w:hint="default"/>
      </w:rPr>
    </w:lvl>
    <w:lvl w:ilvl="4" w:tplc="677A4BF0">
      <w:start w:val="1"/>
      <w:numFmt w:val="bullet"/>
      <w:lvlText w:val="o"/>
      <w:lvlJc w:val="left"/>
      <w:pPr>
        <w:ind w:left="3600" w:hanging="360"/>
      </w:pPr>
      <w:rPr>
        <w:rFonts w:ascii="Courier New" w:hAnsi="Courier New" w:hint="default"/>
      </w:rPr>
    </w:lvl>
    <w:lvl w:ilvl="5" w:tplc="CD18CEC6">
      <w:start w:val="1"/>
      <w:numFmt w:val="bullet"/>
      <w:lvlText w:val=""/>
      <w:lvlJc w:val="left"/>
      <w:pPr>
        <w:ind w:left="4320" w:hanging="360"/>
      </w:pPr>
      <w:rPr>
        <w:rFonts w:ascii="Wingdings" w:hAnsi="Wingdings" w:hint="default"/>
      </w:rPr>
    </w:lvl>
    <w:lvl w:ilvl="6" w:tplc="063472FA">
      <w:start w:val="1"/>
      <w:numFmt w:val="bullet"/>
      <w:lvlText w:val=""/>
      <w:lvlJc w:val="left"/>
      <w:pPr>
        <w:ind w:left="5040" w:hanging="360"/>
      </w:pPr>
      <w:rPr>
        <w:rFonts w:ascii="Symbol" w:hAnsi="Symbol" w:hint="default"/>
      </w:rPr>
    </w:lvl>
    <w:lvl w:ilvl="7" w:tplc="5252ACE0">
      <w:start w:val="1"/>
      <w:numFmt w:val="bullet"/>
      <w:lvlText w:val="o"/>
      <w:lvlJc w:val="left"/>
      <w:pPr>
        <w:ind w:left="5760" w:hanging="360"/>
      </w:pPr>
      <w:rPr>
        <w:rFonts w:ascii="Courier New" w:hAnsi="Courier New" w:hint="default"/>
      </w:rPr>
    </w:lvl>
    <w:lvl w:ilvl="8" w:tplc="B5484310">
      <w:start w:val="1"/>
      <w:numFmt w:val="bullet"/>
      <w:lvlText w:val=""/>
      <w:lvlJc w:val="left"/>
      <w:pPr>
        <w:ind w:left="6480" w:hanging="360"/>
      </w:pPr>
      <w:rPr>
        <w:rFonts w:ascii="Wingdings" w:hAnsi="Wingdings" w:hint="default"/>
      </w:rPr>
    </w:lvl>
  </w:abstractNum>
  <w:num w:numId="1" w16cid:durableId="1927180076">
    <w:abstractNumId w:val="39"/>
  </w:num>
  <w:num w:numId="2" w16cid:durableId="163976466">
    <w:abstractNumId w:val="93"/>
  </w:num>
  <w:num w:numId="3" w16cid:durableId="1553611792">
    <w:abstractNumId w:val="99"/>
  </w:num>
  <w:num w:numId="4" w16cid:durableId="1106727802">
    <w:abstractNumId w:val="10"/>
  </w:num>
  <w:num w:numId="5" w16cid:durableId="1542553199">
    <w:abstractNumId w:val="15"/>
  </w:num>
  <w:num w:numId="6" w16cid:durableId="525021532">
    <w:abstractNumId w:val="92"/>
  </w:num>
  <w:num w:numId="7" w16cid:durableId="2075083285">
    <w:abstractNumId w:val="101"/>
  </w:num>
  <w:num w:numId="8" w16cid:durableId="2043700983">
    <w:abstractNumId w:val="62"/>
  </w:num>
  <w:num w:numId="9" w16cid:durableId="286854388">
    <w:abstractNumId w:val="30"/>
  </w:num>
  <w:num w:numId="10" w16cid:durableId="2079203976">
    <w:abstractNumId w:val="69"/>
  </w:num>
  <w:num w:numId="11" w16cid:durableId="1591504022">
    <w:abstractNumId w:val="100"/>
  </w:num>
  <w:num w:numId="12" w16cid:durableId="769935894">
    <w:abstractNumId w:val="109"/>
  </w:num>
  <w:num w:numId="13" w16cid:durableId="550576525">
    <w:abstractNumId w:val="20"/>
  </w:num>
  <w:num w:numId="14" w16cid:durableId="1236360934">
    <w:abstractNumId w:val="13"/>
  </w:num>
  <w:num w:numId="15" w16cid:durableId="520704189">
    <w:abstractNumId w:val="59"/>
  </w:num>
  <w:num w:numId="16" w16cid:durableId="382558287">
    <w:abstractNumId w:val="79"/>
  </w:num>
  <w:num w:numId="17" w16cid:durableId="1963265355">
    <w:abstractNumId w:val="44"/>
  </w:num>
  <w:num w:numId="18" w16cid:durableId="664822985">
    <w:abstractNumId w:val="102"/>
  </w:num>
  <w:num w:numId="19" w16cid:durableId="1703700323">
    <w:abstractNumId w:val="110"/>
  </w:num>
  <w:num w:numId="20" w16cid:durableId="1629820759">
    <w:abstractNumId w:val="54"/>
  </w:num>
  <w:num w:numId="21" w16cid:durableId="1350369662">
    <w:abstractNumId w:val="42"/>
  </w:num>
  <w:num w:numId="22" w16cid:durableId="824392208">
    <w:abstractNumId w:val="17"/>
  </w:num>
  <w:num w:numId="23" w16cid:durableId="1432436177">
    <w:abstractNumId w:val="61"/>
  </w:num>
  <w:num w:numId="24" w16cid:durableId="1176267179">
    <w:abstractNumId w:val="12"/>
  </w:num>
  <w:num w:numId="25" w16cid:durableId="781413600">
    <w:abstractNumId w:val="14"/>
  </w:num>
  <w:num w:numId="26" w16cid:durableId="121465404">
    <w:abstractNumId w:val="115"/>
  </w:num>
  <w:num w:numId="27" w16cid:durableId="978147123">
    <w:abstractNumId w:val="67"/>
  </w:num>
  <w:num w:numId="28" w16cid:durableId="1304888769">
    <w:abstractNumId w:val="72"/>
  </w:num>
  <w:num w:numId="29" w16cid:durableId="55473836">
    <w:abstractNumId w:val="111"/>
  </w:num>
  <w:num w:numId="30" w16cid:durableId="834147649">
    <w:abstractNumId w:val="108"/>
  </w:num>
  <w:num w:numId="31" w16cid:durableId="2045325565">
    <w:abstractNumId w:val="36"/>
  </w:num>
  <w:num w:numId="32" w16cid:durableId="1086809380">
    <w:abstractNumId w:val="103"/>
  </w:num>
  <w:num w:numId="33" w16cid:durableId="969894432">
    <w:abstractNumId w:val="97"/>
  </w:num>
  <w:num w:numId="34" w16cid:durableId="1597322103">
    <w:abstractNumId w:val="33"/>
  </w:num>
  <w:num w:numId="35" w16cid:durableId="1652639220">
    <w:abstractNumId w:val="77"/>
  </w:num>
  <w:num w:numId="36" w16cid:durableId="653069538">
    <w:abstractNumId w:val="95"/>
  </w:num>
  <w:num w:numId="37" w16cid:durableId="2125810339">
    <w:abstractNumId w:val="45"/>
  </w:num>
  <w:num w:numId="38" w16cid:durableId="1012679759">
    <w:abstractNumId w:val="85"/>
  </w:num>
  <w:num w:numId="39" w16cid:durableId="156650785">
    <w:abstractNumId w:val="104"/>
  </w:num>
  <w:num w:numId="40" w16cid:durableId="1517765180">
    <w:abstractNumId w:val="73"/>
  </w:num>
  <w:num w:numId="41" w16cid:durableId="1826507917">
    <w:abstractNumId w:val="76"/>
  </w:num>
  <w:num w:numId="42" w16cid:durableId="722412061">
    <w:abstractNumId w:val="25"/>
  </w:num>
  <w:num w:numId="43" w16cid:durableId="538129027">
    <w:abstractNumId w:val="8"/>
  </w:num>
  <w:num w:numId="44" w16cid:durableId="1033461080">
    <w:abstractNumId w:val="63"/>
  </w:num>
  <w:num w:numId="45" w16cid:durableId="1218013576">
    <w:abstractNumId w:val="83"/>
  </w:num>
  <w:num w:numId="46" w16cid:durableId="1794010041">
    <w:abstractNumId w:val="106"/>
  </w:num>
  <w:num w:numId="47" w16cid:durableId="1828863215">
    <w:abstractNumId w:val="91"/>
  </w:num>
  <w:num w:numId="48" w16cid:durableId="204485289">
    <w:abstractNumId w:val="47"/>
  </w:num>
  <w:num w:numId="49" w16cid:durableId="1253275793">
    <w:abstractNumId w:val="43"/>
  </w:num>
  <w:num w:numId="50" w16cid:durableId="1821267674">
    <w:abstractNumId w:val="40"/>
  </w:num>
  <w:num w:numId="51" w16cid:durableId="1656496024">
    <w:abstractNumId w:val="74"/>
  </w:num>
  <w:num w:numId="52" w16cid:durableId="1308589591">
    <w:abstractNumId w:val="22"/>
  </w:num>
  <w:num w:numId="53" w16cid:durableId="1164474960">
    <w:abstractNumId w:val="87"/>
  </w:num>
  <w:num w:numId="54" w16cid:durableId="681519172">
    <w:abstractNumId w:val="90"/>
  </w:num>
  <w:num w:numId="55" w16cid:durableId="2137797203">
    <w:abstractNumId w:val="89"/>
  </w:num>
  <w:num w:numId="56" w16cid:durableId="449477873">
    <w:abstractNumId w:val="6"/>
  </w:num>
  <w:num w:numId="57" w16cid:durableId="929658011">
    <w:abstractNumId w:val="56"/>
  </w:num>
  <w:num w:numId="58" w16cid:durableId="561798315">
    <w:abstractNumId w:val="60"/>
  </w:num>
  <w:num w:numId="59" w16cid:durableId="457995046">
    <w:abstractNumId w:val="82"/>
  </w:num>
  <w:num w:numId="60" w16cid:durableId="87387618">
    <w:abstractNumId w:val="49"/>
  </w:num>
  <w:num w:numId="61" w16cid:durableId="253827332">
    <w:abstractNumId w:val="51"/>
  </w:num>
  <w:num w:numId="62" w16cid:durableId="882139830">
    <w:abstractNumId w:val="96"/>
  </w:num>
  <w:num w:numId="63" w16cid:durableId="1531800686">
    <w:abstractNumId w:val="53"/>
  </w:num>
  <w:num w:numId="64" w16cid:durableId="1818376788">
    <w:abstractNumId w:val="80"/>
  </w:num>
  <w:num w:numId="65" w16cid:durableId="2013028793">
    <w:abstractNumId w:val="64"/>
  </w:num>
  <w:num w:numId="66" w16cid:durableId="615723715">
    <w:abstractNumId w:val="2"/>
  </w:num>
  <w:num w:numId="67" w16cid:durableId="2093314602">
    <w:abstractNumId w:val="113"/>
  </w:num>
  <w:num w:numId="68" w16cid:durableId="926770607">
    <w:abstractNumId w:val="70"/>
  </w:num>
  <w:num w:numId="69" w16cid:durableId="495417204">
    <w:abstractNumId w:val="78"/>
  </w:num>
  <w:num w:numId="70" w16cid:durableId="2095318620">
    <w:abstractNumId w:val="29"/>
  </w:num>
  <w:num w:numId="71" w16cid:durableId="401948973">
    <w:abstractNumId w:val="21"/>
  </w:num>
  <w:num w:numId="72" w16cid:durableId="1176191242">
    <w:abstractNumId w:val="98"/>
  </w:num>
  <w:num w:numId="73" w16cid:durableId="99186962">
    <w:abstractNumId w:val="71"/>
  </w:num>
  <w:num w:numId="74" w16cid:durableId="864094920">
    <w:abstractNumId w:val="19"/>
  </w:num>
  <w:num w:numId="75" w16cid:durableId="653988606">
    <w:abstractNumId w:val="34"/>
  </w:num>
  <w:num w:numId="76" w16cid:durableId="456140290">
    <w:abstractNumId w:val="37"/>
  </w:num>
  <w:num w:numId="77" w16cid:durableId="66195003">
    <w:abstractNumId w:val="23"/>
  </w:num>
  <w:num w:numId="78" w16cid:durableId="1511067059">
    <w:abstractNumId w:val="11"/>
  </w:num>
  <w:num w:numId="79" w16cid:durableId="1038317547">
    <w:abstractNumId w:val="7"/>
  </w:num>
  <w:num w:numId="80" w16cid:durableId="550580012">
    <w:abstractNumId w:val="4"/>
  </w:num>
  <w:num w:numId="81" w16cid:durableId="39210257">
    <w:abstractNumId w:val="18"/>
  </w:num>
  <w:num w:numId="82" w16cid:durableId="1833327268">
    <w:abstractNumId w:val="107"/>
  </w:num>
  <w:num w:numId="83" w16cid:durableId="1740864747">
    <w:abstractNumId w:val="66"/>
  </w:num>
  <w:num w:numId="84" w16cid:durableId="352341237">
    <w:abstractNumId w:val="57"/>
  </w:num>
  <w:num w:numId="85" w16cid:durableId="671375917">
    <w:abstractNumId w:val="41"/>
  </w:num>
  <w:num w:numId="86" w16cid:durableId="2064863765">
    <w:abstractNumId w:val="31"/>
  </w:num>
  <w:num w:numId="87" w16cid:durableId="890921108">
    <w:abstractNumId w:val="46"/>
  </w:num>
  <w:num w:numId="88" w16cid:durableId="1838764325">
    <w:abstractNumId w:val="27"/>
  </w:num>
  <w:num w:numId="89" w16cid:durableId="1410926755">
    <w:abstractNumId w:val="88"/>
  </w:num>
  <w:num w:numId="90" w16cid:durableId="543640537">
    <w:abstractNumId w:val="105"/>
  </w:num>
  <w:num w:numId="91" w16cid:durableId="511988465">
    <w:abstractNumId w:val="9"/>
  </w:num>
  <w:num w:numId="92" w16cid:durableId="1100029141">
    <w:abstractNumId w:val="58"/>
  </w:num>
  <w:num w:numId="93" w16cid:durableId="598831699">
    <w:abstractNumId w:val="112"/>
  </w:num>
  <w:num w:numId="94" w16cid:durableId="439223619">
    <w:abstractNumId w:val="1"/>
  </w:num>
  <w:num w:numId="95" w16cid:durableId="1488671876">
    <w:abstractNumId w:val="0"/>
  </w:num>
  <w:num w:numId="96" w16cid:durableId="386534478">
    <w:abstractNumId w:val="28"/>
  </w:num>
  <w:num w:numId="97" w16cid:durableId="317533928">
    <w:abstractNumId w:val="16"/>
  </w:num>
  <w:num w:numId="98" w16cid:durableId="872965265">
    <w:abstractNumId w:val="52"/>
  </w:num>
  <w:num w:numId="99" w16cid:durableId="221258622">
    <w:abstractNumId w:val="26"/>
  </w:num>
  <w:num w:numId="100" w16cid:durableId="997150747">
    <w:abstractNumId w:val="86"/>
  </w:num>
  <w:num w:numId="101" w16cid:durableId="452141108">
    <w:abstractNumId w:val="65"/>
  </w:num>
  <w:num w:numId="102" w16cid:durableId="1932808193">
    <w:abstractNumId w:val="75"/>
  </w:num>
  <w:num w:numId="103" w16cid:durableId="411776813">
    <w:abstractNumId w:val="38"/>
  </w:num>
  <w:num w:numId="104" w16cid:durableId="2026906833">
    <w:abstractNumId w:val="94"/>
  </w:num>
  <w:num w:numId="105" w16cid:durableId="1053653870">
    <w:abstractNumId w:val="114"/>
  </w:num>
  <w:num w:numId="106" w16cid:durableId="742606813">
    <w:abstractNumId w:val="81"/>
  </w:num>
  <w:num w:numId="107" w16cid:durableId="667096683">
    <w:abstractNumId w:val="68"/>
  </w:num>
  <w:num w:numId="108" w16cid:durableId="1580403054">
    <w:abstractNumId w:val="3"/>
  </w:num>
  <w:num w:numId="109" w16cid:durableId="1289625905">
    <w:abstractNumId w:val="5"/>
  </w:num>
  <w:num w:numId="110" w16cid:durableId="1389383132">
    <w:abstractNumId w:val="50"/>
  </w:num>
  <w:num w:numId="111" w16cid:durableId="311834165">
    <w:abstractNumId w:val="84"/>
  </w:num>
  <w:num w:numId="112" w16cid:durableId="403452008">
    <w:abstractNumId w:val="55"/>
  </w:num>
  <w:num w:numId="113" w16cid:durableId="1249385304">
    <w:abstractNumId w:val="24"/>
  </w:num>
  <w:num w:numId="114" w16cid:durableId="1809785908">
    <w:abstractNumId w:val="32"/>
  </w:num>
  <w:num w:numId="115" w16cid:durableId="1766070809">
    <w:abstractNumId w:val="35"/>
  </w:num>
  <w:num w:numId="116" w16cid:durableId="1124469851">
    <w:abstractNumId w:val="48"/>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109"/>
    <w:rsid w:val="000000FD"/>
    <w:rsid w:val="0000017B"/>
    <w:rsid w:val="00000358"/>
    <w:rsid w:val="00000372"/>
    <w:rsid w:val="00000A22"/>
    <w:rsid w:val="00000BC6"/>
    <w:rsid w:val="00000C83"/>
    <w:rsid w:val="00000FD0"/>
    <w:rsid w:val="00001042"/>
    <w:rsid w:val="00001116"/>
    <w:rsid w:val="0000130A"/>
    <w:rsid w:val="0000174B"/>
    <w:rsid w:val="0000181C"/>
    <w:rsid w:val="00001838"/>
    <w:rsid w:val="0000194A"/>
    <w:rsid w:val="000019AB"/>
    <w:rsid w:val="00001AB8"/>
    <w:rsid w:val="00001BB8"/>
    <w:rsid w:val="00001BF0"/>
    <w:rsid w:val="00001CA1"/>
    <w:rsid w:val="00001F3D"/>
    <w:rsid w:val="000020C1"/>
    <w:rsid w:val="00002251"/>
    <w:rsid w:val="00002299"/>
    <w:rsid w:val="00002B69"/>
    <w:rsid w:val="00002ED4"/>
    <w:rsid w:val="00003692"/>
    <w:rsid w:val="00003850"/>
    <w:rsid w:val="0000396D"/>
    <w:rsid w:val="00003BEB"/>
    <w:rsid w:val="00003E66"/>
    <w:rsid w:val="00004097"/>
    <w:rsid w:val="0000420E"/>
    <w:rsid w:val="00004409"/>
    <w:rsid w:val="000044A5"/>
    <w:rsid w:val="00004948"/>
    <w:rsid w:val="0000497A"/>
    <w:rsid w:val="00004ADB"/>
    <w:rsid w:val="00004D76"/>
    <w:rsid w:val="00004DA5"/>
    <w:rsid w:val="00004DE5"/>
    <w:rsid w:val="0000507E"/>
    <w:rsid w:val="00005198"/>
    <w:rsid w:val="0000520D"/>
    <w:rsid w:val="000055AD"/>
    <w:rsid w:val="00005916"/>
    <w:rsid w:val="000059FB"/>
    <w:rsid w:val="00005D53"/>
    <w:rsid w:val="00006183"/>
    <w:rsid w:val="00006282"/>
    <w:rsid w:val="00006A3B"/>
    <w:rsid w:val="00006D6C"/>
    <w:rsid w:val="0000702D"/>
    <w:rsid w:val="000071E4"/>
    <w:rsid w:val="0000721D"/>
    <w:rsid w:val="00007483"/>
    <w:rsid w:val="0000761E"/>
    <w:rsid w:val="000076A4"/>
    <w:rsid w:val="0000785B"/>
    <w:rsid w:val="00007A7E"/>
    <w:rsid w:val="00007B02"/>
    <w:rsid w:val="00007F25"/>
    <w:rsid w:val="00010113"/>
    <w:rsid w:val="00010A58"/>
    <w:rsid w:val="00010D4E"/>
    <w:rsid w:val="00010EEE"/>
    <w:rsid w:val="0001130A"/>
    <w:rsid w:val="00011330"/>
    <w:rsid w:val="0001138C"/>
    <w:rsid w:val="000115B6"/>
    <w:rsid w:val="00011944"/>
    <w:rsid w:val="00011C1E"/>
    <w:rsid w:val="00011DFD"/>
    <w:rsid w:val="000120BD"/>
    <w:rsid w:val="000124E6"/>
    <w:rsid w:val="0001278B"/>
    <w:rsid w:val="00012923"/>
    <w:rsid w:val="00012DC0"/>
    <w:rsid w:val="00012FC9"/>
    <w:rsid w:val="000131B1"/>
    <w:rsid w:val="0001403E"/>
    <w:rsid w:val="00014161"/>
    <w:rsid w:val="00014264"/>
    <w:rsid w:val="00014393"/>
    <w:rsid w:val="000143F6"/>
    <w:rsid w:val="000144B5"/>
    <w:rsid w:val="0001470A"/>
    <w:rsid w:val="00014D2A"/>
    <w:rsid w:val="00014D3D"/>
    <w:rsid w:val="00014DEB"/>
    <w:rsid w:val="00014E83"/>
    <w:rsid w:val="0001502B"/>
    <w:rsid w:val="00015822"/>
    <w:rsid w:val="000159B9"/>
    <w:rsid w:val="00015A5C"/>
    <w:rsid w:val="00015AA1"/>
    <w:rsid w:val="00015B64"/>
    <w:rsid w:val="00015E27"/>
    <w:rsid w:val="000163BE"/>
    <w:rsid w:val="000165F1"/>
    <w:rsid w:val="0001664C"/>
    <w:rsid w:val="00016811"/>
    <w:rsid w:val="000168E2"/>
    <w:rsid w:val="000169AA"/>
    <w:rsid w:val="00016EC5"/>
    <w:rsid w:val="00016FF3"/>
    <w:rsid w:val="00017ADA"/>
    <w:rsid w:val="00017D0E"/>
    <w:rsid w:val="00017DC3"/>
    <w:rsid w:val="00017F7D"/>
    <w:rsid w:val="0002039A"/>
    <w:rsid w:val="00020445"/>
    <w:rsid w:val="0002046C"/>
    <w:rsid w:val="000206CA"/>
    <w:rsid w:val="000207AB"/>
    <w:rsid w:val="000207D1"/>
    <w:rsid w:val="00020C56"/>
    <w:rsid w:val="00020D30"/>
    <w:rsid w:val="0002154B"/>
    <w:rsid w:val="00021F38"/>
    <w:rsid w:val="00021FB2"/>
    <w:rsid w:val="00022015"/>
    <w:rsid w:val="00022107"/>
    <w:rsid w:val="0002276B"/>
    <w:rsid w:val="00022799"/>
    <w:rsid w:val="000227E3"/>
    <w:rsid w:val="00022876"/>
    <w:rsid w:val="000229D3"/>
    <w:rsid w:val="00022A3B"/>
    <w:rsid w:val="00022A67"/>
    <w:rsid w:val="00022BD3"/>
    <w:rsid w:val="00022C20"/>
    <w:rsid w:val="00022D44"/>
    <w:rsid w:val="00022FF4"/>
    <w:rsid w:val="0002310F"/>
    <w:rsid w:val="00023217"/>
    <w:rsid w:val="00023281"/>
    <w:rsid w:val="000235A5"/>
    <w:rsid w:val="0002373F"/>
    <w:rsid w:val="000237B6"/>
    <w:rsid w:val="00023B07"/>
    <w:rsid w:val="000243F8"/>
    <w:rsid w:val="0002442D"/>
    <w:rsid w:val="0002456F"/>
    <w:rsid w:val="000247D2"/>
    <w:rsid w:val="00024D59"/>
    <w:rsid w:val="00024FDA"/>
    <w:rsid w:val="000252FD"/>
    <w:rsid w:val="0002531C"/>
    <w:rsid w:val="000255A6"/>
    <w:rsid w:val="00025603"/>
    <w:rsid w:val="0002566D"/>
    <w:rsid w:val="00025EF0"/>
    <w:rsid w:val="00025F90"/>
    <w:rsid w:val="00025FF0"/>
    <w:rsid w:val="0002671D"/>
    <w:rsid w:val="000268CF"/>
    <w:rsid w:val="0002699C"/>
    <w:rsid w:val="00026CFF"/>
    <w:rsid w:val="00026F36"/>
    <w:rsid w:val="00026FBD"/>
    <w:rsid w:val="000275DD"/>
    <w:rsid w:val="0002771C"/>
    <w:rsid w:val="00027D37"/>
    <w:rsid w:val="00027F18"/>
    <w:rsid w:val="00027F75"/>
    <w:rsid w:val="000301A4"/>
    <w:rsid w:val="00030274"/>
    <w:rsid w:val="000309AD"/>
    <w:rsid w:val="00030A50"/>
    <w:rsid w:val="00030B0D"/>
    <w:rsid w:val="00030BED"/>
    <w:rsid w:val="00030E2D"/>
    <w:rsid w:val="000311FA"/>
    <w:rsid w:val="00031852"/>
    <w:rsid w:val="000318A4"/>
    <w:rsid w:val="00031A25"/>
    <w:rsid w:val="00031F19"/>
    <w:rsid w:val="000320E2"/>
    <w:rsid w:val="0003214F"/>
    <w:rsid w:val="0003222B"/>
    <w:rsid w:val="00032275"/>
    <w:rsid w:val="00032295"/>
    <w:rsid w:val="000329A8"/>
    <w:rsid w:val="00032BDA"/>
    <w:rsid w:val="00032C90"/>
    <w:rsid w:val="00032E7A"/>
    <w:rsid w:val="0003334A"/>
    <w:rsid w:val="000334B9"/>
    <w:rsid w:val="000338F2"/>
    <w:rsid w:val="00033A07"/>
    <w:rsid w:val="00033B74"/>
    <w:rsid w:val="00033D8F"/>
    <w:rsid w:val="00033E41"/>
    <w:rsid w:val="0003458B"/>
    <w:rsid w:val="00034679"/>
    <w:rsid w:val="000347E3"/>
    <w:rsid w:val="00034C59"/>
    <w:rsid w:val="00034CAA"/>
    <w:rsid w:val="00034DC7"/>
    <w:rsid w:val="00034ECE"/>
    <w:rsid w:val="00035183"/>
    <w:rsid w:val="000352AD"/>
    <w:rsid w:val="0003570A"/>
    <w:rsid w:val="0003593A"/>
    <w:rsid w:val="0003595A"/>
    <w:rsid w:val="000359E5"/>
    <w:rsid w:val="00035B5B"/>
    <w:rsid w:val="00035C5C"/>
    <w:rsid w:val="00036004"/>
    <w:rsid w:val="0003606E"/>
    <w:rsid w:val="000362AD"/>
    <w:rsid w:val="00036405"/>
    <w:rsid w:val="000364DB"/>
    <w:rsid w:val="00036802"/>
    <w:rsid w:val="00036835"/>
    <w:rsid w:val="0003696F"/>
    <w:rsid w:val="00036AAB"/>
    <w:rsid w:val="00037346"/>
    <w:rsid w:val="00037403"/>
    <w:rsid w:val="0003743B"/>
    <w:rsid w:val="000374D2"/>
    <w:rsid w:val="00037831"/>
    <w:rsid w:val="00037ADA"/>
    <w:rsid w:val="00037F2B"/>
    <w:rsid w:val="000400B1"/>
    <w:rsid w:val="0004033A"/>
    <w:rsid w:val="00040889"/>
    <w:rsid w:val="00040AA6"/>
    <w:rsid w:val="00040E6C"/>
    <w:rsid w:val="00040F72"/>
    <w:rsid w:val="0004131A"/>
    <w:rsid w:val="0004143D"/>
    <w:rsid w:val="00041496"/>
    <w:rsid w:val="000417BF"/>
    <w:rsid w:val="000419BC"/>
    <w:rsid w:val="000419D9"/>
    <w:rsid w:val="00041BC3"/>
    <w:rsid w:val="00041C61"/>
    <w:rsid w:val="00041DB4"/>
    <w:rsid w:val="00042623"/>
    <w:rsid w:val="0004280D"/>
    <w:rsid w:val="0004290E"/>
    <w:rsid w:val="00042DB2"/>
    <w:rsid w:val="00042F1C"/>
    <w:rsid w:val="0004329C"/>
    <w:rsid w:val="000432C1"/>
    <w:rsid w:val="00043497"/>
    <w:rsid w:val="00043789"/>
    <w:rsid w:val="00043844"/>
    <w:rsid w:val="00043B0E"/>
    <w:rsid w:val="000447EB"/>
    <w:rsid w:val="000448C1"/>
    <w:rsid w:val="000449FA"/>
    <w:rsid w:val="00044BED"/>
    <w:rsid w:val="00044FA8"/>
    <w:rsid w:val="000452A1"/>
    <w:rsid w:val="0004531C"/>
    <w:rsid w:val="0004562A"/>
    <w:rsid w:val="000458E9"/>
    <w:rsid w:val="000459E0"/>
    <w:rsid w:val="00045A2F"/>
    <w:rsid w:val="00045AC6"/>
    <w:rsid w:val="00046240"/>
    <w:rsid w:val="0004628C"/>
    <w:rsid w:val="00046449"/>
    <w:rsid w:val="00046693"/>
    <w:rsid w:val="0004670E"/>
    <w:rsid w:val="000467A0"/>
    <w:rsid w:val="0004695B"/>
    <w:rsid w:val="00046B84"/>
    <w:rsid w:val="00046E0B"/>
    <w:rsid w:val="000470D6"/>
    <w:rsid w:val="0004758A"/>
    <w:rsid w:val="00047635"/>
    <w:rsid w:val="00047688"/>
    <w:rsid w:val="00047A29"/>
    <w:rsid w:val="00047B50"/>
    <w:rsid w:val="00047CCA"/>
    <w:rsid w:val="00047DD1"/>
    <w:rsid w:val="00047DD9"/>
    <w:rsid w:val="00047F9A"/>
    <w:rsid w:val="00050017"/>
    <w:rsid w:val="00050504"/>
    <w:rsid w:val="0005073B"/>
    <w:rsid w:val="0005085E"/>
    <w:rsid w:val="00050905"/>
    <w:rsid w:val="00050C1C"/>
    <w:rsid w:val="00050FBD"/>
    <w:rsid w:val="0005115D"/>
    <w:rsid w:val="00051411"/>
    <w:rsid w:val="00051732"/>
    <w:rsid w:val="0005184E"/>
    <w:rsid w:val="00051A89"/>
    <w:rsid w:val="00052651"/>
    <w:rsid w:val="000526F0"/>
    <w:rsid w:val="0005284C"/>
    <w:rsid w:val="00052A0B"/>
    <w:rsid w:val="00052D00"/>
    <w:rsid w:val="00052E91"/>
    <w:rsid w:val="000531FD"/>
    <w:rsid w:val="00053819"/>
    <w:rsid w:val="000538F0"/>
    <w:rsid w:val="00053988"/>
    <w:rsid w:val="000539F0"/>
    <w:rsid w:val="00054081"/>
    <w:rsid w:val="000541E1"/>
    <w:rsid w:val="000544D8"/>
    <w:rsid w:val="00054566"/>
    <w:rsid w:val="00054594"/>
    <w:rsid w:val="00054AFA"/>
    <w:rsid w:val="00054C0B"/>
    <w:rsid w:val="00054D27"/>
    <w:rsid w:val="00054D72"/>
    <w:rsid w:val="000559F6"/>
    <w:rsid w:val="00056390"/>
    <w:rsid w:val="000568D7"/>
    <w:rsid w:val="00056E0B"/>
    <w:rsid w:val="00056FE5"/>
    <w:rsid w:val="00057168"/>
    <w:rsid w:val="000573FF"/>
    <w:rsid w:val="00057B0B"/>
    <w:rsid w:val="00057BAA"/>
    <w:rsid w:val="00057DE4"/>
    <w:rsid w:val="0006002F"/>
    <w:rsid w:val="000600AD"/>
    <w:rsid w:val="000601B5"/>
    <w:rsid w:val="00060711"/>
    <w:rsid w:val="000607B5"/>
    <w:rsid w:val="00060A6B"/>
    <w:rsid w:val="000611C2"/>
    <w:rsid w:val="0006126E"/>
    <w:rsid w:val="00061835"/>
    <w:rsid w:val="000618C7"/>
    <w:rsid w:val="00061C62"/>
    <w:rsid w:val="000621C2"/>
    <w:rsid w:val="00062228"/>
    <w:rsid w:val="000624CB"/>
    <w:rsid w:val="0006272C"/>
    <w:rsid w:val="000627AA"/>
    <w:rsid w:val="00062AF9"/>
    <w:rsid w:val="00062EB7"/>
    <w:rsid w:val="00063177"/>
    <w:rsid w:val="00063852"/>
    <w:rsid w:val="0006388C"/>
    <w:rsid w:val="000638B9"/>
    <w:rsid w:val="0006393C"/>
    <w:rsid w:val="00063AB9"/>
    <w:rsid w:val="00063AD6"/>
    <w:rsid w:val="00063BEF"/>
    <w:rsid w:val="00063D30"/>
    <w:rsid w:val="00063DE3"/>
    <w:rsid w:val="00064032"/>
    <w:rsid w:val="00064103"/>
    <w:rsid w:val="00064160"/>
    <w:rsid w:val="00064453"/>
    <w:rsid w:val="00064464"/>
    <w:rsid w:val="00064557"/>
    <w:rsid w:val="00064664"/>
    <w:rsid w:val="000647EC"/>
    <w:rsid w:val="0006485D"/>
    <w:rsid w:val="00064AEF"/>
    <w:rsid w:val="00064D64"/>
    <w:rsid w:val="00065019"/>
    <w:rsid w:val="0006521D"/>
    <w:rsid w:val="00065318"/>
    <w:rsid w:val="0006544B"/>
    <w:rsid w:val="00065513"/>
    <w:rsid w:val="00065811"/>
    <w:rsid w:val="000658EC"/>
    <w:rsid w:val="00065A8E"/>
    <w:rsid w:val="00065C66"/>
    <w:rsid w:val="0006620D"/>
    <w:rsid w:val="000662CA"/>
    <w:rsid w:val="00066361"/>
    <w:rsid w:val="00066386"/>
    <w:rsid w:val="000666E5"/>
    <w:rsid w:val="00066761"/>
    <w:rsid w:val="000667B6"/>
    <w:rsid w:val="00066AC9"/>
    <w:rsid w:val="00066C9C"/>
    <w:rsid w:val="00066DE9"/>
    <w:rsid w:val="00066F35"/>
    <w:rsid w:val="000672B4"/>
    <w:rsid w:val="0006790A"/>
    <w:rsid w:val="000679A5"/>
    <w:rsid w:val="00067C2D"/>
    <w:rsid w:val="00067D45"/>
    <w:rsid w:val="00067DD1"/>
    <w:rsid w:val="000700A0"/>
    <w:rsid w:val="000701EC"/>
    <w:rsid w:val="00070769"/>
    <w:rsid w:val="00070BD4"/>
    <w:rsid w:val="00070E8B"/>
    <w:rsid w:val="00070EA4"/>
    <w:rsid w:val="0007104F"/>
    <w:rsid w:val="000711B9"/>
    <w:rsid w:val="0007126C"/>
    <w:rsid w:val="000716DE"/>
    <w:rsid w:val="00071A8F"/>
    <w:rsid w:val="00071E30"/>
    <w:rsid w:val="00071E52"/>
    <w:rsid w:val="00071EAB"/>
    <w:rsid w:val="00072424"/>
    <w:rsid w:val="0007268E"/>
    <w:rsid w:val="000726E1"/>
    <w:rsid w:val="0007289E"/>
    <w:rsid w:val="000729B0"/>
    <w:rsid w:val="00072F95"/>
    <w:rsid w:val="00073755"/>
    <w:rsid w:val="000737AE"/>
    <w:rsid w:val="0007394F"/>
    <w:rsid w:val="0007398A"/>
    <w:rsid w:val="00073F9D"/>
    <w:rsid w:val="0007419F"/>
    <w:rsid w:val="00074578"/>
    <w:rsid w:val="000745DB"/>
    <w:rsid w:val="000747D0"/>
    <w:rsid w:val="00074B41"/>
    <w:rsid w:val="00074CBF"/>
    <w:rsid w:val="00075193"/>
    <w:rsid w:val="000751D8"/>
    <w:rsid w:val="000751F4"/>
    <w:rsid w:val="00075456"/>
    <w:rsid w:val="00075D3E"/>
    <w:rsid w:val="00075D5F"/>
    <w:rsid w:val="00075DE6"/>
    <w:rsid w:val="00075E46"/>
    <w:rsid w:val="00076035"/>
    <w:rsid w:val="00076132"/>
    <w:rsid w:val="00076582"/>
    <w:rsid w:val="000767B0"/>
    <w:rsid w:val="00076B07"/>
    <w:rsid w:val="00076FBB"/>
    <w:rsid w:val="000770EE"/>
    <w:rsid w:val="00077143"/>
    <w:rsid w:val="00077204"/>
    <w:rsid w:val="0007745B"/>
    <w:rsid w:val="0007747D"/>
    <w:rsid w:val="00077499"/>
    <w:rsid w:val="00077599"/>
    <w:rsid w:val="00077892"/>
    <w:rsid w:val="00077B93"/>
    <w:rsid w:val="00077CB2"/>
    <w:rsid w:val="00077D88"/>
    <w:rsid w:val="00077FD4"/>
    <w:rsid w:val="000809D0"/>
    <w:rsid w:val="00080BC3"/>
    <w:rsid w:val="00080C4E"/>
    <w:rsid w:val="00080E45"/>
    <w:rsid w:val="00080FC6"/>
    <w:rsid w:val="0008152B"/>
    <w:rsid w:val="00081BD9"/>
    <w:rsid w:val="00081CB8"/>
    <w:rsid w:val="00081DC1"/>
    <w:rsid w:val="0008208C"/>
    <w:rsid w:val="000823F7"/>
    <w:rsid w:val="0008275B"/>
    <w:rsid w:val="00082913"/>
    <w:rsid w:val="00082C6F"/>
    <w:rsid w:val="00082C97"/>
    <w:rsid w:val="00082D4C"/>
    <w:rsid w:val="00083864"/>
    <w:rsid w:val="000839EA"/>
    <w:rsid w:val="00083C5A"/>
    <w:rsid w:val="00083CC2"/>
    <w:rsid w:val="00083E87"/>
    <w:rsid w:val="00083F3B"/>
    <w:rsid w:val="00084050"/>
    <w:rsid w:val="0008478A"/>
    <w:rsid w:val="0008482D"/>
    <w:rsid w:val="00085147"/>
    <w:rsid w:val="000853E6"/>
    <w:rsid w:val="0008573E"/>
    <w:rsid w:val="00085916"/>
    <w:rsid w:val="00085ACC"/>
    <w:rsid w:val="00085B30"/>
    <w:rsid w:val="00085C31"/>
    <w:rsid w:val="00085D9A"/>
    <w:rsid w:val="00085DC1"/>
    <w:rsid w:val="00085E88"/>
    <w:rsid w:val="00085F6D"/>
    <w:rsid w:val="00086093"/>
    <w:rsid w:val="000860CD"/>
    <w:rsid w:val="0008613D"/>
    <w:rsid w:val="000864F6"/>
    <w:rsid w:val="00086F6C"/>
    <w:rsid w:val="00086FBE"/>
    <w:rsid w:val="000870B2"/>
    <w:rsid w:val="000871B1"/>
    <w:rsid w:val="0008723F"/>
    <w:rsid w:val="00087370"/>
    <w:rsid w:val="00087C3A"/>
    <w:rsid w:val="00087D5D"/>
    <w:rsid w:val="00087DAB"/>
    <w:rsid w:val="00090076"/>
    <w:rsid w:val="0009012B"/>
    <w:rsid w:val="00090456"/>
    <w:rsid w:val="0009078F"/>
    <w:rsid w:val="00090DA1"/>
    <w:rsid w:val="00090E78"/>
    <w:rsid w:val="00090FFC"/>
    <w:rsid w:val="0009122A"/>
    <w:rsid w:val="000916FA"/>
    <w:rsid w:val="00091779"/>
    <w:rsid w:val="00091CAC"/>
    <w:rsid w:val="0009207B"/>
    <w:rsid w:val="0009210D"/>
    <w:rsid w:val="000923C7"/>
    <w:rsid w:val="00092421"/>
    <w:rsid w:val="0009270E"/>
    <w:rsid w:val="000927E3"/>
    <w:rsid w:val="00092846"/>
    <w:rsid w:val="00092B4F"/>
    <w:rsid w:val="00092C1C"/>
    <w:rsid w:val="00092E46"/>
    <w:rsid w:val="000930D0"/>
    <w:rsid w:val="0009314D"/>
    <w:rsid w:val="0009321D"/>
    <w:rsid w:val="00093269"/>
    <w:rsid w:val="000933AC"/>
    <w:rsid w:val="000934B0"/>
    <w:rsid w:val="0009356D"/>
    <w:rsid w:val="0009359B"/>
    <w:rsid w:val="00093AA6"/>
    <w:rsid w:val="00093DC2"/>
    <w:rsid w:val="00093EBF"/>
    <w:rsid w:val="00093F21"/>
    <w:rsid w:val="00093F5F"/>
    <w:rsid w:val="00094032"/>
    <w:rsid w:val="00094044"/>
    <w:rsid w:val="00094162"/>
    <w:rsid w:val="00094252"/>
    <w:rsid w:val="00094320"/>
    <w:rsid w:val="0009436B"/>
    <w:rsid w:val="000945C1"/>
    <w:rsid w:val="0009528B"/>
    <w:rsid w:val="000952CB"/>
    <w:rsid w:val="00095777"/>
    <w:rsid w:val="000957C2"/>
    <w:rsid w:val="00095972"/>
    <w:rsid w:val="00095B0C"/>
    <w:rsid w:val="00095D65"/>
    <w:rsid w:val="00095DFF"/>
    <w:rsid w:val="00095F5B"/>
    <w:rsid w:val="000961BA"/>
    <w:rsid w:val="000961BC"/>
    <w:rsid w:val="000964C7"/>
    <w:rsid w:val="000965BB"/>
    <w:rsid w:val="0009678F"/>
    <w:rsid w:val="0009696D"/>
    <w:rsid w:val="000969AA"/>
    <w:rsid w:val="000969C0"/>
    <w:rsid w:val="00096AE5"/>
    <w:rsid w:val="00096C41"/>
    <w:rsid w:val="00096C85"/>
    <w:rsid w:val="00096CD2"/>
    <w:rsid w:val="00096E6C"/>
    <w:rsid w:val="00096F03"/>
    <w:rsid w:val="00096F67"/>
    <w:rsid w:val="0009716C"/>
    <w:rsid w:val="0009759B"/>
    <w:rsid w:val="00097767"/>
    <w:rsid w:val="00097784"/>
    <w:rsid w:val="000977CA"/>
    <w:rsid w:val="00097B03"/>
    <w:rsid w:val="00097CC7"/>
    <w:rsid w:val="00097CEB"/>
    <w:rsid w:val="000A01A7"/>
    <w:rsid w:val="000A0C3F"/>
    <w:rsid w:val="000A0E15"/>
    <w:rsid w:val="000A0E2B"/>
    <w:rsid w:val="000A0FBE"/>
    <w:rsid w:val="000A1034"/>
    <w:rsid w:val="000A10D7"/>
    <w:rsid w:val="000A12D2"/>
    <w:rsid w:val="000A18FC"/>
    <w:rsid w:val="000A1B77"/>
    <w:rsid w:val="000A1E73"/>
    <w:rsid w:val="000A231F"/>
    <w:rsid w:val="000A25C2"/>
    <w:rsid w:val="000A2CBA"/>
    <w:rsid w:val="000A2CC7"/>
    <w:rsid w:val="000A2E82"/>
    <w:rsid w:val="000A309A"/>
    <w:rsid w:val="000A3390"/>
    <w:rsid w:val="000A392E"/>
    <w:rsid w:val="000A3CFB"/>
    <w:rsid w:val="000A3E05"/>
    <w:rsid w:val="000A3FA2"/>
    <w:rsid w:val="000A42F2"/>
    <w:rsid w:val="000A446F"/>
    <w:rsid w:val="000A44DD"/>
    <w:rsid w:val="000A45A9"/>
    <w:rsid w:val="000A478C"/>
    <w:rsid w:val="000A47D8"/>
    <w:rsid w:val="000A4876"/>
    <w:rsid w:val="000A4AE5"/>
    <w:rsid w:val="000A4AFE"/>
    <w:rsid w:val="000A4B42"/>
    <w:rsid w:val="000A52FB"/>
    <w:rsid w:val="000A5593"/>
    <w:rsid w:val="000A5651"/>
    <w:rsid w:val="000A56B2"/>
    <w:rsid w:val="000A56DE"/>
    <w:rsid w:val="000A5849"/>
    <w:rsid w:val="000A58FC"/>
    <w:rsid w:val="000A5A9E"/>
    <w:rsid w:val="000A6410"/>
    <w:rsid w:val="000A6488"/>
    <w:rsid w:val="000A6696"/>
    <w:rsid w:val="000A68E7"/>
    <w:rsid w:val="000A6E03"/>
    <w:rsid w:val="000A6EAA"/>
    <w:rsid w:val="000A6EF0"/>
    <w:rsid w:val="000A6FB8"/>
    <w:rsid w:val="000A6FC3"/>
    <w:rsid w:val="000A7064"/>
    <w:rsid w:val="000A71F7"/>
    <w:rsid w:val="000A725E"/>
    <w:rsid w:val="000A75AA"/>
    <w:rsid w:val="000A773F"/>
    <w:rsid w:val="000A77E6"/>
    <w:rsid w:val="000A78C6"/>
    <w:rsid w:val="000A7DE1"/>
    <w:rsid w:val="000AE834"/>
    <w:rsid w:val="000B0379"/>
    <w:rsid w:val="000B041D"/>
    <w:rsid w:val="000B0DDA"/>
    <w:rsid w:val="000B0ECD"/>
    <w:rsid w:val="000B0F43"/>
    <w:rsid w:val="000B1025"/>
    <w:rsid w:val="000B1236"/>
    <w:rsid w:val="000B1508"/>
    <w:rsid w:val="000B15B0"/>
    <w:rsid w:val="000B165D"/>
    <w:rsid w:val="000B1705"/>
    <w:rsid w:val="000B1A4D"/>
    <w:rsid w:val="000B1FE2"/>
    <w:rsid w:val="000B2110"/>
    <w:rsid w:val="000B2587"/>
    <w:rsid w:val="000B2620"/>
    <w:rsid w:val="000B280A"/>
    <w:rsid w:val="000B293B"/>
    <w:rsid w:val="000B29E6"/>
    <w:rsid w:val="000B2BF9"/>
    <w:rsid w:val="000B314F"/>
    <w:rsid w:val="000B32A6"/>
    <w:rsid w:val="000B338D"/>
    <w:rsid w:val="000B3443"/>
    <w:rsid w:val="000B38EA"/>
    <w:rsid w:val="000B3E57"/>
    <w:rsid w:val="000B3F36"/>
    <w:rsid w:val="000B4666"/>
    <w:rsid w:val="000B4794"/>
    <w:rsid w:val="000B47E6"/>
    <w:rsid w:val="000B499F"/>
    <w:rsid w:val="000B4BD3"/>
    <w:rsid w:val="000B4C60"/>
    <w:rsid w:val="000B4CBF"/>
    <w:rsid w:val="000B4D4A"/>
    <w:rsid w:val="000B4DF0"/>
    <w:rsid w:val="000B4E8F"/>
    <w:rsid w:val="000B5471"/>
    <w:rsid w:val="000B5B20"/>
    <w:rsid w:val="000B5BCD"/>
    <w:rsid w:val="000B5D44"/>
    <w:rsid w:val="000B5ED3"/>
    <w:rsid w:val="000B600B"/>
    <w:rsid w:val="000B61F1"/>
    <w:rsid w:val="000B646F"/>
    <w:rsid w:val="000B6934"/>
    <w:rsid w:val="000B6DAE"/>
    <w:rsid w:val="000B6E91"/>
    <w:rsid w:val="000B6F83"/>
    <w:rsid w:val="000B7135"/>
    <w:rsid w:val="000B7409"/>
    <w:rsid w:val="000B7561"/>
    <w:rsid w:val="000B7B97"/>
    <w:rsid w:val="000B7DD1"/>
    <w:rsid w:val="000B7E18"/>
    <w:rsid w:val="000B7F4A"/>
    <w:rsid w:val="000C00F8"/>
    <w:rsid w:val="000C02E9"/>
    <w:rsid w:val="000C05AC"/>
    <w:rsid w:val="000C061E"/>
    <w:rsid w:val="000C0641"/>
    <w:rsid w:val="000C0719"/>
    <w:rsid w:val="000C07D8"/>
    <w:rsid w:val="000C07DC"/>
    <w:rsid w:val="000C0A73"/>
    <w:rsid w:val="000C0A8F"/>
    <w:rsid w:val="000C0D59"/>
    <w:rsid w:val="000C0F1F"/>
    <w:rsid w:val="000C119E"/>
    <w:rsid w:val="000C1321"/>
    <w:rsid w:val="000C1429"/>
    <w:rsid w:val="000C18B5"/>
    <w:rsid w:val="000C1949"/>
    <w:rsid w:val="000C1A3F"/>
    <w:rsid w:val="000C1C2E"/>
    <w:rsid w:val="000C1CD5"/>
    <w:rsid w:val="000C1E3B"/>
    <w:rsid w:val="000C1EC9"/>
    <w:rsid w:val="000C2197"/>
    <w:rsid w:val="000C24DB"/>
    <w:rsid w:val="000C2823"/>
    <w:rsid w:val="000C29FB"/>
    <w:rsid w:val="000C2B15"/>
    <w:rsid w:val="000C2B93"/>
    <w:rsid w:val="000C30F6"/>
    <w:rsid w:val="000C3279"/>
    <w:rsid w:val="000C3522"/>
    <w:rsid w:val="000C35ED"/>
    <w:rsid w:val="000C35F7"/>
    <w:rsid w:val="000C373F"/>
    <w:rsid w:val="000C3824"/>
    <w:rsid w:val="000C38E7"/>
    <w:rsid w:val="000C3ABC"/>
    <w:rsid w:val="000C3B5A"/>
    <w:rsid w:val="000C3B93"/>
    <w:rsid w:val="000C3D47"/>
    <w:rsid w:val="000C413D"/>
    <w:rsid w:val="000C42DE"/>
    <w:rsid w:val="000C4843"/>
    <w:rsid w:val="000C4FF6"/>
    <w:rsid w:val="000C502E"/>
    <w:rsid w:val="000C51A9"/>
    <w:rsid w:val="000C5378"/>
    <w:rsid w:val="000C544E"/>
    <w:rsid w:val="000C5757"/>
    <w:rsid w:val="000C58B2"/>
    <w:rsid w:val="000C5BE0"/>
    <w:rsid w:val="000C5E2D"/>
    <w:rsid w:val="000C64A5"/>
    <w:rsid w:val="000C64CA"/>
    <w:rsid w:val="000C653A"/>
    <w:rsid w:val="000C6822"/>
    <w:rsid w:val="000C6876"/>
    <w:rsid w:val="000C6AAF"/>
    <w:rsid w:val="000C6E5C"/>
    <w:rsid w:val="000C6FF6"/>
    <w:rsid w:val="000C73E8"/>
    <w:rsid w:val="000C7A3C"/>
    <w:rsid w:val="000C7BC2"/>
    <w:rsid w:val="000C7C98"/>
    <w:rsid w:val="000C7D84"/>
    <w:rsid w:val="000C7E52"/>
    <w:rsid w:val="000D0009"/>
    <w:rsid w:val="000D056E"/>
    <w:rsid w:val="000D0955"/>
    <w:rsid w:val="000D0B29"/>
    <w:rsid w:val="000D0BF3"/>
    <w:rsid w:val="000D0D10"/>
    <w:rsid w:val="000D0D89"/>
    <w:rsid w:val="000D1009"/>
    <w:rsid w:val="000D1081"/>
    <w:rsid w:val="000D109F"/>
    <w:rsid w:val="000D10B9"/>
    <w:rsid w:val="000D1119"/>
    <w:rsid w:val="000D1478"/>
    <w:rsid w:val="000D1494"/>
    <w:rsid w:val="000D1582"/>
    <w:rsid w:val="000D15B8"/>
    <w:rsid w:val="000D16AC"/>
    <w:rsid w:val="000D16D1"/>
    <w:rsid w:val="000D1734"/>
    <w:rsid w:val="000D1817"/>
    <w:rsid w:val="000D1AAD"/>
    <w:rsid w:val="000D1AE4"/>
    <w:rsid w:val="000D1BFD"/>
    <w:rsid w:val="000D1CEE"/>
    <w:rsid w:val="000D1E96"/>
    <w:rsid w:val="000D2332"/>
    <w:rsid w:val="000D23BE"/>
    <w:rsid w:val="000D24F4"/>
    <w:rsid w:val="000D2513"/>
    <w:rsid w:val="000D2544"/>
    <w:rsid w:val="000D2727"/>
    <w:rsid w:val="000D2774"/>
    <w:rsid w:val="000D2945"/>
    <w:rsid w:val="000D2F4D"/>
    <w:rsid w:val="000D316A"/>
    <w:rsid w:val="000D3178"/>
    <w:rsid w:val="000D33D0"/>
    <w:rsid w:val="000D3562"/>
    <w:rsid w:val="000D3DB9"/>
    <w:rsid w:val="000D3EA0"/>
    <w:rsid w:val="000D3F15"/>
    <w:rsid w:val="000D41E4"/>
    <w:rsid w:val="000D4351"/>
    <w:rsid w:val="000D45B2"/>
    <w:rsid w:val="000D465F"/>
    <w:rsid w:val="000D475C"/>
    <w:rsid w:val="000D48EB"/>
    <w:rsid w:val="000D4F71"/>
    <w:rsid w:val="000D567C"/>
    <w:rsid w:val="000D568D"/>
    <w:rsid w:val="000D578A"/>
    <w:rsid w:val="000D5806"/>
    <w:rsid w:val="000D584C"/>
    <w:rsid w:val="000D5993"/>
    <w:rsid w:val="000D5B6B"/>
    <w:rsid w:val="000D5BD7"/>
    <w:rsid w:val="000D5C17"/>
    <w:rsid w:val="000D5E04"/>
    <w:rsid w:val="000D640C"/>
    <w:rsid w:val="000D6771"/>
    <w:rsid w:val="000D6ABA"/>
    <w:rsid w:val="000D6DB0"/>
    <w:rsid w:val="000D6E39"/>
    <w:rsid w:val="000D7108"/>
    <w:rsid w:val="000D7122"/>
    <w:rsid w:val="000D71CB"/>
    <w:rsid w:val="000D72DB"/>
    <w:rsid w:val="000D74A3"/>
    <w:rsid w:val="000D7701"/>
    <w:rsid w:val="000D7BA2"/>
    <w:rsid w:val="000D7DD8"/>
    <w:rsid w:val="000E01B9"/>
    <w:rsid w:val="000E0A44"/>
    <w:rsid w:val="000E0A81"/>
    <w:rsid w:val="000E0F20"/>
    <w:rsid w:val="000E0F62"/>
    <w:rsid w:val="000E1184"/>
    <w:rsid w:val="000E127C"/>
    <w:rsid w:val="000E1338"/>
    <w:rsid w:val="000E19CB"/>
    <w:rsid w:val="000E212C"/>
    <w:rsid w:val="000E2202"/>
    <w:rsid w:val="000E2206"/>
    <w:rsid w:val="000E2248"/>
    <w:rsid w:val="000E2520"/>
    <w:rsid w:val="000E258B"/>
    <w:rsid w:val="000E2A0F"/>
    <w:rsid w:val="000E2A72"/>
    <w:rsid w:val="000E2ADE"/>
    <w:rsid w:val="000E2D0A"/>
    <w:rsid w:val="000E326D"/>
    <w:rsid w:val="000E3356"/>
    <w:rsid w:val="000E33B2"/>
    <w:rsid w:val="000E33FE"/>
    <w:rsid w:val="000E34A2"/>
    <w:rsid w:val="000E356B"/>
    <w:rsid w:val="000E377A"/>
    <w:rsid w:val="000E3868"/>
    <w:rsid w:val="000E39A4"/>
    <w:rsid w:val="000E3B70"/>
    <w:rsid w:val="000E3F7C"/>
    <w:rsid w:val="000E3FF3"/>
    <w:rsid w:val="000E41D6"/>
    <w:rsid w:val="000E44F2"/>
    <w:rsid w:val="000E4513"/>
    <w:rsid w:val="000E4523"/>
    <w:rsid w:val="000E458F"/>
    <w:rsid w:val="000E47C1"/>
    <w:rsid w:val="000E4ACD"/>
    <w:rsid w:val="000E4C71"/>
    <w:rsid w:val="000E4EF0"/>
    <w:rsid w:val="000E521D"/>
    <w:rsid w:val="000E5328"/>
    <w:rsid w:val="000E535D"/>
    <w:rsid w:val="000E563C"/>
    <w:rsid w:val="000E609C"/>
    <w:rsid w:val="000E6105"/>
    <w:rsid w:val="000E6112"/>
    <w:rsid w:val="000E6197"/>
    <w:rsid w:val="000E61E6"/>
    <w:rsid w:val="000E65DC"/>
    <w:rsid w:val="000E6A1F"/>
    <w:rsid w:val="000E6EAD"/>
    <w:rsid w:val="000E6F2C"/>
    <w:rsid w:val="000E70C9"/>
    <w:rsid w:val="000E7235"/>
    <w:rsid w:val="000E741B"/>
    <w:rsid w:val="000E74C3"/>
    <w:rsid w:val="000E75C7"/>
    <w:rsid w:val="000E77EB"/>
    <w:rsid w:val="000E7A6F"/>
    <w:rsid w:val="000E7C81"/>
    <w:rsid w:val="000E7D42"/>
    <w:rsid w:val="000E7DC8"/>
    <w:rsid w:val="000E7E7C"/>
    <w:rsid w:val="000F0111"/>
    <w:rsid w:val="000F0148"/>
    <w:rsid w:val="000F01FB"/>
    <w:rsid w:val="000F032A"/>
    <w:rsid w:val="000F074F"/>
    <w:rsid w:val="000F08D4"/>
    <w:rsid w:val="000F0A89"/>
    <w:rsid w:val="000F0C35"/>
    <w:rsid w:val="000F1106"/>
    <w:rsid w:val="000F14C1"/>
    <w:rsid w:val="000F14F0"/>
    <w:rsid w:val="000F1529"/>
    <w:rsid w:val="000F15BB"/>
    <w:rsid w:val="000F17EA"/>
    <w:rsid w:val="000F1AF9"/>
    <w:rsid w:val="000F1E41"/>
    <w:rsid w:val="000F1F05"/>
    <w:rsid w:val="000F2094"/>
    <w:rsid w:val="000F212F"/>
    <w:rsid w:val="000F2231"/>
    <w:rsid w:val="000F22E5"/>
    <w:rsid w:val="000F2363"/>
    <w:rsid w:val="000F23EC"/>
    <w:rsid w:val="000F250D"/>
    <w:rsid w:val="000F2571"/>
    <w:rsid w:val="000F25F8"/>
    <w:rsid w:val="000F2625"/>
    <w:rsid w:val="000F2662"/>
    <w:rsid w:val="000F2B6B"/>
    <w:rsid w:val="000F2CEA"/>
    <w:rsid w:val="000F2DAD"/>
    <w:rsid w:val="000F2E66"/>
    <w:rsid w:val="000F2E8F"/>
    <w:rsid w:val="000F30DA"/>
    <w:rsid w:val="000F326B"/>
    <w:rsid w:val="000F3317"/>
    <w:rsid w:val="000F36EA"/>
    <w:rsid w:val="000F37B1"/>
    <w:rsid w:val="000F37EE"/>
    <w:rsid w:val="000F3895"/>
    <w:rsid w:val="000F3D1A"/>
    <w:rsid w:val="000F4689"/>
    <w:rsid w:val="000F4774"/>
    <w:rsid w:val="000F47DC"/>
    <w:rsid w:val="000F4D3F"/>
    <w:rsid w:val="000F4DB6"/>
    <w:rsid w:val="000F4E58"/>
    <w:rsid w:val="000F4F32"/>
    <w:rsid w:val="000F4FD9"/>
    <w:rsid w:val="000F50CB"/>
    <w:rsid w:val="000F51EA"/>
    <w:rsid w:val="000F584D"/>
    <w:rsid w:val="000F5B60"/>
    <w:rsid w:val="000F5CD9"/>
    <w:rsid w:val="000F5E81"/>
    <w:rsid w:val="000F5E98"/>
    <w:rsid w:val="000F63AD"/>
    <w:rsid w:val="000F6A22"/>
    <w:rsid w:val="000F6DDC"/>
    <w:rsid w:val="000F703E"/>
    <w:rsid w:val="000F725C"/>
    <w:rsid w:val="000F7545"/>
    <w:rsid w:val="000F75B6"/>
    <w:rsid w:val="000F7A9C"/>
    <w:rsid w:val="000F7B0F"/>
    <w:rsid w:val="000F7BF7"/>
    <w:rsid w:val="000F7EB2"/>
    <w:rsid w:val="001000FB"/>
    <w:rsid w:val="0010028F"/>
    <w:rsid w:val="001003FB"/>
    <w:rsid w:val="001004D7"/>
    <w:rsid w:val="0010081A"/>
    <w:rsid w:val="0010087F"/>
    <w:rsid w:val="00100B9F"/>
    <w:rsid w:val="00100BCF"/>
    <w:rsid w:val="00100C5E"/>
    <w:rsid w:val="001010BB"/>
    <w:rsid w:val="00101C13"/>
    <w:rsid w:val="001020F8"/>
    <w:rsid w:val="001022EF"/>
    <w:rsid w:val="0010232C"/>
    <w:rsid w:val="00102511"/>
    <w:rsid w:val="00102812"/>
    <w:rsid w:val="00103027"/>
    <w:rsid w:val="00103325"/>
    <w:rsid w:val="0010336E"/>
    <w:rsid w:val="00103655"/>
    <w:rsid w:val="00103942"/>
    <w:rsid w:val="00103A3B"/>
    <w:rsid w:val="00103AF8"/>
    <w:rsid w:val="00103E5A"/>
    <w:rsid w:val="00103F91"/>
    <w:rsid w:val="0010440D"/>
    <w:rsid w:val="00104553"/>
    <w:rsid w:val="001047DD"/>
    <w:rsid w:val="00104845"/>
    <w:rsid w:val="001048A1"/>
    <w:rsid w:val="00104E20"/>
    <w:rsid w:val="00104EB3"/>
    <w:rsid w:val="00105609"/>
    <w:rsid w:val="0010563B"/>
    <w:rsid w:val="001058C6"/>
    <w:rsid w:val="001060B4"/>
    <w:rsid w:val="00106662"/>
    <w:rsid w:val="00106672"/>
    <w:rsid w:val="00106684"/>
    <w:rsid w:val="001069C3"/>
    <w:rsid w:val="00106A02"/>
    <w:rsid w:val="001071F6"/>
    <w:rsid w:val="001073E1"/>
    <w:rsid w:val="001073E5"/>
    <w:rsid w:val="001075D5"/>
    <w:rsid w:val="001076F0"/>
    <w:rsid w:val="00107B35"/>
    <w:rsid w:val="00107DB8"/>
    <w:rsid w:val="00107E81"/>
    <w:rsid w:val="00107EC6"/>
    <w:rsid w:val="00107F05"/>
    <w:rsid w:val="00110048"/>
    <w:rsid w:val="0011014C"/>
    <w:rsid w:val="00110171"/>
    <w:rsid w:val="00110355"/>
    <w:rsid w:val="0011060C"/>
    <w:rsid w:val="00110722"/>
    <w:rsid w:val="00110804"/>
    <w:rsid w:val="00110CB3"/>
    <w:rsid w:val="00110E65"/>
    <w:rsid w:val="00110E79"/>
    <w:rsid w:val="00110E7F"/>
    <w:rsid w:val="00111576"/>
    <w:rsid w:val="00111857"/>
    <w:rsid w:val="00111893"/>
    <w:rsid w:val="00111B0C"/>
    <w:rsid w:val="00111B14"/>
    <w:rsid w:val="00111C8A"/>
    <w:rsid w:val="00111E79"/>
    <w:rsid w:val="00112102"/>
    <w:rsid w:val="0011252F"/>
    <w:rsid w:val="0011270C"/>
    <w:rsid w:val="00112B65"/>
    <w:rsid w:val="00112D97"/>
    <w:rsid w:val="00112E1E"/>
    <w:rsid w:val="00112EC8"/>
    <w:rsid w:val="00112F7D"/>
    <w:rsid w:val="00113313"/>
    <w:rsid w:val="00113858"/>
    <w:rsid w:val="0011388B"/>
    <w:rsid w:val="001138A3"/>
    <w:rsid w:val="001138CB"/>
    <w:rsid w:val="00113CE8"/>
    <w:rsid w:val="00113EA1"/>
    <w:rsid w:val="00114197"/>
    <w:rsid w:val="00114286"/>
    <w:rsid w:val="0011435C"/>
    <w:rsid w:val="001144A5"/>
    <w:rsid w:val="0011452D"/>
    <w:rsid w:val="0011461B"/>
    <w:rsid w:val="00114639"/>
    <w:rsid w:val="001146B9"/>
    <w:rsid w:val="00114A84"/>
    <w:rsid w:val="00114C1A"/>
    <w:rsid w:val="00114D29"/>
    <w:rsid w:val="001150C7"/>
    <w:rsid w:val="00115393"/>
    <w:rsid w:val="0011590A"/>
    <w:rsid w:val="001160DD"/>
    <w:rsid w:val="00116246"/>
    <w:rsid w:val="0011642D"/>
    <w:rsid w:val="001164C1"/>
    <w:rsid w:val="0011669C"/>
    <w:rsid w:val="001169A2"/>
    <w:rsid w:val="00116B54"/>
    <w:rsid w:val="00116B7A"/>
    <w:rsid w:val="00116FDF"/>
    <w:rsid w:val="0011763B"/>
    <w:rsid w:val="00117749"/>
    <w:rsid w:val="001179ED"/>
    <w:rsid w:val="00117B07"/>
    <w:rsid w:val="00117B54"/>
    <w:rsid w:val="001204E1"/>
    <w:rsid w:val="001205DD"/>
    <w:rsid w:val="001206EA"/>
    <w:rsid w:val="00120930"/>
    <w:rsid w:val="00120B1F"/>
    <w:rsid w:val="00120CA2"/>
    <w:rsid w:val="00120D9D"/>
    <w:rsid w:val="00120DA3"/>
    <w:rsid w:val="00120F18"/>
    <w:rsid w:val="00120FB3"/>
    <w:rsid w:val="00121159"/>
    <w:rsid w:val="00121310"/>
    <w:rsid w:val="0012152D"/>
    <w:rsid w:val="001215BC"/>
    <w:rsid w:val="00121939"/>
    <w:rsid w:val="001219E5"/>
    <w:rsid w:val="00121D2A"/>
    <w:rsid w:val="001221F6"/>
    <w:rsid w:val="0012251B"/>
    <w:rsid w:val="00122593"/>
    <w:rsid w:val="0012259D"/>
    <w:rsid w:val="001227CA"/>
    <w:rsid w:val="00122B34"/>
    <w:rsid w:val="00122BF1"/>
    <w:rsid w:val="00122D35"/>
    <w:rsid w:val="00122D99"/>
    <w:rsid w:val="00122DA4"/>
    <w:rsid w:val="001230D3"/>
    <w:rsid w:val="001231D1"/>
    <w:rsid w:val="00123257"/>
    <w:rsid w:val="001232D1"/>
    <w:rsid w:val="001234C6"/>
    <w:rsid w:val="001235B8"/>
    <w:rsid w:val="00123725"/>
    <w:rsid w:val="001237C6"/>
    <w:rsid w:val="001239E8"/>
    <w:rsid w:val="00123A8D"/>
    <w:rsid w:val="00123D5E"/>
    <w:rsid w:val="001242D8"/>
    <w:rsid w:val="00124317"/>
    <w:rsid w:val="001243E1"/>
    <w:rsid w:val="0012477F"/>
    <w:rsid w:val="00124ABB"/>
    <w:rsid w:val="00124C08"/>
    <w:rsid w:val="00124CB2"/>
    <w:rsid w:val="00124CE7"/>
    <w:rsid w:val="00124D96"/>
    <w:rsid w:val="00124FB2"/>
    <w:rsid w:val="0012529B"/>
    <w:rsid w:val="001254B6"/>
    <w:rsid w:val="00125663"/>
    <w:rsid w:val="00125A31"/>
    <w:rsid w:val="00125DD2"/>
    <w:rsid w:val="001260E9"/>
    <w:rsid w:val="0012620F"/>
    <w:rsid w:val="001262F1"/>
    <w:rsid w:val="001264A1"/>
    <w:rsid w:val="001264DB"/>
    <w:rsid w:val="00126511"/>
    <w:rsid w:val="0012680D"/>
    <w:rsid w:val="00126A7D"/>
    <w:rsid w:val="00126D57"/>
    <w:rsid w:val="00126E0B"/>
    <w:rsid w:val="00126EBC"/>
    <w:rsid w:val="00127523"/>
    <w:rsid w:val="00127932"/>
    <w:rsid w:val="0012799C"/>
    <w:rsid w:val="00127A8F"/>
    <w:rsid w:val="00127D1D"/>
    <w:rsid w:val="00127EF4"/>
    <w:rsid w:val="00130214"/>
    <w:rsid w:val="0013043C"/>
    <w:rsid w:val="00130494"/>
    <w:rsid w:val="00130509"/>
    <w:rsid w:val="00130513"/>
    <w:rsid w:val="001306BC"/>
    <w:rsid w:val="00130910"/>
    <w:rsid w:val="00130A33"/>
    <w:rsid w:val="00130C77"/>
    <w:rsid w:val="00130EAB"/>
    <w:rsid w:val="00130F61"/>
    <w:rsid w:val="00130FFB"/>
    <w:rsid w:val="0013123F"/>
    <w:rsid w:val="001312EE"/>
    <w:rsid w:val="0013186F"/>
    <w:rsid w:val="00131917"/>
    <w:rsid w:val="00131F90"/>
    <w:rsid w:val="00132110"/>
    <w:rsid w:val="00132863"/>
    <w:rsid w:val="00132FDC"/>
    <w:rsid w:val="001332FF"/>
    <w:rsid w:val="00133572"/>
    <w:rsid w:val="0013376D"/>
    <w:rsid w:val="00133D53"/>
    <w:rsid w:val="0013466E"/>
    <w:rsid w:val="001346FB"/>
    <w:rsid w:val="001347AB"/>
    <w:rsid w:val="001347B9"/>
    <w:rsid w:val="001347D7"/>
    <w:rsid w:val="00134894"/>
    <w:rsid w:val="00134AF1"/>
    <w:rsid w:val="00134B3A"/>
    <w:rsid w:val="00134C2E"/>
    <w:rsid w:val="00134DBA"/>
    <w:rsid w:val="00134DE0"/>
    <w:rsid w:val="0013580C"/>
    <w:rsid w:val="00135BC5"/>
    <w:rsid w:val="00135BDC"/>
    <w:rsid w:val="00135C19"/>
    <w:rsid w:val="00135C39"/>
    <w:rsid w:val="00135FBF"/>
    <w:rsid w:val="00136620"/>
    <w:rsid w:val="00136688"/>
    <w:rsid w:val="00136719"/>
    <w:rsid w:val="00136E08"/>
    <w:rsid w:val="00136F93"/>
    <w:rsid w:val="001370E1"/>
    <w:rsid w:val="001372E3"/>
    <w:rsid w:val="001374F4"/>
    <w:rsid w:val="0013765E"/>
    <w:rsid w:val="0013773C"/>
    <w:rsid w:val="001378E9"/>
    <w:rsid w:val="00137904"/>
    <w:rsid w:val="00137906"/>
    <w:rsid w:val="00137979"/>
    <w:rsid w:val="001379F4"/>
    <w:rsid w:val="00137BB5"/>
    <w:rsid w:val="00137CE3"/>
    <w:rsid w:val="00140260"/>
    <w:rsid w:val="00140B2A"/>
    <w:rsid w:val="00140CCC"/>
    <w:rsid w:val="00140D65"/>
    <w:rsid w:val="00140FDE"/>
    <w:rsid w:val="0014119B"/>
    <w:rsid w:val="001411B3"/>
    <w:rsid w:val="00141796"/>
    <w:rsid w:val="00141B64"/>
    <w:rsid w:val="00142238"/>
    <w:rsid w:val="0014232A"/>
    <w:rsid w:val="00142347"/>
    <w:rsid w:val="001423A0"/>
    <w:rsid w:val="00142502"/>
    <w:rsid w:val="0014265E"/>
    <w:rsid w:val="00142833"/>
    <w:rsid w:val="00142DAA"/>
    <w:rsid w:val="00142EB4"/>
    <w:rsid w:val="0014302B"/>
    <w:rsid w:val="0014319A"/>
    <w:rsid w:val="001431D8"/>
    <w:rsid w:val="00143450"/>
    <w:rsid w:val="0014387E"/>
    <w:rsid w:val="00143CBC"/>
    <w:rsid w:val="00143CEE"/>
    <w:rsid w:val="00143E02"/>
    <w:rsid w:val="0014418E"/>
    <w:rsid w:val="0014494F"/>
    <w:rsid w:val="00144B48"/>
    <w:rsid w:val="0014554C"/>
    <w:rsid w:val="00145624"/>
    <w:rsid w:val="001458C4"/>
    <w:rsid w:val="00145980"/>
    <w:rsid w:val="00145B36"/>
    <w:rsid w:val="00145B91"/>
    <w:rsid w:val="00145E8E"/>
    <w:rsid w:val="00145F0E"/>
    <w:rsid w:val="00146190"/>
    <w:rsid w:val="00146A99"/>
    <w:rsid w:val="00146CA5"/>
    <w:rsid w:val="00146E73"/>
    <w:rsid w:val="0014719F"/>
    <w:rsid w:val="001472F1"/>
    <w:rsid w:val="00147699"/>
    <w:rsid w:val="00147AEF"/>
    <w:rsid w:val="00147DDC"/>
    <w:rsid w:val="00147E41"/>
    <w:rsid w:val="001503BE"/>
    <w:rsid w:val="00150633"/>
    <w:rsid w:val="001507B1"/>
    <w:rsid w:val="001508E4"/>
    <w:rsid w:val="00150D46"/>
    <w:rsid w:val="00151138"/>
    <w:rsid w:val="001513FC"/>
    <w:rsid w:val="001516A0"/>
    <w:rsid w:val="00151871"/>
    <w:rsid w:val="00151AC0"/>
    <w:rsid w:val="00151E38"/>
    <w:rsid w:val="00151E43"/>
    <w:rsid w:val="00151F7A"/>
    <w:rsid w:val="00152094"/>
    <w:rsid w:val="001523EA"/>
    <w:rsid w:val="00152640"/>
    <w:rsid w:val="0015280A"/>
    <w:rsid w:val="0015289D"/>
    <w:rsid w:val="00152DCB"/>
    <w:rsid w:val="00152EA7"/>
    <w:rsid w:val="00153743"/>
    <w:rsid w:val="001539AF"/>
    <w:rsid w:val="00153AF1"/>
    <w:rsid w:val="00154037"/>
    <w:rsid w:val="00154499"/>
    <w:rsid w:val="00154542"/>
    <w:rsid w:val="001548CC"/>
    <w:rsid w:val="00154970"/>
    <w:rsid w:val="001549D7"/>
    <w:rsid w:val="00154A10"/>
    <w:rsid w:val="00154C05"/>
    <w:rsid w:val="00154C30"/>
    <w:rsid w:val="00154CB6"/>
    <w:rsid w:val="00154EF4"/>
    <w:rsid w:val="0015513B"/>
    <w:rsid w:val="00155161"/>
    <w:rsid w:val="00155D42"/>
    <w:rsid w:val="00155E5C"/>
    <w:rsid w:val="00156BD7"/>
    <w:rsid w:val="00156CB1"/>
    <w:rsid w:val="00156D68"/>
    <w:rsid w:val="00156FD7"/>
    <w:rsid w:val="001570ED"/>
    <w:rsid w:val="00157182"/>
    <w:rsid w:val="0015723C"/>
    <w:rsid w:val="001572A9"/>
    <w:rsid w:val="00157423"/>
    <w:rsid w:val="001576EC"/>
    <w:rsid w:val="0015790C"/>
    <w:rsid w:val="00157910"/>
    <w:rsid w:val="00157A81"/>
    <w:rsid w:val="00157A93"/>
    <w:rsid w:val="00157CFF"/>
    <w:rsid w:val="001601A9"/>
    <w:rsid w:val="001603B4"/>
    <w:rsid w:val="00160DF6"/>
    <w:rsid w:val="0016101E"/>
    <w:rsid w:val="001610A5"/>
    <w:rsid w:val="001613D4"/>
    <w:rsid w:val="0016157F"/>
    <w:rsid w:val="001618AC"/>
    <w:rsid w:val="00161A8B"/>
    <w:rsid w:val="00161FA3"/>
    <w:rsid w:val="00162044"/>
    <w:rsid w:val="00162509"/>
    <w:rsid w:val="00162747"/>
    <w:rsid w:val="001627D1"/>
    <w:rsid w:val="00162DC5"/>
    <w:rsid w:val="00162EB3"/>
    <w:rsid w:val="00162F57"/>
    <w:rsid w:val="001630DA"/>
    <w:rsid w:val="00163178"/>
    <w:rsid w:val="00163259"/>
    <w:rsid w:val="001632C3"/>
    <w:rsid w:val="0016361D"/>
    <w:rsid w:val="001637C8"/>
    <w:rsid w:val="0016399C"/>
    <w:rsid w:val="001639F9"/>
    <w:rsid w:val="00163BAA"/>
    <w:rsid w:val="00163BF4"/>
    <w:rsid w:val="00163C2E"/>
    <w:rsid w:val="00163CCE"/>
    <w:rsid w:val="00163E83"/>
    <w:rsid w:val="00163F6B"/>
    <w:rsid w:val="00164364"/>
    <w:rsid w:val="001648AF"/>
    <w:rsid w:val="001648BF"/>
    <w:rsid w:val="001648C7"/>
    <w:rsid w:val="001649B7"/>
    <w:rsid w:val="00164A65"/>
    <w:rsid w:val="00164C80"/>
    <w:rsid w:val="00165162"/>
    <w:rsid w:val="001656AE"/>
    <w:rsid w:val="001657EC"/>
    <w:rsid w:val="00165A26"/>
    <w:rsid w:val="00165B15"/>
    <w:rsid w:val="00166463"/>
    <w:rsid w:val="00166520"/>
    <w:rsid w:val="001665C1"/>
    <w:rsid w:val="001667CF"/>
    <w:rsid w:val="00166825"/>
    <w:rsid w:val="001669EA"/>
    <w:rsid w:val="00166D11"/>
    <w:rsid w:val="0016742F"/>
    <w:rsid w:val="00167533"/>
    <w:rsid w:val="001679DD"/>
    <w:rsid w:val="00167BE1"/>
    <w:rsid w:val="00167CA8"/>
    <w:rsid w:val="00167CB4"/>
    <w:rsid w:val="00167E74"/>
    <w:rsid w:val="00167F50"/>
    <w:rsid w:val="00170273"/>
    <w:rsid w:val="001705AA"/>
    <w:rsid w:val="001705E4"/>
    <w:rsid w:val="001705E5"/>
    <w:rsid w:val="0017081F"/>
    <w:rsid w:val="0017086B"/>
    <w:rsid w:val="001708B4"/>
    <w:rsid w:val="0017092E"/>
    <w:rsid w:val="0017093B"/>
    <w:rsid w:val="00170956"/>
    <w:rsid w:val="00170A56"/>
    <w:rsid w:val="00170DF7"/>
    <w:rsid w:val="00170EA6"/>
    <w:rsid w:val="00170FF7"/>
    <w:rsid w:val="00170FF8"/>
    <w:rsid w:val="00171096"/>
    <w:rsid w:val="0017110C"/>
    <w:rsid w:val="001711FC"/>
    <w:rsid w:val="001713CE"/>
    <w:rsid w:val="00171453"/>
    <w:rsid w:val="0017152F"/>
    <w:rsid w:val="0017161E"/>
    <w:rsid w:val="00171B3C"/>
    <w:rsid w:val="00171F0B"/>
    <w:rsid w:val="00172039"/>
    <w:rsid w:val="00172176"/>
    <w:rsid w:val="001722ED"/>
    <w:rsid w:val="0017242C"/>
    <w:rsid w:val="001725E9"/>
    <w:rsid w:val="001725EA"/>
    <w:rsid w:val="00172918"/>
    <w:rsid w:val="00172B11"/>
    <w:rsid w:val="00172DED"/>
    <w:rsid w:val="00172E2F"/>
    <w:rsid w:val="00172E36"/>
    <w:rsid w:val="00173112"/>
    <w:rsid w:val="0017359B"/>
    <w:rsid w:val="001735A6"/>
    <w:rsid w:val="00173621"/>
    <w:rsid w:val="00173E8E"/>
    <w:rsid w:val="0017402E"/>
    <w:rsid w:val="00174353"/>
    <w:rsid w:val="001749C2"/>
    <w:rsid w:val="00174A5C"/>
    <w:rsid w:val="00174C31"/>
    <w:rsid w:val="00174CE5"/>
    <w:rsid w:val="00174D84"/>
    <w:rsid w:val="00174E58"/>
    <w:rsid w:val="00174EAE"/>
    <w:rsid w:val="00175159"/>
    <w:rsid w:val="00175320"/>
    <w:rsid w:val="00175394"/>
    <w:rsid w:val="0017560D"/>
    <w:rsid w:val="00175FCA"/>
    <w:rsid w:val="00175FE4"/>
    <w:rsid w:val="00176246"/>
    <w:rsid w:val="001765A9"/>
    <w:rsid w:val="00176AFA"/>
    <w:rsid w:val="00176B04"/>
    <w:rsid w:val="00176B38"/>
    <w:rsid w:val="00176B4B"/>
    <w:rsid w:val="00176CA1"/>
    <w:rsid w:val="00176D5E"/>
    <w:rsid w:val="00176FC5"/>
    <w:rsid w:val="001770A7"/>
    <w:rsid w:val="00177287"/>
    <w:rsid w:val="00177564"/>
    <w:rsid w:val="001775D3"/>
    <w:rsid w:val="00177623"/>
    <w:rsid w:val="00180010"/>
    <w:rsid w:val="00180076"/>
    <w:rsid w:val="0018022E"/>
    <w:rsid w:val="001803CE"/>
    <w:rsid w:val="00180495"/>
    <w:rsid w:val="0018066B"/>
    <w:rsid w:val="001806C6"/>
    <w:rsid w:val="001809D5"/>
    <w:rsid w:val="00180D31"/>
    <w:rsid w:val="00180E62"/>
    <w:rsid w:val="00180EC3"/>
    <w:rsid w:val="00181223"/>
    <w:rsid w:val="0018134E"/>
    <w:rsid w:val="00181487"/>
    <w:rsid w:val="00181629"/>
    <w:rsid w:val="001818B7"/>
    <w:rsid w:val="00181FD7"/>
    <w:rsid w:val="0018227B"/>
    <w:rsid w:val="00182995"/>
    <w:rsid w:val="00182A2C"/>
    <w:rsid w:val="00182D19"/>
    <w:rsid w:val="00182F29"/>
    <w:rsid w:val="00183072"/>
    <w:rsid w:val="0018323A"/>
    <w:rsid w:val="001833C8"/>
    <w:rsid w:val="001835D4"/>
    <w:rsid w:val="00183B71"/>
    <w:rsid w:val="00183E47"/>
    <w:rsid w:val="00183E72"/>
    <w:rsid w:val="00183E92"/>
    <w:rsid w:val="00183EE5"/>
    <w:rsid w:val="0018405F"/>
    <w:rsid w:val="00184129"/>
    <w:rsid w:val="001842A7"/>
    <w:rsid w:val="0018446C"/>
    <w:rsid w:val="00184530"/>
    <w:rsid w:val="00184666"/>
    <w:rsid w:val="00184713"/>
    <w:rsid w:val="001848B8"/>
    <w:rsid w:val="001848CA"/>
    <w:rsid w:val="001848E2"/>
    <w:rsid w:val="001849AB"/>
    <w:rsid w:val="00184AED"/>
    <w:rsid w:val="00184BC5"/>
    <w:rsid w:val="001850F3"/>
    <w:rsid w:val="00185392"/>
    <w:rsid w:val="0018540B"/>
    <w:rsid w:val="00185736"/>
    <w:rsid w:val="00185778"/>
    <w:rsid w:val="00185A9C"/>
    <w:rsid w:val="00185C77"/>
    <w:rsid w:val="001860A3"/>
    <w:rsid w:val="00186125"/>
    <w:rsid w:val="001862E8"/>
    <w:rsid w:val="0018637E"/>
    <w:rsid w:val="001863F0"/>
    <w:rsid w:val="0018661C"/>
    <w:rsid w:val="00186906"/>
    <w:rsid w:val="00186C3E"/>
    <w:rsid w:val="00186EF9"/>
    <w:rsid w:val="00186F24"/>
    <w:rsid w:val="00186F3A"/>
    <w:rsid w:val="001872B4"/>
    <w:rsid w:val="001873C9"/>
    <w:rsid w:val="00187B0C"/>
    <w:rsid w:val="00187B83"/>
    <w:rsid w:val="00187D12"/>
    <w:rsid w:val="0019049D"/>
    <w:rsid w:val="001905C1"/>
    <w:rsid w:val="001907CA"/>
    <w:rsid w:val="001909A5"/>
    <w:rsid w:val="00190BAB"/>
    <w:rsid w:val="00190E73"/>
    <w:rsid w:val="00190E7D"/>
    <w:rsid w:val="0019103D"/>
    <w:rsid w:val="00191156"/>
    <w:rsid w:val="00191204"/>
    <w:rsid w:val="001914F3"/>
    <w:rsid w:val="001915EB"/>
    <w:rsid w:val="0019164D"/>
    <w:rsid w:val="00191A8F"/>
    <w:rsid w:val="00191C3D"/>
    <w:rsid w:val="00191D27"/>
    <w:rsid w:val="00191D9E"/>
    <w:rsid w:val="00191E78"/>
    <w:rsid w:val="00191FD1"/>
    <w:rsid w:val="00192382"/>
    <w:rsid w:val="0019299E"/>
    <w:rsid w:val="00192B28"/>
    <w:rsid w:val="00192C45"/>
    <w:rsid w:val="00192E12"/>
    <w:rsid w:val="00193141"/>
    <w:rsid w:val="00193376"/>
    <w:rsid w:val="0019358F"/>
    <w:rsid w:val="00193A31"/>
    <w:rsid w:val="00193BCE"/>
    <w:rsid w:val="00193DD8"/>
    <w:rsid w:val="0019462E"/>
    <w:rsid w:val="001948C2"/>
    <w:rsid w:val="00194926"/>
    <w:rsid w:val="00194E7B"/>
    <w:rsid w:val="00194E7F"/>
    <w:rsid w:val="00195115"/>
    <w:rsid w:val="001955E5"/>
    <w:rsid w:val="00195AA8"/>
    <w:rsid w:val="00195AFD"/>
    <w:rsid w:val="00195C40"/>
    <w:rsid w:val="00195C75"/>
    <w:rsid w:val="00195DF3"/>
    <w:rsid w:val="0019628B"/>
    <w:rsid w:val="0019643D"/>
    <w:rsid w:val="00196479"/>
    <w:rsid w:val="00196612"/>
    <w:rsid w:val="001967D1"/>
    <w:rsid w:val="0019687A"/>
    <w:rsid w:val="001968A6"/>
    <w:rsid w:val="001969C2"/>
    <w:rsid w:val="00196BD9"/>
    <w:rsid w:val="00196DF7"/>
    <w:rsid w:val="0019717F"/>
    <w:rsid w:val="00197497"/>
    <w:rsid w:val="00197A85"/>
    <w:rsid w:val="00197F59"/>
    <w:rsid w:val="001A009E"/>
    <w:rsid w:val="001A02E0"/>
    <w:rsid w:val="001A07CF"/>
    <w:rsid w:val="001A08EA"/>
    <w:rsid w:val="001A0991"/>
    <w:rsid w:val="001A0C44"/>
    <w:rsid w:val="001A0DA1"/>
    <w:rsid w:val="001A102B"/>
    <w:rsid w:val="001A1035"/>
    <w:rsid w:val="001A160B"/>
    <w:rsid w:val="001A1781"/>
    <w:rsid w:val="001A17F4"/>
    <w:rsid w:val="001A195F"/>
    <w:rsid w:val="001A1987"/>
    <w:rsid w:val="001A1E83"/>
    <w:rsid w:val="001A1FFD"/>
    <w:rsid w:val="001A20D8"/>
    <w:rsid w:val="001A2782"/>
    <w:rsid w:val="001A2AA1"/>
    <w:rsid w:val="001A2B98"/>
    <w:rsid w:val="001A2E68"/>
    <w:rsid w:val="001A2E94"/>
    <w:rsid w:val="001A2FBA"/>
    <w:rsid w:val="001A3277"/>
    <w:rsid w:val="001A3683"/>
    <w:rsid w:val="001A3B91"/>
    <w:rsid w:val="001A3F70"/>
    <w:rsid w:val="001A41BE"/>
    <w:rsid w:val="001A446A"/>
    <w:rsid w:val="001A45E4"/>
    <w:rsid w:val="001A466F"/>
    <w:rsid w:val="001A46C5"/>
    <w:rsid w:val="001A4B48"/>
    <w:rsid w:val="001A4C9F"/>
    <w:rsid w:val="001A5472"/>
    <w:rsid w:val="001A547E"/>
    <w:rsid w:val="001A5518"/>
    <w:rsid w:val="001A569C"/>
    <w:rsid w:val="001A57D1"/>
    <w:rsid w:val="001A5AC5"/>
    <w:rsid w:val="001A5DDD"/>
    <w:rsid w:val="001A5E5D"/>
    <w:rsid w:val="001A62F1"/>
    <w:rsid w:val="001A6359"/>
    <w:rsid w:val="001A6648"/>
    <w:rsid w:val="001A6A00"/>
    <w:rsid w:val="001A6FE1"/>
    <w:rsid w:val="001A7157"/>
    <w:rsid w:val="001A7338"/>
    <w:rsid w:val="001A73C3"/>
    <w:rsid w:val="001A7457"/>
    <w:rsid w:val="001A775E"/>
    <w:rsid w:val="001A78C8"/>
    <w:rsid w:val="001A7AFC"/>
    <w:rsid w:val="001A7D8D"/>
    <w:rsid w:val="001A7FC5"/>
    <w:rsid w:val="001A985E"/>
    <w:rsid w:val="001B03C1"/>
    <w:rsid w:val="001B04C2"/>
    <w:rsid w:val="001B07DD"/>
    <w:rsid w:val="001B07FA"/>
    <w:rsid w:val="001B0872"/>
    <w:rsid w:val="001B0C50"/>
    <w:rsid w:val="001B0FCA"/>
    <w:rsid w:val="001B139E"/>
    <w:rsid w:val="001B1733"/>
    <w:rsid w:val="001B1C64"/>
    <w:rsid w:val="001B1CBA"/>
    <w:rsid w:val="001B2875"/>
    <w:rsid w:val="001B28FF"/>
    <w:rsid w:val="001B29EE"/>
    <w:rsid w:val="001B2A6A"/>
    <w:rsid w:val="001B2FF4"/>
    <w:rsid w:val="001B3271"/>
    <w:rsid w:val="001B34BF"/>
    <w:rsid w:val="001B3624"/>
    <w:rsid w:val="001B386D"/>
    <w:rsid w:val="001B38F4"/>
    <w:rsid w:val="001B3921"/>
    <w:rsid w:val="001B3A65"/>
    <w:rsid w:val="001B3B68"/>
    <w:rsid w:val="001B3C5D"/>
    <w:rsid w:val="001B423A"/>
    <w:rsid w:val="001B4296"/>
    <w:rsid w:val="001B4667"/>
    <w:rsid w:val="001B4C7E"/>
    <w:rsid w:val="001B4CA9"/>
    <w:rsid w:val="001B4F0E"/>
    <w:rsid w:val="001B5235"/>
    <w:rsid w:val="001B5294"/>
    <w:rsid w:val="001B538A"/>
    <w:rsid w:val="001B5401"/>
    <w:rsid w:val="001B54BD"/>
    <w:rsid w:val="001B57B0"/>
    <w:rsid w:val="001B599C"/>
    <w:rsid w:val="001B5EE1"/>
    <w:rsid w:val="001B6087"/>
    <w:rsid w:val="001B6293"/>
    <w:rsid w:val="001B63C5"/>
    <w:rsid w:val="001B6415"/>
    <w:rsid w:val="001B6613"/>
    <w:rsid w:val="001B686A"/>
    <w:rsid w:val="001B688D"/>
    <w:rsid w:val="001B69DA"/>
    <w:rsid w:val="001B6B17"/>
    <w:rsid w:val="001B6E18"/>
    <w:rsid w:val="001B705A"/>
    <w:rsid w:val="001B7090"/>
    <w:rsid w:val="001B7498"/>
    <w:rsid w:val="001B74EB"/>
    <w:rsid w:val="001B764C"/>
    <w:rsid w:val="001B7726"/>
    <w:rsid w:val="001B793B"/>
    <w:rsid w:val="001B7955"/>
    <w:rsid w:val="001B7CD0"/>
    <w:rsid w:val="001B7F8D"/>
    <w:rsid w:val="001C0049"/>
    <w:rsid w:val="001C0193"/>
    <w:rsid w:val="001C01B5"/>
    <w:rsid w:val="001C02CB"/>
    <w:rsid w:val="001C0481"/>
    <w:rsid w:val="001C0660"/>
    <w:rsid w:val="001C068D"/>
    <w:rsid w:val="001C0929"/>
    <w:rsid w:val="001C0ADA"/>
    <w:rsid w:val="001C0AE0"/>
    <w:rsid w:val="001C0E86"/>
    <w:rsid w:val="001C13D6"/>
    <w:rsid w:val="001C15C4"/>
    <w:rsid w:val="001C1698"/>
    <w:rsid w:val="001C182A"/>
    <w:rsid w:val="001C1911"/>
    <w:rsid w:val="001C1ADE"/>
    <w:rsid w:val="001C1B3C"/>
    <w:rsid w:val="001C1CB8"/>
    <w:rsid w:val="001C1DA3"/>
    <w:rsid w:val="001C264F"/>
    <w:rsid w:val="001C298D"/>
    <w:rsid w:val="001C2AD9"/>
    <w:rsid w:val="001C2CC9"/>
    <w:rsid w:val="001C2D21"/>
    <w:rsid w:val="001C2E15"/>
    <w:rsid w:val="001C2FCC"/>
    <w:rsid w:val="001C349C"/>
    <w:rsid w:val="001C3A0E"/>
    <w:rsid w:val="001C3B20"/>
    <w:rsid w:val="001C3D62"/>
    <w:rsid w:val="001C3E91"/>
    <w:rsid w:val="001C4047"/>
    <w:rsid w:val="001C4354"/>
    <w:rsid w:val="001C4379"/>
    <w:rsid w:val="001C43C1"/>
    <w:rsid w:val="001C4881"/>
    <w:rsid w:val="001C4957"/>
    <w:rsid w:val="001C4C7B"/>
    <w:rsid w:val="001C4C83"/>
    <w:rsid w:val="001C4DF2"/>
    <w:rsid w:val="001C57D6"/>
    <w:rsid w:val="001C5806"/>
    <w:rsid w:val="001C580E"/>
    <w:rsid w:val="001C5BB4"/>
    <w:rsid w:val="001C5D4C"/>
    <w:rsid w:val="001C61B0"/>
    <w:rsid w:val="001C6223"/>
    <w:rsid w:val="001C6253"/>
    <w:rsid w:val="001C66F4"/>
    <w:rsid w:val="001C6890"/>
    <w:rsid w:val="001C693F"/>
    <w:rsid w:val="001C6B36"/>
    <w:rsid w:val="001C6CBE"/>
    <w:rsid w:val="001C6F8F"/>
    <w:rsid w:val="001C710E"/>
    <w:rsid w:val="001C71A9"/>
    <w:rsid w:val="001C7320"/>
    <w:rsid w:val="001C75D1"/>
    <w:rsid w:val="001C77E4"/>
    <w:rsid w:val="001C796D"/>
    <w:rsid w:val="001C7B8B"/>
    <w:rsid w:val="001C7C2D"/>
    <w:rsid w:val="001C7E2B"/>
    <w:rsid w:val="001D0039"/>
    <w:rsid w:val="001D007D"/>
    <w:rsid w:val="001D0610"/>
    <w:rsid w:val="001D0967"/>
    <w:rsid w:val="001D0A82"/>
    <w:rsid w:val="001D0D20"/>
    <w:rsid w:val="001D1332"/>
    <w:rsid w:val="001D1584"/>
    <w:rsid w:val="001D18A4"/>
    <w:rsid w:val="001D19BB"/>
    <w:rsid w:val="001D1C24"/>
    <w:rsid w:val="001D2150"/>
    <w:rsid w:val="001D221D"/>
    <w:rsid w:val="001D252B"/>
    <w:rsid w:val="001D2603"/>
    <w:rsid w:val="001D28E7"/>
    <w:rsid w:val="001D2A02"/>
    <w:rsid w:val="001D2A74"/>
    <w:rsid w:val="001D2DC3"/>
    <w:rsid w:val="001D3059"/>
    <w:rsid w:val="001D30A1"/>
    <w:rsid w:val="001D332C"/>
    <w:rsid w:val="001D3769"/>
    <w:rsid w:val="001D3946"/>
    <w:rsid w:val="001D3B15"/>
    <w:rsid w:val="001D3B2E"/>
    <w:rsid w:val="001D3CCD"/>
    <w:rsid w:val="001D40D9"/>
    <w:rsid w:val="001D4268"/>
    <w:rsid w:val="001D460F"/>
    <w:rsid w:val="001D48FC"/>
    <w:rsid w:val="001D49E5"/>
    <w:rsid w:val="001D5354"/>
    <w:rsid w:val="001D5385"/>
    <w:rsid w:val="001D5456"/>
    <w:rsid w:val="001D580C"/>
    <w:rsid w:val="001D5820"/>
    <w:rsid w:val="001D5860"/>
    <w:rsid w:val="001D5ACE"/>
    <w:rsid w:val="001D5B01"/>
    <w:rsid w:val="001D5B06"/>
    <w:rsid w:val="001D5CE8"/>
    <w:rsid w:val="001D61D0"/>
    <w:rsid w:val="001D61E6"/>
    <w:rsid w:val="001D6266"/>
    <w:rsid w:val="001D6429"/>
    <w:rsid w:val="001D6B47"/>
    <w:rsid w:val="001D6E6E"/>
    <w:rsid w:val="001D6E77"/>
    <w:rsid w:val="001D700E"/>
    <w:rsid w:val="001D742E"/>
    <w:rsid w:val="001D74A5"/>
    <w:rsid w:val="001D7779"/>
    <w:rsid w:val="001D78B4"/>
    <w:rsid w:val="001D7912"/>
    <w:rsid w:val="001D7931"/>
    <w:rsid w:val="001D7A6E"/>
    <w:rsid w:val="001D7AAF"/>
    <w:rsid w:val="001D7AEC"/>
    <w:rsid w:val="001D7EB5"/>
    <w:rsid w:val="001D7F8B"/>
    <w:rsid w:val="001E01F3"/>
    <w:rsid w:val="001E020A"/>
    <w:rsid w:val="001E027C"/>
    <w:rsid w:val="001E034D"/>
    <w:rsid w:val="001E04E8"/>
    <w:rsid w:val="001E0659"/>
    <w:rsid w:val="001E0A5F"/>
    <w:rsid w:val="001E0EBF"/>
    <w:rsid w:val="001E11A5"/>
    <w:rsid w:val="001E139F"/>
    <w:rsid w:val="001E163B"/>
    <w:rsid w:val="001E17E3"/>
    <w:rsid w:val="001E19A1"/>
    <w:rsid w:val="001E1BA1"/>
    <w:rsid w:val="001E1C83"/>
    <w:rsid w:val="001E1C9D"/>
    <w:rsid w:val="001E2ABE"/>
    <w:rsid w:val="001E2E32"/>
    <w:rsid w:val="001E30E1"/>
    <w:rsid w:val="001E3269"/>
    <w:rsid w:val="001E34E6"/>
    <w:rsid w:val="001E3A81"/>
    <w:rsid w:val="001E3B67"/>
    <w:rsid w:val="001E4088"/>
    <w:rsid w:val="001E409D"/>
    <w:rsid w:val="001E41C9"/>
    <w:rsid w:val="001E448E"/>
    <w:rsid w:val="001E4E21"/>
    <w:rsid w:val="001E5374"/>
    <w:rsid w:val="001E5702"/>
    <w:rsid w:val="001E57BD"/>
    <w:rsid w:val="001E580A"/>
    <w:rsid w:val="001E598C"/>
    <w:rsid w:val="001E5C82"/>
    <w:rsid w:val="001E61D9"/>
    <w:rsid w:val="001E6330"/>
    <w:rsid w:val="001E633E"/>
    <w:rsid w:val="001E64EB"/>
    <w:rsid w:val="001E65EC"/>
    <w:rsid w:val="001E689E"/>
    <w:rsid w:val="001E69B4"/>
    <w:rsid w:val="001E6A01"/>
    <w:rsid w:val="001E6D1E"/>
    <w:rsid w:val="001E6E66"/>
    <w:rsid w:val="001E7319"/>
    <w:rsid w:val="001E7779"/>
    <w:rsid w:val="001E781B"/>
    <w:rsid w:val="001E7A3E"/>
    <w:rsid w:val="001E9957"/>
    <w:rsid w:val="001F00D8"/>
    <w:rsid w:val="001F027C"/>
    <w:rsid w:val="001F043D"/>
    <w:rsid w:val="001F04E5"/>
    <w:rsid w:val="001F0560"/>
    <w:rsid w:val="001F08EF"/>
    <w:rsid w:val="001F0FC6"/>
    <w:rsid w:val="001F13B9"/>
    <w:rsid w:val="001F148A"/>
    <w:rsid w:val="001F1492"/>
    <w:rsid w:val="001F15A6"/>
    <w:rsid w:val="001F15BA"/>
    <w:rsid w:val="001F1856"/>
    <w:rsid w:val="001F19E8"/>
    <w:rsid w:val="001F1B4F"/>
    <w:rsid w:val="001F1D3E"/>
    <w:rsid w:val="001F1FA2"/>
    <w:rsid w:val="001F203C"/>
    <w:rsid w:val="001F21F9"/>
    <w:rsid w:val="001F22DF"/>
    <w:rsid w:val="001F26C1"/>
    <w:rsid w:val="001F26FC"/>
    <w:rsid w:val="001F2872"/>
    <w:rsid w:val="001F2A62"/>
    <w:rsid w:val="001F2B85"/>
    <w:rsid w:val="001F2CCB"/>
    <w:rsid w:val="001F2D59"/>
    <w:rsid w:val="001F2EB2"/>
    <w:rsid w:val="001F2EE0"/>
    <w:rsid w:val="001F30A8"/>
    <w:rsid w:val="001F324A"/>
    <w:rsid w:val="001F3427"/>
    <w:rsid w:val="001F3B3C"/>
    <w:rsid w:val="001F3CDA"/>
    <w:rsid w:val="001F3E20"/>
    <w:rsid w:val="001F3EC4"/>
    <w:rsid w:val="001F3F76"/>
    <w:rsid w:val="001F4082"/>
    <w:rsid w:val="001F4205"/>
    <w:rsid w:val="001F4231"/>
    <w:rsid w:val="001F459D"/>
    <w:rsid w:val="001F4663"/>
    <w:rsid w:val="001F46B5"/>
    <w:rsid w:val="001F49D1"/>
    <w:rsid w:val="001F4CA2"/>
    <w:rsid w:val="001F4FBB"/>
    <w:rsid w:val="001F5050"/>
    <w:rsid w:val="001F5403"/>
    <w:rsid w:val="001F5405"/>
    <w:rsid w:val="001F54F4"/>
    <w:rsid w:val="001F55CB"/>
    <w:rsid w:val="001F5685"/>
    <w:rsid w:val="001F56B5"/>
    <w:rsid w:val="001F59FA"/>
    <w:rsid w:val="001F5A0C"/>
    <w:rsid w:val="001F5ADA"/>
    <w:rsid w:val="001F5C82"/>
    <w:rsid w:val="001F60C8"/>
    <w:rsid w:val="001F6AD2"/>
    <w:rsid w:val="001F6B4D"/>
    <w:rsid w:val="001F6DFE"/>
    <w:rsid w:val="001F6EB6"/>
    <w:rsid w:val="001F6FF3"/>
    <w:rsid w:val="001F72BC"/>
    <w:rsid w:val="001F761C"/>
    <w:rsid w:val="001F7679"/>
    <w:rsid w:val="001F79BD"/>
    <w:rsid w:val="00200041"/>
    <w:rsid w:val="00200515"/>
    <w:rsid w:val="002007BF"/>
    <w:rsid w:val="00200A0C"/>
    <w:rsid w:val="00200AF1"/>
    <w:rsid w:val="00200AFE"/>
    <w:rsid w:val="00200B5E"/>
    <w:rsid w:val="00200B82"/>
    <w:rsid w:val="00200BDB"/>
    <w:rsid w:val="00200C76"/>
    <w:rsid w:val="00200F9D"/>
    <w:rsid w:val="002015FC"/>
    <w:rsid w:val="002019D0"/>
    <w:rsid w:val="00201DAB"/>
    <w:rsid w:val="00202063"/>
    <w:rsid w:val="00202126"/>
    <w:rsid w:val="00202520"/>
    <w:rsid w:val="00202662"/>
    <w:rsid w:val="00202C63"/>
    <w:rsid w:val="00202D78"/>
    <w:rsid w:val="00202DD7"/>
    <w:rsid w:val="002033E8"/>
    <w:rsid w:val="002033F9"/>
    <w:rsid w:val="002035BD"/>
    <w:rsid w:val="002037E6"/>
    <w:rsid w:val="002039DB"/>
    <w:rsid w:val="00203BA7"/>
    <w:rsid w:val="00203CB3"/>
    <w:rsid w:val="00203DB1"/>
    <w:rsid w:val="00203E4B"/>
    <w:rsid w:val="002041ED"/>
    <w:rsid w:val="00204424"/>
    <w:rsid w:val="00204530"/>
    <w:rsid w:val="00204542"/>
    <w:rsid w:val="00204568"/>
    <w:rsid w:val="00204656"/>
    <w:rsid w:val="0020479B"/>
    <w:rsid w:val="002048AE"/>
    <w:rsid w:val="00204985"/>
    <w:rsid w:val="002049BC"/>
    <w:rsid w:val="002049CE"/>
    <w:rsid w:val="00204C3C"/>
    <w:rsid w:val="00204CA8"/>
    <w:rsid w:val="00204FC2"/>
    <w:rsid w:val="002050F9"/>
    <w:rsid w:val="0020511B"/>
    <w:rsid w:val="002052F3"/>
    <w:rsid w:val="00205394"/>
    <w:rsid w:val="00205429"/>
    <w:rsid w:val="00205506"/>
    <w:rsid w:val="0020553C"/>
    <w:rsid w:val="002056E3"/>
    <w:rsid w:val="0020574B"/>
    <w:rsid w:val="002059E1"/>
    <w:rsid w:val="00205F20"/>
    <w:rsid w:val="00206495"/>
    <w:rsid w:val="002064A7"/>
    <w:rsid w:val="0020663B"/>
    <w:rsid w:val="002067A1"/>
    <w:rsid w:val="00206C8A"/>
    <w:rsid w:val="00206C9C"/>
    <w:rsid w:val="0020735D"/>
    <w:rsid w:val="002074AA"/>
    <w:rsid w:val="002074D3"/>
    <w:rsid w:val="00207698"/>
    <w:rsid w:val="00207A9A"/>
    <w:rsid w:val="0020CF30"/>
    <w:rsid w:val="00210219"/>
    <w:rsid w:val="00210577"/>
    <w:rsid w:val="00210886"/>
    <w:rsid w:val="002108FB"/>
    <w:rsid w:val="00210C1E"/>
    <w:rsid w:val="00210EDC"/>
    <w:rsid w:val="00211060"/>
    <w:rsid w:val="002112C2"/>
    <w:rsid w:val="002112CE"/>
    <w:rsid w:val="00211303"/>
    <w:rsid w:val="00211F14"/>
    <w:rsid w:val="0021239A"/>
    <w:rsid w:val="00212A1C"/>
    <w:rsid w:val="00212AF8"/>
    <w:rsid w:val="00212E14"/>
    <w:rsid w:val="002130C3"/>
    <w:rsid w:val="00213192"/>
    <w:rsid w:val="00213199"/>
    <w:rsid w:val="002131B1"/>
    <w:rsid w:val="00213281"/>
    <w:rsid w:val="002139F6"/>
    <w:rsid w:val="00213B60"/>
    <w:rsid w:val="00213B71"/>
    <w:rsid w:val="00213C7C"/>
    <w:rsid w:val="00213EB8"/>
    <w:rsid w:val="00214273"/>
    <w:rsid w:val="0021458C"/>
    <w:rsid w:val="00214921"/>
    <w:rsid w:val="00214970"/>
    <w:rsid w:val="00214C8B"/>
    <w:rsid w:val="0021522A"/>
    <w:rsid w:val="0021522E"/>
    <w:rsid w:val="00215245"/>
    <w:rsid w:val="002152A3"/>
    <w:rsid w:val="002152F6"/>
    <w:rsid w:val="002154D9"/>
    <w:rsid w:val="00215951"/>
    <w:rsid w:val="00215974"/>
    <w:rsid w:val="002159FB"/>
    <w:rsid w:val="00215CA3"/>
    <w:rsid w:val="00215D7B"/>
    <w:rsid w:val="00216458"/>
    <w:rsid w:val="00216765"/>
    <w:rsid w:val="00216834"/>
    <w:rsid w:val="002169EB"/>
    <w:rsid w:val="00216A01"/>
    <w:rsid w:val="00216C3A"/>
    <w:rsid w:val="00216C79"/>
    <w:rsid w:val="00217279"/>
    <w:rsid w:val="00217AF0"/>
    <w:rsid w:val="0021F005"/>
    <w:rsid w:val="00220205"/>
    <w:rsid w:val="0022032C"/>
    <w:rsid w:val="002206B1"/>
    <w:rsid w:val="002206EB"/>
    <w:rsid w:val="00220829"/>
    <w:rsid w:val="00220922"/>
    <w:rsid w:val="00220D89"/>
    <w:rsid w:val="00220F8E"/>
    <w:rsid w:val="00220F93"/>
    <w:rsid w:val="00220FE4"/>
    <w:rsid w:val="00221228"/>
    <w:rsid w:val="0022123C"/>
    <w:rsid w:val="00221278"/>
    <w:rsid w:val="00221370"/>
    <w:rsid w:val="00221698"/>
    <w:rsid w:val="00221916"/>
    <w:rsid w:val="00221A10"/>
    <w:rsid w:val="00221C37"/>
    <w:rsid w:val="00221D5E"/>
    <w:rsid w:val="00221D6D"/>
    <w:rsid w:val="00222091"/>
    <w:rsid w:val="00222258"/>
    <w:rsid w:val="002224B8"/>
    <w:rsid w:val="002227DD"/>
    <w:rsid w:val="002228A3"/>
    <w:rsid w:val="00222C9A"/>
    <w:rsid w:val="00222E21"/>
    <w:rsid w:val="00222EC2"/>
    <w:rsid w:val="0022308D"/>
    <w:rsid w:val="0022334C"/>
    <w:rsid w:val="002233DC"/>
    <w:rsid w:val="00223461"/>
    <w:rsid w:val="00223966"/>
    <w:rsid w:val="002239DB"/>
    <w:rsid w:val="00223C05"/>
    <w:rsid w:val="00223C5A"/>
    <w:rsid w:val="00223D87"/>
    <w:rsid w:val="00223DB7"/>
    <w:rsid w:val="00223FAA"/>
    <w:rsid w:val="0022401A"/>
    <w:rsid w:val="0022437A"/>
    <w:rsid w:val="002245A3"/>
    <w:rsid w:val="0022460F"/>
    <w:rsid w:val="00224813"/>
    <w:rsid w:val="00224869"/>
    <w:rsid w:val="00224AE1"/>
    <w:rsid w:val="00224B05"/>
    <w:rsid w:val="00224BE6"/>
    <w:rsid w:val="00224CA4"/>
    <w:rsid w:val="002250A1"/>
    <w:rsid w:val="00225137"/>
    <w:rsid w:val="0022522E"/>
    <w:rsid w:val="0022537A"/>
    <w:rsid w:val="0022538C"/>
    <w:rsid w:val="0022572D"/>
    <w:rsid w:val="002259F8"/>
    <w:rsid w:val="00225BA2"/>
    <w:rsid w:val="00225C86"/>
    <w:rsid w:val="00225D08"/>
    <w:rsid w:val="00225DDD"/>
    <w:rsid w:val="00225FD7"/>
    <w:rsid w:val="00226114"/>
    <w:rsid w:val="00226721"/>
    <w:rsid w:val="00226869"/>
    <w:rsid w:val="002268E3"/>
    <w:rsid w:val="00226AE2"/>
    <w:rsid w:val="00226F33"/>
    <w:rsid w:val="0022700B"/>
    <w:rsid w:val="0022700E"/>
    <w:rsid w:val="00227274"/>
    <w:rsid w:val="00227387"/>
    <w:rsid w:val="0022744D"/>
    <w:rsid w:val="0022749C"/>
    <w:rsid w:val="002275B4"/>
    <w:rsid w:val="002276E4"/>
    <w:rsid w:val="002277BD"/>
    <w:rsid w:val="00227895"/>
    <w:rsid w:val="002279C5"/>
    <w:rsid w:val="00227A64"/>
    <w:rsid w:val="00227C89"/>
    <w:rsid w:val="00227D1C"/>
    <w:rsid w:val="00227D9A"/>
    <w:rsid w:val="00230320"/>
    <w:rsid w:val="002303A8"/>
    <w:rsid w:val="0023108E"/>
    <w:rsid w:val="002313E7"/>
    <w:rsid w:val="00231404"/>
    <w:rsid w:val="00231573"/>
    <w:rsid w:val="0023179E"/>
    <w:rsid w:val="002318BF"/>
    <w:rsid w:val="0023194C"/>
    <w:rsid w:val="00231B7B"/>
    <w:rsid w:val="00231C4A"/>
    <w:rsid w:val="00231F0A"/>
    <w:rsid w:val="002321D4"/>
    <w:rsid w:val="0023243F"/>
    <w:rsid w:val="0023245B"/>
    <w:rsid w:val="002324CF"/>
    <w:rsid w:val="00232545"/>
    <w:rsid w:val="00232D74"/>
    <w:rsid w:val="00233092"/>
    <w:rsid w:val="002331C6"/>
    <w:rsid w:val="002331F5"/>
    <w:rsid w:val="002331F7"/>
    <w:rsid w:val="0023342A"/>
    <w:rsid w:val="0023346A"/>
    <w:rsid w:val="00233632"/>
    <w:rsid w:val="002336A8"/>
    <w:rsid w:val="00233CCC"/>
    <w:rsid w:val="00233F96"/>
    <w:rsid w:val="002341B4"/>
    <w:rsid w:val="002342CC"/>
    <w:rsid w:val="002343DC"/>
    <w:rsid w:val="0023458D"/>
    <w:rsid w:val="002345EE"/>
    <w:rsid w:val="002347ED"/>
    <w:rsid w:val="00234860"/>
    <w:rsid w:val="00234B45"/>
    <w:rsid w:val="00234C95"/>
    <w:rsid w:val="00234E35"/>
    <w:rsid w:val="0023536F"/>
    <w:rsid w:val="0023539D"/>
    <w:rsid w:val="0023549A"/>
    <w:rsid w:val="0023563A"/>
    <w:rsid w:val="00235A71"/>
    <w:rsid w:val="00235B27"/>
    <w:rsid w:val="00235BB9"/>
    <w:rsid w:val="00235C63"/>
    <w:rsid w:val="00235DFD"/>
    <w:rsid w:val="00235F00"/>
    <w:rsid w:val="00235F0A"/>
    <w:rsid w:val="00235F27"/>
    <w:rsid w:val="002360E7"/>
    <w:rsid w:val="00236235"/>
    <w:rsid w:val="0023632D"/>
    <w:rsid w:val="00236565"/>
    <w:rsid w:val="00236CEA"/>
    <w:rsid w:val="00236D4E"/>
    <w:rsid w:val="00236DF2"/>
    <w:rsid w:val="0023709F"/>
    <w:rsid w:val="0023735A"/>
    <w:rsid w:val="002373AB"/>
    <w:rsid w:val="0023759A"/>
    <w:rsid w:val="0023772E"/>
    <w:rsid w:val="00237743"/>
    <w:rsid w:val="00237807"/>
    <w:rsid w:val="00237C80"/>
    <w:rsid w:val="00237DD8"/>
    <w:rsid w:val="00240150"/>
    <w:rsid w:val="002402EE"/>
    <w:rsid w:val="00240328"/>
    <w:rsid w:val="00240554"/>
    <w:rsid w:val="00240594"/>
    <w:rsid w:val="002406D9"/>
    <w:rsid w:val="00240BC8"/>
    <w:rsid w:val="002410D4"/>
    <w:rsid w:val="00241237"/>
    <w:rsid w:val="002412BB"/>
    <w:rsid w:val="00241307"/>
    <w:rsid w:val="002414AE"/>
    <w:rsid w:val="002415B9"/>
    <w:rsid w:val="002419D2"/>
    <w:rsid w:val="00241B69"/>
    <w:rsid w:val="00241CD2"/>
    <w:rsid w:val="00241F63"/>
    <w:rsid w:val="00241F76"/>
    <w:rsid w:val="00242023"/>
    <w:rsid w:val="0024209A"/>
    <w:rsid w:val="0024217D"/>
    <w:rsid w:val="0024229F"/>
    <w:rsid w:val="002427C4"/>
    <w:rsid w:val="002428E1"/>
    <w:rsid w:val="00242C96"/>
    <w:rsid w:val="00242EA3"/>
    <w:rsid w:val="002430C4"/>
    <w:rsid w:val="002430CD"/>
    <w:rsid w:val="0024315C"/>
    <w:rsid w:val="00243175"/>
    <w:rsid w:val="00243370"/>
    <w:rsid w:val="0024340F"/>
    <w:rsid w:val="002436D8"/>
    <w:rsid w:val="0024382C"/>
    <w:rsid w:val="00243890"/>
    <w:rsid w:val="00243B8E"/>
    <w:rsid w:val="00243CAE"/>
    <w:rsid w:val="00243D3C"/>
    <w:rsid w:val="0024422A"/>
    <w:rsid w:val="0024430D"/>
    <w:rsid w:val="002445BF"/>
    <w:rsid w:val="00244697"/>
    <w:rsid w:val="00244750"/>
    <w:rsid w:val="002448CA"/>
    <w:rsid w:val="00244937"/>
    <w:rsid w:val="00244B2B"/>
    <w:rsid w:val="00245D06"/>
    <w:rsid w:val="00246277"/>
    <w:rsid w:val="0024628D"/>
    <w:rsid w:val="002464A9"/>
    <w:rsid w:val="00246992"/>
    <w:rsid w:val="00246B7D"/>
    <w:rsid w:val="002473B7"/>
    <w:rsid w:val="002474CE"/>
    <w:rsid w:val="00247794"/>
    <w:rsid w:val="002477B1"/>
    <w:rsid w:val="002478A1"/>
    <w:rsid w:val="002478E7"/>
    <w:rsid w:val="00247A87"/>
    <w:rsid w:val="00247B04"/>
    <w:rsid w:val="00247D15"/>
    <w:rsid w:val="00247EB3"/>
    <w:rsid w:val="00247F9A"/>
    <w:rsid w:val="002501AC"/>
    <w:rsid w:val="00250298"/>
    <w:rsid w:val="0025042B"/>
    <w:rsid w:val="002505E5"/>
    <w:rsid w:val="0025091F"/>
    <w:rsid w:val="00250949"/>
    <w:rsid w:val="0025097E"/>
    <w:rsid w:val="002509CA"/>
    <w:rsid w:val="00250B47"/>
    <w:rsid w:val="00250C66"/>
    <w:rsid w:val="00250CC2"/>
    <w:rsid w:val="00250D4D"/>
    <w:rsid w:val="00250E0F"/>
    <w:rsid w:val="00251204"/>
    <w:rsid w:val="002513C4"/>
    <w:rsid w:val="002515D7"/>
    <w:rsid w:val="002515EF"/>
    <w:rsid w:val="0025183A"/>
    <w:rsid w:val="00251873"/>
    <w:rsid w:val="00251BDA"/>
    <w:rsid w:val="00251CA1"/>
    <w:rsid w:val="00251D14"/>
    <w:rsid w:val="00251ED5"/>
    <w:rsid w:val="00251FC6"/>
    <w:rsid w:val="00252032"/>
    <w:rsid w:val="0025221E"/>
    <w:rsid w:val="00252254"/>
    <w:rsid w:val="002522F7"/>
    <w:rsid w:val="0025288C"/>
    <w:rsid w:val="00252C3A"/>
    <w:rsid w:val="00252E4B"/>
    <w:rsid w:val="00253069"/>
    <w:rsid w:val="0025317A"/>
    <w:rsid w:val="00253510"/>
    <w:rsid w:val="0025393A"/>
    <w:rsid w:val="00253C3D"/>
    <w:rsid w:val="00253E29"/>
    <w:rsid w:val="0025418E"/>
    <w:rsid w:val="002543D5"/>
    <w:rsid w:val="002544EF"/>
    <w:rsid w:val="0025481E"/>
    <w:rsid w:val="00254B4A"/>
    <w:rsid w:val="00254B89"/>
    <w:rsid w:val="00254CAA"/>
    <w:rsid w:val="0025528A"/>
    <w:rsid w:val="002556C9"/>
    <w:rsid w:val="0025573A"/>
    <w:rsid w:val="00255B9E"/>
    <w:rsid w:val="00255CE1"/>
    <w:rsid w:val="00255D1D"/>
    <w:rsid w:val="00255E55"/>
    <w:rsid w:val="0025654D"/>
    <w:rsid w:val="00256813"/>
    <w:rsid w:val="00256967"/>
    <w:rsid w:val="002569D5"/>
    <w:rsid w:val="00256D47"/>
    <w:rsid w:val="00256E8C"/>
    <w:rsid w:val="002570F9"/>
    <w:rsid w:val="0025749A"/>
    <w:rsid w:val="0025767D"/>
    <w:rsid w:val="00257A96"/>
    <w:rsid w:val="00257DF4"/>
    <w:rsid w:val="00257EE4"/>
    <w:rsid w:val="0026034E"/>
    <w:rsid w:val="002606C1"/>
    <w:rsid w:val="00260AF2"/>
    <w:rsid w:val="00261485"/>
    <w:rsid w:val="00261828"/>
    <w:rsid w:val="00261C0A"/>
    <w:rsid w:val="00261E06"/>
    <w:rsid w:val="00261F22"/>
    <w:rsid w:val="0026231A"/>
    <w:rsid w:val="00262445"/>
    <w:rsid w:val="00262779"/>
    <w:rsid w:val="00262942"/>
    <w:rsid w:val="00262CAC"/>
    <w:rsid w:val="00262DBA"/>
    <w:rsid w:val="00262E41"/>
    <w:rsid w:val="00262FE6"/>
    <w:rsid w:val="00263134"/>
    <w:rsid w:val="002636B7"/>
    <w:rsid w:val="002638F0"/>
    <w:rsid w:val="00263C8F"/>
    <w:rsid w:val="00263CF8"/>
    <w:rsid w:val="00263EB9"/>
    <w:rsid w:val="00263F4F"/>
    <w:rsid w:val="002641F2"/>
    <w:rsid w:val="00264232"/>
    <w:rsid w:val="00264A60"/>
    <w:rsid w:val="00264D0F"/>
    <w:rsid w:val="00264ED4"/>
    <w:rsid w:val="00264F15"/>
    <w:rsid w:val="00264F77"/>
    <w:rsid w:val="00265343"/>
    <w:rsid w:val="00265426"/>
    <w:rsid w:val="00265658"/>
    <w:rsid w:val="00265879"/>
    <w:rsid w:val="00265A29"/>
    <w:rsid w:val="00265B4E"/>
    <w:rsid w:val="00265C34"/>
    <w:rsid w:val="00266184"/>
    <w:rsid w:val="002663C3"/>
    <w:rsid w:val="00266782"/>
    <w:rsid w:val="00267010"/>
    <w:rsid w:val="0026717B"/>
    <w:rsid w:val="002672BC"/>
    <w:rsid w:val="00267308"/>
    <w:rsid w:val="0026731A"/>
    <w:rsid w:val="0026767C"/>
    <w:rsid w:val="00267A7F"/>
    <w:rsid w:val="00267D1A"/>
    <w:rsid w:val="00267D77"/>
    <w:rsid w:val="0026F243"/>
    <w:rsid w:val="002700A3"/>
    <w:rsid w:val="00270109"/>
    <w:rsid w:val="002707CC"/>
    <w:rsid w:val="00270842"/>
    <w:rsid w:val="00270A61"/>
    <w:rsid w:val="00270AFC"/>
    <w:rsid w:val="00270CFA"/>
    <w:rsid w:val="00270E89"/>
    <w:rsid w:val="00270FE0"/>
    <w:rsid w:val="00271005"/>
    <w:rsid w:val="00271023"/>
    <w:rsid w:val="00271228"/>
    <w:rsid w:val="00271296"/>
    <w:rsid w:val="002714D2"/>
    <w:rsid w:val="00271542"/>
    <w:rsid w:val="00271B96"/>
    <w:rsid w:val="00271C59"/>
    <w:rsid w:val="00271DC6"/>
    <w:rsid w:val="0027213F"/>
    <w:rsid w:val="00272227"/>
    <w:rsid w:val="002722BA"/>
    <w:rsid w:val="0027243C"/>
    <w:rsid w:val="0027244F"/>
    <w:rsid w:val="00272465"/>
    <w:rsid w:val="002727C8"/>
    <w:rsid w:val="002727EB"/>
    <w:rsid w:val="00272ABE"/>
    <w:rsid w:val="00272BFD"/>
    <w:rsid w:val="00272CD9"/>
    <w:rsid w:val="00273196"/>
    <w:rsid w:val="002731BA"/>
    <w:rsid w:val="0027323C"/>
    <w:rsid w:val="002734BA"/>
    <w:rsid w:val="0027350F"/>
    <w:rsid w:val="0027363B"/>
    <w:rsid w:val="0027385E"/>
    <w:rsid w:val="002739EF"/>
    <w:rsid w:val="00273A27"/>
    <w:rsid w:val="00273A2D"/>
    <w:rsid w:val="00273DDF"/>
    <w:rsid w:val="00273EEB"/>
    <w:rsid w:val="002747D9"/>
    <w:rsid w:val="00274CC6"/>
    <w:rsid w:val="00274E39"/>
    <w:rsid w:val="00274EE4"/>
    <w:rsid w:val="00274FBD"/>
    <w:rsid w:val="0027538A"/>
    <w:rsid w:val="002755F0"/>
    <w:rsid w:val="00275646"/>
    <w:rsid w:val="002757A3"/>
    <w:rsid w:val="00275CAD"/>
    <w:rsid w:val="00276343"/>
    <w:rsid w:val="0027642F"/>
    <w:rsid w:val="00276848"/>
    <w:rsid w:val="00276D5C"/>
    <w:rsid w:val="002770EA"/>
    <w:rsid w:val="0027713B"/>
    <w:rsid w:val="002771F5"/>
    <w:rsid w:val="002775E7"/>
    <w:rsid w:val="00277777"/>
    <w:rsid w:val="0027799A"/>
    <w:rsid w:val="00277CE3"/>
    <w:rsid w:val="002800CF"/>
    <w:rsid w:val="0028010E"/>
    <w:rsid w:val="00280358"/>
    <w:rsid w:val="00280817"/>
    <w:rsid w:val="00280CF2"/>
    <w:rsid w:val="00280F95"/>
    <w:rsid w:val="002811B2"/>
    <w:rsid w:val="002811BA"/>
    <w:rsid w:val="00281395"/>
    <w:rsid w:val="00281476"/>
    <w:rsid w:val="002815B7"/>
    <w:rsid w:val="00281638"/>
    <w:rsid w:val="002818B1"/>
    <w:rsid w:val="002819D3"/>
    <w:rsid w:val="00281CF9"/>
    <w:rsid w:val="00281FDF"/>
    <w:rsid w:val="0028211D"/>
    <w:rsid w:val="00282361"/>
    <w:rsid w:val="002826C1"/>
    <w:rsid w:val="0028286A"/>
    <w:rsid w:val="00282973"/>
    <w:rsid w:val="00282C0B"/>
    <w:rsid w:val="00282F4D"/>
    <w:rsid w:val="00283053"/>
    <w:rsid w:val="002830B7"/>
    <w:rsid w:val="002833EA"/>
    <w:rsid w:val="0028342D"/>
    <w:rsid w:val="002835F8"/>
    <w:rsid w:val="00283603"/>
    <w:rsid w:val="0028364C"/>
    <w:rsid w:val="00283771"/>
    <w:rsid w:val="002839C1"/>
    <w:rsid w:val="00283B15"/>
    <w:rsid w:val="00283B70"/>
    <w:rsid w:val="002840E1"/>
    <w:rsid w:val="00284199"/>
    <w:rsid w:val="002841BC"/>
    <w:rsid w:val="00284341"/>
    <w:rsid w:val="0028486C"/>
    <w:rsid w:val="00284B7F"/>
    <w:rsid w:val="0028508F"/>
    <w:rsid w:val="0028541A"/>
    <w:rsid w:val="00285860"/>
    <w:rsid w:val="00285980"/>
    <w:rsid w:val="002859EB"/>
    <w:rsid w:val="00285A56"/>
    <w:rsid w:val="00285E8E"/>
    <w:rsid w:val="0028612B"/>
    <w:rsid w:val="002865D8"/>
    <w:rsid w:val="0028680A"/>
    <w:rsid w:val="00286FC8"/>
    <w:rsid w:val="00287611"/>
    <w:rsid w:val="00287920"/>
    <w:rsid w:val="00287DB7"/>
    <w:rsid w:val="00287ECE"/>
    <w:rsid w:val="00287F46"/>
    <w:rsid w:val="00290064"/>
    <w:rsid w:val="00290284"/>
    <w:rsid w:val="00290324"/>
    <w:rsid w:val="00290977"/>
    <w:rsid w:val="00290CFA"/>
    <w:rsid w:val="00291232"/>
    <w:rsid w:val="0029125A"/>
    <w:rsid w:val="00291708"/>
    <w:rsid w:val="002917E0"/>
    <w:rsid w:val="00292022"/>
    <w:rsid w:val="0029214A"/>
    <w:rsid w:val="0029241D"/>
    <w:rsid w:val="00292480"/>
    <w:rsid w:val="00292795"/>
    <w:rsid w:val="002927CE"/>
    <w:rsid w:val="002929F8"/>
    <w:rsid w:val="00292A8D"/>
    <w:rsid w:val="00292D60"/>
    <w:rsid w:val="00292D90"/>
    <w:rsid w:val="002931AD"/>
    <w:rsid w:val="0029326B"/>
    <w:rsid w:val="00293296"/>
    <w:rsid w:val="00293401"/>
    <w:rsid w:val="00293843"/>
    <w:rsid w:val="00293910"/>
    <w:rsid w:val="0029399F"/>
    <w:rsid w:val="00293DB2"/>
    <w:rsid w:val="00293DD5"/>
    <w:rsid w:val="00293F8A"/>
    <w:rsid w:val="002941C8"/>
    <w:rsid w:val="00294243"/>
    <w:rsid w:val="002942CD"/>
    <w:rsid w:val="00294546"/>
    <w:rsid w:val="002945B3"/>
    <w:rsid w:val="002945EF"/>
    <w:rsid w:val="00294686"/>
    <w:rsid w:val="002946E4"/>
    <w:rsid w:val="002947DB"/>
    <w:rsid w:val="002948E9"/>
    <w:rsid w:val="002949D4"/>
    <w:rsid w:val="00294AD2"/>
    <w:rsid w:val="00294AD9"/>
    <w:rsid w:val="00294BF6"/>
    <w:rsid w:val="00294DB9"/>
    <w:rsid w:val="00295208"/>
    <w:rsid w:val="0029525F"/>
    <w:rsid w:val="002953B2"/>
    <w:rsid w:val="00295642"/>
    <w:rsid w:val="00295751"/>
    <w:rsid w:val="00295BC7"/>
    <w:rsid w:val="00295F17"/>
    <w:rsid w:val="00296068"/>
    <w:rsid w:val="00296467"/>
    <w:rsid w:val="002965DD"/>
    <w:rsid w:val="0029719D"/>
    <w:rsid w:val="00297306"/>
    <w:rsid w:val="002973CE"/>
    <w:rsid w:val="002976CB"/>
    <w:rsid w:val="0029787A"/>
    <w:rsid w:val="00297923"/>
    <w:rsid w:val="00297B21"/>
    <w:rsid w:val="00297B31"/>
    <w:rsid w:val="00297EFE"/>
    <w:rsid w:val="002A0039"/>
    <w:rsid w:val="002A0198"/>
    <w:rsid w:val="002A030B"/>
    <w:rsid w:val="002A03DA"/>
    <w:rsid w:val="002A0A51"/>
    <w:rsid w:val="002A0B11"/>
    <w:rsid w:val="002A0E5F"/>
    <w:rsid w:val="002A0E9E"/>
    <w:rsid w:val="002A0F04"/>
    <w:rsid w:val="002A1000"/>
    <w:rsid w:val="002A11A8"/>
    <w:rsid w:val="002A1963"/>
    <w:rsid w:val="002A1BFA"/>
    <w:rsid w:val="002A1C5B"/>
    <w:rsid w:val="002A2475"/>
    <w:rsid w:val="002A2520"/>
    <w:rsid w:val="002A25F2"/>
    <w:rsid w:val="002A2707"/>
    <w:rsid w:val="002A27ED"/>
    <w:rsid w:val="002A286E"/>
    <w:rsid w:val="002A2A68"/>
    <w:rsid w:val="002A2D5F"/>
    <w:rsid w:val="002A2D7A"/>
    <w:rsid w:val="002A3038"/>
    <w:rsid w:val="002A3067"/>
    <w:rsid w:val="002A30EC"/>
    <w:rsid w:val="002A31F0"/>
    <w:rsid w:val="002A32EA"/>
    <w:rsid w:val="002A34AB"/>
    <w:rsid w:val="002A37D2"/>
    <w:rsid w:val="002A38AC"/>
    <w:rsid w:val="002A42AB"/>
    <w:rsid w:val="002A45C5"/>
    <w:rsid w:val="002A46A3"/>
    <w:rsid w:val="002A50AD"/>
    <w:rsid w:val="002A50E5"/>
    <w:rsid w:val="002A5239"/>
    <w:rsid w:val="002A5325"/>
    <w:rsid w:val="002A541A"/>
    <w:rsid w:val="002A5515"/>
    <w:rsid w:val="002A553A"/>
    <w:rsid w:val="002A55EA"/>
    <w:rsid w:val="002A56B7"/>
    <w:rsid w:val="002A5804"/>
    <w:rsid w:val="002A5ADF"/>
    <w:rsid w:val="002A5CB5"/>
    <w:rsid w:val="002A5CCC"/>
    <w:rsid w:val="002A5E0E"/>
    <w:rsid w:val="002A6071"/>
    <w:rsid w:val="002A62D7"/>
    <w:rsid w:val="002A63E8"/>
    <w:rsid w:val="002A648B"/>
    <w:rsid w:val="002A6527"/>
    <w:rsid w:val="002A6838"/>
    <w:rsid w:val="002A69FF"/>
    <w:rsid w:val="002A6CC7"/>
    <w:rsid w:val="002A6FFA"/>
    <w:rsid w:val="002A719D"/>
    <w:rsid w:val="002A721C"/>
    <w:rsid w:val="002A742D"/>
    <w:rsid w:val="002A75E8"/>
    <w:rsid w:val="002A7AB0"/>
    <w:rsid w:val="002A7CBC"/>
    <w:rsid w:val="002A7CCC"/>
    <w:rsid w:val="002A7E22"/>
    <w:rsid w:val="002A7FCB"/>
    <w:rsid w:val="002B0223"/>
    <w:rsid w:val="002B0483"/>
    <w:rsid w:val="002B04A2"/>
    <w:rsid w:val="002B04C8"/>
    <w:rsid w:val="002B06A5"/>
    <w:rsid w:val="002B0A41"/>
    <w:rsid w:val="002B156B"/>
    <w:rsid w:val="002B157B"/>
    <w:rsid w:val="002B1714"/>
    <w:rsid w:val="002B172E"/>
    <w:rsid w:val="002B1778"/>
    <w:rsid w:val="002B18FF"/>
    <w:rsid w:val="002B19EA"/>
    <w:rsid w:val="002B1A2F"/>
    <w:rsid w:val="002B1A40"/>
    <w:rsid w:val="002B1BB0"/>
    <w:rsid w:val="002B1CF1"/>
    <w:rsid w:val="002B2005"/>
    <w:rsid w:val="002B20E3"/>
    <w:rsid w:val="002B26E7"/>
    <w:rsid w:val="002B28CA"/>
    <w:rsid w:val="002B29F5"/>
    <w:rsid w:val="002B2A1E"/>
    <w:rsid w:val="002B3051"/>
    <w:rsid w:val="002B3245"/>
    <w:rsid w:val="002B3288"/>
    <w:rsid w:val="002B329E"/>
    <w:rsid w:val="002B331B"/>
    <w:rsid w:val="002B3374"/>
    <w:rsid w:val="002B3471"/>
    <w:rsid w:val="002B3678"/>
    <w:rsid w:val="002B36DC"/>
    <w:rsid w:val="002B37E5"/>
    <w:rsid w:val="002B3941"/>
    <w:rsid w:val="002B3A93"/>
    <w:rsid w:val="002B3E64"/>
    <w:rsid w:val="002B4210"/>
    <w:rsid w:val="002B4626"/>
    <w:rsid w:val="002B48C3"/>
    <w:rsid w:val="002B4991"/>
    <w:rsid w:val="002B4E6A"/>
    <w:rsid w:val="002B4F33"/>
    <w:rsid w:val="002B52FB"/>
    <w:rsid w:val="002B55F7"/>
    <w:rsid w:val="002B5761"/>
    <w:rsid w:val="002B5ABA"/>
    <w:rsid w:val="002B640C"/>
    <w:rsid w:val="002B6999"/>
    <w:rsid w:val="002B6C32"/>
    <w:rsid w:val="002B6CC6"/>
    <w:rsid w:val="002B6E18"/>
    <w:rsid w:val="002B725E"/>
    <w:rsid w:val="002B7301"/>
    <w:rsid w:val="002B7590"/>
    <w:rsid w:val="002B759C"/>
    <w:rsid w:val="002B77BB"/>
    <w:rsid w:val="002B788B"/>
    <w:rsid w:val="002B78B0"/>
    <w:rsid w:val="002B7918"/>
    <w:rsid w:val="002B7EC7"/>
    <w:rsid w:val="002B7F07"/>
    <w:rsid w:val="002C0177"/>
    <w:rsid w:val="002C0355"/>
    <w:rsid w:val="002C0876"/>
    <w:rsid w:val="002C0C50"/>
    <w:rsid w:val="002C0FC4"/>
    <w:rsid w:val="002C1106"/>
    <w:rsid w:val="002C13C9"/>
    <w:rsid w:val="002C1406"/>
    <w:rsid w:val="002C14E9"/>
    <w:rsid w:val="002C150B"/>
    <w:rsid w:val="002C19BF"/>
    <w:rsid w:val="002C1B49"/>
    <w:rsid w:val="002C1E2C"/>
    <w:rsid w:val="002C2181"/>
    <w:rsid w:val="002C2471"/>
    <w:rsid w:val="002C24C2"/>
    <w:rsid w:val="002C2723"/>
    <w:rsid w:val="002C2A10"/>
    <w:rsid w:val="002C2B10"/>
    <w:rsid w:val="002C2ECF"/>
    <w:rsid w:val="002C3838"/>
    <w:rsid w:val="002C3847"/>
    <w:rsid w:val="002C39CC"/>
    <w:rsid w:val="002C3A5C"/>
    <w:rsid w:val="002C3E0C"/>
    <w:rsid w:val="002C3EA4"/>
    <w:rsid w:val="002C42DA"/>
    <w:rsid w:val="002C435D"/>
    <w:rsid w:val="002C43AD"/>
    <w:rsid w:val="002C43D7"/>
    <w:rsid w:val="002C4B70"/>
    <w:rsid w:val="002C4C93"/>
    <w:rsid w:val="002C5241"/>
    <w:rsid w:val="002C55DE"/>
    <w:rsid w:val="002C5B72"/>
    <w:rsid w:val="002C5BFC"/>
    <w:rsid w:val="002C60E0"/>
    <w:rsid w:val="002C6148"/>
    <w:rsid w:val="002C668F"/>
    <w:rsid w:val="002C694E"/>
    <w:rsid w:val="002C6A56"/>
    <w:rsid w:val="002C6ACD"/>
    <w:rsid w:val="002C6BD5"/>
    <w:rsid w:val="002C6C60"/>
    <w:rsid w:val="002C76E1"/>
    <w:rsid w:val="002C77FC"/>
    <w:rsid w:val="002C7839"/>
    <w:rsid w:val="002C79E1"/>
    <w:rsid w:val="002C7CA9"/>
    <w:rsid w:val="002D011D"/>
    <w:rsid w:val="002D030E"/>
    <w:rsid w:val="002D06BB"/>
    <w:rsid w:val="002D0DF2"/>
    <w:rsid w:val="002D0E60"/>
    <w:rsid w:val="002D15CD"/>
    <w:rsid w:val="002D1785"/>
    <w:rsid w:val="002D18C2"/>
    <w:rsid w:val="002D1CA9"/>
    <w:rsid w:val="002D1D6B"/>
    <w:rsid w:val="002D2161"/>
    <w:rsid w:val="002D21DC"/>
    <w:rsid w:val="002D23C2"/>
    <w:rsid w:val="002D261C"/>
    <w:rsid w:val="002D264D"/>
    <w:rsid w:val="002D2778"/>
    <w:rsid w:val="002D27DD"/>
    <w:rsid w:val="002D28FB"/>
    <w:rsid w:val="002D2ACE"/>
    <w:rsid w:val="002D2D64"/>
    <w:rsid w:val="002D2EEF"/>
    <w:rsid w:val="002D2F5C"/>
    <w:rsid w:val="002D313D"/>
    <w:rsid w:val="002D3318"/>
    <w:rsid w:val="002D3377"/>
    <w:rsid w:val="002D363C"/>
    <w:rsid w:val="002D37AF"/>
    <w:rsid w:val="002D38D2"/>
    <w:rsid w:val="002D3C24"/>
    <w:rsid w:val="002D3E7E"/>
    <w:rsid w:val="002D3FF1"/>
    <w:rsid w:val="002D4419"/>
    <w:rsid w:val="002D44AF"/>
    <w:rsid w:val="002D4564"/>
    <w:rsid w:val="002D4A5E"/>
    <w:rsid w:val="002D4AB5"/>
    <w:rsid w:val="002D4C14"/>
    <w:rsid w:val="002D5457"/>
    <w:rsid w:val="002D5460"/>
    <w:rsid w:val="002D5766"/>
    <w:rsid w:val="002D6005"/>
    <w:rsid w:val="002D61FA"/>
    <w:rsid w:val="002D6201"/>
    <w:rsid w:val="002D6304"/>
    <w:rsid w:val="002D66E3"/>
    <w:rsid w:val="002D7157"/>
    <w:rsid w:val="002D7213"/>
    <w:rsid w:val="002D7290"/>
    <w:rsid w:val="002D7587"/>
    <w:rsid w:val="002D7690"/>
    <w:rsid w:val="002D7998"/>
    <w:rsid w:val="002D79FA"/>
    <w:rsid w:val="002D7AEC"/>
    <w:rsid w:val="002D7E34"/>
    <w:rsid w:val="002D7E56"/>
    <w:rsid w:val="002E0053"/>
    <w:rsid w:val="002E0308"/>
    <w:rsid w:val="002E034F"/>
    <w:rsid w:val="002E081D"/>
    <w:rsid w:val="002E092B"/>
    <w:rsid w:val="002E0ADF"/>
    <w:rsid w:val="002E0C35"/>
    <w:rsid w:val="002E0E9C"/>
    <w:rsid w:val="002E0FC8"/>
    <w:rsid w:val="002E10CE"/>
    <w:rsid w:val="002E14D8"/>
    <w:rsid w:val="002E180F"/>
    <w:rsid w:val="002E1978"/>
    <w:rsid w:val="002E1B21"/>
    <w:rsid w:val="002E1B5E"/>
    <w:rsid w:val="002E1D46"/>
    <w:rsid w:val="002E262E"/>
    <w:rsid w:val="002E282B"/>
    <w:rsid w:val="002E30D9"/>
    <w:rsid w:val="002E32BC"/>
    <w:rsid w:val="002E353B"/>
    <w:rsid w:val="002E3B13"/>
    <w:rsid w:val="002E3BC0"/>
    <w:rsid w:val="002E3BC3"/>
    <w:rsid w:val="002E3BD2"/>
    <w:rsid w:val="002E3BEB"/>
    <w:rsid w:val="002E3F67"/>
    <w:rsid w:val="002E44FD"/>
    <w:rsid w:val="002E46E7"/>
    <w:rsid w:val="002E4897"/>
    <w:rsid w:val="002E48F2"/>
    <w:rsid w:val="002E494D"/>
    <w:rsid w:val="002E4988"/>
    <w:rsid w:val="002E4A1E"/>
    <w:rsid w:val="002E4A24"/>
    <w:rsid w:val="002E4CC5"/>
    <w:rsid w:val="002E4E70"/>
    <w:rsid w:val="002E4E8A"/>
    <w:rsid w:val="002E4F87"/>
    <w:rsid w:val="002E4FD7"/>
    <w:rsid w:val="002E52A0"/>
    <w:rsid w:val="002E56B9"/>
    <w:rsid w:val="002E56EE"/>
    <w:rsid w:val="002E5D93"/>
    <w:rsid w:val="002E5E6F"/>
    <w:rsid w:val="002E5F3F"/>
    <w:rsid w:val="002E61EE"/>
    <w:rsid w:val="002E629B"/>
    <w:rsid w:val="002E62EA"/>
    <w:rsid w:val="002E6498"/>
    <w:rsid w:val="002E68E9"/>
    <w:rsid w:val="002E6B0F"/>
    <w:rsid w:val="002E6B15"/>
    <w:rsid w:val="002E6C01"/>
    <w:rsid w:val="002E6C63"/>
    <w:rsid w:val="002E6CEA"/>
    <w:rsid w:val="002E6D80"/>
    <w:rsid w:val="002E6D97"/>
    <w:rsid w:val="002E7024"/>
    <w:rsid w:val="002E7350"/>
    <w:rsid w:val="002E73F4"/>
    <w:rsid w:val="002E764A"/>
    <w:rsid w:val="002E7793"/>
    <w:rsid w:val="002E7BC9"/>
    <w:rsid w:val="002E7C77"/>
    <w:rsid w:val="002E7CA3"/>
    <w:rsid w:val="002F00FD"/>
    <w:rsid w:val="002F058E"/>
    <w:rsid w:val="002F06FA"/>
    <w:rsid w:val="002F0A84"/>
    <w:rsid w:val="002F0E51"/>
    <w:rsid w:val="002F0FE3"/>
    <w:rsid w:val="002F133E"/>
    <w:rsid w:val="002F16AF"/>
    <w:rsid w:val="002F1A45"/>
    <w:rsid w:val="002F1A8B"/>
    <w:rsid w:val="002F1C41"/>
    <w:rsid w:val="002F21F9"/>
    <w:rsid w:val="002F2805"/>
    <w:rsid w:val="002F28EB"/>
    <w:rsid w:val="002F2A5F"/>
    <w:rsid w:val="002F2C08"/>
    <w:rsid w:val="002F2DD5"/>
    <w:rsid w:val="002F2E7A"/>
    <w:rsid w:val="002F3085"/>
    <w:rsid w:val="002F30A4"/>
    <w:rsid w:val="002F30BE"/>
    <w:rsid w:val="002F313C"/>
    <w:rsid w:val="002F31B5"/>
    <w:rsid w:val="002F32E3"/>
    <w:rsid w:val="002F37F5"/>
    <w:rsid w:val="002F3A00"/>
    <w:rsid w:val="002F3B8B"/>
    <w:rsid w:val="002F43FD"/>
    <w:rsid w:val="002F4695"/>
    <w:rsid w:val="002F46C8"/>
    <w:rsid w:val="002F47A6"/>
    <w:rsid w:val="002F4A6C"/>
    <w:rsid w:val="002F50BE"/>
    <w:rsid w:val="002F5511"/>
    <w:rsid w:val="002F55D4"/>
    <w:rsid w:val="002F5770"/>
    <w:rsid w:val="002F58BF"/>
    <w:rsid w:val="002F5DC6"/>
    <w:rsid w:val="002F5EBC"/>
    <w:rsid w:val="002F5EDC"/>
    <w:rsid w:val="002F6043"/>
    <w:rsid w:val="002F604D"/>
    <w:rsid w:val="002F6409"/>
    <w:rsid w:val="002F64CF"/>
    <w:rsid w:val="002F6830"/>
    <w:rsid w:val="002F687D"/>
    <w:rsid w:val="002F6BA1"/>
    <w:rsid w:val="002F6D9E"/>
    <w:rsid w:val="002F6DBF"/>
    <w:rsid w:val="002F6E07"/>
    <w:rsid w:val="002F6EDD"/>
    <w:rsid w:val="002F7035"/>
    <w:rsid w:val="002F7110"/>
    <w:rsid w:val="002F740D"/>
    <w:rsid w:val="002F7473"/>
    <w:rsid w:val="002F784A"/>
    <w:rsid w:val="0030057F"/>
    <w:rsid w:val="003006A0"/>
    <w:rsid w:val="00300AE8"/>
    <w:rsid w:val="00300FF9"/>
    <w:rsid w:val="0030122B"/>
    <w:rsid w:val="0030138B"/>
    <w:rsid w:val="003013D8"/>
    <w:rsid w:val="003014DF"/>
    <w:rsid w:val="00301BCB"/>
    <w:rsid w:val="00302167"/>
    <w:rsid w:val="003023B8"/>
    <w:rsid w:val="003025F2"/>
    <w:rsid w:val="003027C7"/>
    <w:rsid w:val="0030282F"/>
    <w:rsid w:val="00302A09"/>
    <w:rsid w:val="00302B38"/>
    <w:rsid w:val="00302EBF"/>
    <w:rsid w:val="003032F0"/>
    <w:rsid w:val="0030331F"/>
    <w:rsid w:val="00303FD5"/>
    <w:rsid w:val="0030416A"/>
    <w:rsid w:val="00304420"/>
    <w:rsid w:val="00304514"/>
    <w:rsid w:val="00304576"/>
    <w:rsid w:val="003045C0"/>
    <w:rsid w:val="003047B2"/>
    <w:rsid w:val="00304A83"/>
    <w:rsid w:val="00304BA0"/>
    <w:rsid w:val="00304C38"/>
    <w:rsid w:val="00304EB2"/>
    <w:rsid w:val="00305318"/>
    <w:rsid w:val="00305ACA"/>
    <w:rsid w:val="00305CE9"/>
    <w:rsid w:val="0030604D"/>
    <w:rsid w:val="003063E5"/>
    <w:rsid w:val="00306696"/>
    <w:rsid w:val="003066B6"/>
    <w:rsid w:val="00306710"/>
    <w:rsid w:val="00306A8A"/>
    <w:rsid w:val="00306BA3"/>
    <w:rsid w:val="00306CA3"/>
    <w:rsid w:val="00306D44"/>
    <w:rsid w:val="00306F4D"/>
    <w:rsid w:val="00306FAC"/>
    <w:rsid w:val="00307081"/>
    <w:rsid w:val="003071D9"/>
    <w:rsid w:val="00307634"/>
    <w:rsid w:val="0030773B"/>
    <w:rsid w:val="003078CB"/>
    <w:rsid w:val="00307BBD"/>
    <w:rsid w:val="00307C52"/>
    <w:rsid w:val="00307EC5"/>
    <w:rsid w:val="00307F19"/>
    <w:rsid w:val="00307F7E"/>
    <w:rsid w:val="00310133"/>
    <w:rsid w:val="003101A4"/>
    <w:rsid w:val="0031027A"/>
    <w:rsid w:val="003102A7"/>
    <w:rsid w:val="0031046D"/>
    <w:rsid w:val="003105C3"/>
    <w:rsid w:val="00310C25"/>
    <w:rsid w:val="00310C2D"/>
    <w:rsid w:val="00310ED3"/>
    <w:rsid w:val="00310F13"/>
    <w:rsid w:val="00311285"/>
    <w:rsid w:val="003112C6"/>
    <w:rsid w:val="0031164B"/>
    <w:rsid w:val="0031181A"/>
    <w:rsid w:val="00311A9C"/>
    <w:rsid w:val="00311AEF"/>
    <w:rsid w:val="00311B50"/>
    <w:rsid w:val="00311CE4"/>
    <w:rsid w:val="00311DD7"/>
    <w:rsid w:val="00311E53"/>
    <w:rsid w:val="00311E80"/>
    <w:rsid w:val="00312055"/>
    <w:rsid w:val="00312087"/>
    <w:rsid w:val="00312324"/>
    <w:rsid w:val="0031235D"/>
    <w:rsid w:val="0031258C"/>
    <w:rsid w:val="00312AF3"/>
    <w:rsid w:val="00312EBD"/>
    <w:rsid w:val="00312EDE"/>
    <w:rsid w:val="003130F7"/>
    <w:rsid w:val="00313528"/>
    <w:rsid w:val="0031368B"/>
    <w:rsid w:val="003137E7"/>
    <w:rsid w:val="0031381E"/>
    <w:rsid w:val="00313A13"/>
    <w:rsid w:val="00313A77"/>
    <w:rsid w:val="00313C02"/>
    <w:rsid w:val="00313C25"/>
    <w:rsid w:val="00313C95"/>
    <w:rsid w:val="00313DA8"/>
    <w:rsid w:val="003142CD"/>
    <w:rsid w:val="003146EB"/>
    <w:rsid w:val="0031470A"/>
    <w:rsid w:val="0031477C"/>
    <w:rsid w:val="00314C8D"/>
    <w:rsid w:val="00314FE4"/>
    <w:rsid w:val="0031518D"/>
    <w:rsid w:val="003155B8"/>
    <w:rsid w:val="00315688"/>
    <w:rsid w:val="00315700"/>
    <w:rsid w:val="00315958"/>
    <w:rsid w:val="00315A5F"/>
    <w:rsid w:val="00315C41"/>
    <w:rsid w:val="00315C89"/>
    <w:rsid w:val="00315EB7"/>
    <w:rsid w:val="003160B8"/>
    <w:rsid w:val="0031613E"/>
    <w:rsid w:val="00316179"/>
    <w:rsid w:val="00316755"/>
    <w:rsid w:val="003168B3"/>
    <w:rsid w:val="00316B8C"/>
    <w:rsid w:val="00316F51"/>
    <w:rsid w:val="00317469"/>
    <w:rsid w:val="003178F1"/>
    <w:rsid w:val="00317907"/>
    <w:rsid w:val="00317B99"/>
    <w:rsid w:val="00317E54"/>
    <w:rsid w:val="003200FB"/>
    <w:rsid w:val="00320149"/>
    <w:rsid w:val="003204F9"/>
    <w:rsid w:val="003205B3"/>
    <w:rsid w:val="0032074D"/>
    <w:rsid w:val="00320D55"/>
    <w:rsid w:val="00320DF8"/>
    <w:rsid w:val="00320E6D"/>
    <w:rsid w:val="00321571"/>
    <w:rsid w:val="00321A77"/>
    <w:rsid w:val="00321B4E"/>
    <w:rsid w:val="00321C52"/>
    <w:rsid w:val="00321F4A"/>
    <w:rsid w:val="0032208C"/>
    <w:rsid w:val="003220F4"/>
    <w:rsid w:val="00322126"/>
    <w:rsid w:val="00322339"/>
    <w:rsid w:val="003223F6"/>
    <w:rsid w:val="00322585"/>
    <w:rsid w:val="00322596"/>
    <w:rsid w:val="0032284A"/>
    <w:rsid w:val="00322954"/>
    <w:rsid w:val="003229B4"/>
    <w:rsid w:val="00322DB0"/>
    <w:rsid w:val="00322DBF"/>
    <w:rsid w:val="00322EE6"/>
    <w:rsid w:val="00323366"/>
    <w:rsid w:val="003234B1"/>
    <w:rsid w:val="00323596"/>
    <w:rsid w:val="003235EB"/>
    <w:rsid w:val="00323C3E"/>
    <w:rsid w:val="00323D3D"/>
    <w:rsid w:val="00323D64"/>
    <w:rsid w:val="00323DFE"/>
    <w:rsid w:val="00324374"/>
    <w:rsid w:val="003243AB"/>
    <w:rsid w:val="003244A6"/>
    <w:rsid w:val="0032453B"/>
    <w:rsid w:val="0032482E"/>
    <w:rsid w:val="00324ABB"/>
    <w:rsid w:val="00324EA2"/>
    <w:rsid w:val="00324FE8"/>
    <w:rsid w:val="00325028"/>
    <w:rsid w:val="00325029"/>
    <w:rsid w:val="003250E7"/>
    <w:rsid w:val="003251D8"/>
    <w:rsid w:val="00325BCA"/>
    <w:rsid w:val="00325C5C"/>
    <w:rsid w:val="00325DAC"/>
    <w:rsid w:val="00326621"/>
    <w:rsid w:val="00326666"/>
    <w:rsid w:val="00326836"/>
    <w:rsid w:val="0032685C"/>
    <w:rsid w:val="00326A29"/>
    <w:rsid w:val="00327385"/>
    <w:rsid w:val="00327698"/>
    <w:rsid w:val="0032776E"/>
    <w:rsid w:val="0032786B"/>
    <w:rsid w:val="00327935"/>
    <w:rsid w:val="00327CFA"/>
    <w:rsid w:val="00327D61"/>
    <w:rsid w:val="00327D66"/>
    <w:rsid w:val="0033002C"/>
    <w:rsid w:val="00330221"/>
    <w:rsid w:val="00330272"/>
    <w:rsid w:val="003311FF"/>
    <w:rsid w:val="003312A7"/>
    <w:rsid w:val="003315CF"/>
    <w:rsid w:val="003317DB"/>
    <w:rsid w:val="00331828"/>
    <w:rsid w:val="00331B7D"/>
    <w:rsid w:val="0033207F"/>
    <w:rsid w:val="0033217F"/>
    <w:rsid w:val="003321D6"/>
    <w:rsid w:val="0033223D"/>
    <w:rsid w:val="00332282"/>
    <w:rsid w:val="003322CC"/>
    <w:rsid w:val="00332356"/>
    <w:rsid w:val="0033253C"/>
    <w:rsid w:val="00332591"/>
    <w:rsid w:val="00332634"/>
    <w:rsid w:val="0033263D"/>
    <w:rsid w:val="00332C96"/>
    <w:rsid w:val="00332E3E"/>
    <w:rsid w:val="00332E8D"/>
    <w:rsid w:val="00333750"/>
    <w:rsid w:val="003338F9"/>
    <w:rsid w:val="00333C19"/>
    <w:rsid w:val="00333ED5"/>
    <w:rsid w:val="00333ED8"/>
    <w:rsid w:val="003340B3"/>
    <w:rsid w:val="0033428B"/>
    <w:rsid w:val="0033478E"/>
    <w:rsid w:val="003347A8"/>
    <w:rsid w:val="00335062"/>
    <w:rsid w:val="00335129"/>
    <w:rsid w:val="003351F6"/>
    <w:rsid w:val="00335999"/>
    <w:rsid w:val="003359BA"/>
    <w:rsid w:val="00335D9E"/>
    <w:rsid w:val="003360FD"/>
    <w:rsid w:val="0033675C"/>
    <w:rsid w:val="00336872"/>
    <w:rsid w:val="00336A83"/>
    <w:rsid w:val="003370EE"/>
    <w:rsid w:val="00337507"/>
    <w:rsid w:val="00337536"/>
    <w:rsid w:val="0033754E"/>
    <w:rsid w:val="003376DC"/>
    <w:rsid w:val="00337852"/>
    <w:rsid w:val="00337982"/>
    <w:rsid w:val="00337B2C"/>
    <w:rsid w:val="00337D02"/>
    <w:rsid w:val="00337D17"/>
    <w:rsid w:val="00337EF0"/>
    <w:rsid w:val="00337F29"/>
    <w:rsid w:val="00340031"/>
    <w:rsid w:val="0034004E"/>
    <w:rsid w:val="003401F5"/>
    <w:rsid w:val="00340C5C"/>
    <w:rsid w:val="00340FCC"/>
    <w:rsid w:val="0034138F"/>
    <w:rsid w:val="0034152F"/>
    <w:rsid w:val="00341772"/>
    <w:rsid w:val="00341796"/>
    <w:rsid w:val="00341A7D"/>
    <w:rsid w:val="00341B13"/>
    <w:rsid w:val="00341C08"/>
    <w:rsid w:val="00341C80"/>
    <w:rsid w:val="0034203F"/>
    <w:rsid w:val="0034212E"/>
    <w:rsid w:val="003423FF"/>
    <w:rsid w:val="00342585"/>
    <w:rsid w:val="00342647"/>
    <w:rsid w:val="00342CA1"/>
    <w:rsid w:val="00342D45"/>
    <w:rsid w:val="00342D54"/>
    <w:rsid w:val="00342E2D"/>
    <w:rsid w:val="00343193"/>
    <w:rsid w:val="00343325"/>
    <w:rsid w:val="003433AC"/>
    <w:rsid w:val="00343451"/>
    <w:rsid w:val="0034371F"/>
    <w:rsid w:val="003439DB"/>
    <w:rsid w:val="00343A4A"/>
    <w:rsid w:val="00343BC6"/>
    <w:rsid w:val="00344111"/>
    <w:rsid w:val="003443F7"/>
    <w:rsid w:val="00344485"/>
    <w:rsid w:val="00344662"/>
    <w:rsid w:val="0034476F"/>
    <w:rsid w:val="0034496F"/>
    <w:rsid w:val="00344971"/>
    <w:rsid w:val="0034498B"/>
    <w:rsid w:val="00344DB7"/>
    <w:rsid w:val="00344F06"/>
    <w:rsid w:val="003450F0"/>
    <w:rsid w:val="00345103"/>
    <w:rsid w:val="00345218"/>
    <w:rsid w:val="00345220"/>
    <w:rsid w:val="00345B46"/>
    <w:rsid w:val="00345E9F"/>
    <w:rsid w:val="00346452"/>
    <w:rsid w:val="0034655C"/>
    <w:rsid w:val="00346753"/>
    <w:rsid w:val="0034689B"/>
    <w:rsid w:val="00346901"/>
    <w:rsid w:val="00346B5E"/>
    <w:rsid w:val="00346E1F"/>
    <w:rsid w:val="00346ECA"/>
    <w:rsid w:val="0034703B"/>
    <w:rsid w:val="003472EF"/>
    <w:rsid w:val="00347522"/>
    <w:rsid w:val="0034773B"/>
    <w:rsid w:val="003477C7"/>
    <w:rsid w:val="00347A45"/>
    <w:rsid w:val="00347BDB"/>
    <w:rsid w:val="00347DFB"/>
    <w:rsid w:val="00350246"/>
    <w:rsid w:val="0035068A"/>
    <w:rsid w:val="00350D95"/>
    <w:rsid w:val="003510FE"/>
    <w:rsid w:val="00351365"/>
    <w:rsid w:val="00351436"/>
    <w:rsid w:val="00351468"/>
    <w:rsid w:val="00351995"/>
    <w:rsid w:val="00351BC7"/>
    <w:rsid w:val="00351CFD"/>
    <w:rsid w:val="003523FA"/>
    <w:rsid w:val="00352451"/>
    <w:rsid w:val="00352691"/>
    <w:rsid w:val="00352965"/>
    <w:rsid w:val="00352AD6"/>
    <w:rsid w:val="00352C5D"/>
    <w:rsid w:val="00352E5A"/>
    <w:rsid w:val="00352EB0"/>
    <w:rsid w:val="00352FDA"/>
    <w:rsid w:val="00352FF8"/>
    <w:rsid w:val="0035364C"/>
    <w:rsid w:val="00353878"/>
    <w:rsid w:val="00353BD0"/>
    <w:rsid w:val="00353C2D"/>
    <w:rsid w:val="00353C95"/>
    <w:rsid w:val="00353F40"/>
    <w:rsid w:val="003540B3"/>
    <w:rsid w:val="0035423A"/>
    <w:rsid w:val="0035439F"/>
    <w:rsid w:val="00354405"/>
    <w:rsid w:val="00354620"/>
    <w:rsid w:val="00354698"/>
    <w:rsid w:val="00354741"/>
    <w:rsid w:val="003547CF"/>
    <w:rsid w:val="00354E6F"/>
    <w:rsid w:val="00355052"/>
    <w:rsid w:val="0035534C"/>
    <w:rsid w:val="00355657"/>
    <w:rsid w:val="003558C1"/>
    <w:rsid w:val="00355B4B"/>
    <w:rsid w:val="00355C26"/>
    <w:rsid w:val="00355D2A"/>
    <w:rsid w:val="00355E2A"/>
    <w:rsid w:val="0035608C"/>
    <w:rsid w:val="00356630"/>
    <w:rsid w:val="00356B01"/>
    <w:rsid w:val="00356EE6"/>
    <w:rsid w:val="003570B8"/>
    <w:rsid w:val="00357357"/>
    <w:rsid w:val="00357901"/>
    <w:rsid w:val="003579FF"/>
    <w:rsid w:val="00357C08"/>
    <w:rsid w:val="00357C63"/>
    <w:rsid w:val="00357D02"/>
    <w:rsid w:val="00357E58"/>
    <w:rsid w:val="00357E78"/>
    <w:rsid w:val="00357EC2"/>
    <w:rsid w:val="003604BB"/>
    <w:rsid w:val="00360506"/>
    <w:rsid w:val="003605CC"/>
    <w:rsid w:val="00360623"/>
    <w:rsid w:val="0036064E"/>
    <w:rsid w:val="0036081D"/>
    <w:rsid w:val="0036098E"/>
    <w:rsid w:val="00360D7B"/>
    <w:rsid w:val="003613EB"/>
    <w:rsid w:val="0036141C"/>
    <w:rsid w:val="003614A2"/>
    <w:rsid w:val="003616E6"/>
    <w:rsid w:val="003618BF"/>
    <w:rsid w:val="00361CC7"/>
    <w:rsid w:val="00361D0A"/>
    <w:rsid w:val="00361E25"/>
    <w:rsid w:val="00361F10"/>
    <w:rsid w:val="0036208A"/>
    <w:rsid w:val="003622BC"/>
    <w:rsid w:val="003622FE"/>
    <w:rsid w:val="00362CB9"/>
    <w:rsid w:val="00362CC7"/>
    <w:rsid w:val="00362FA6"/>
    <w:rsid w:val="0036328C"/>
    <w:rsid w:val="00363675"/>
    <w:rsid w:val="003636DC"/>
    <w:rsid w:val="00363E0F"/>
    <w:rsid w:val="0036401B"/>
    <w:rsid w:val="00364062"/>
    <w:rsid w:val="003645FC"/>
    <w:rsid w:val="00364699"/>
    <w:rsid w:val="003646FA"/>
    <w:rsid w:val="00364818"/>
    <w:rsid w:val="00364853"/>
    <w:rsid w:val="003648E3"/>
    <w:rsid w:val="00364DEA"/>
    <w:rsid w:val="00365044"/>
    <w:rsid w:val="00365253"/>
    <w:rsid w:val="00365679"/>
    <w:rsid w:val="00365816"/>
    <w:rsid w:val="0036585A"/>
    <w:rsid w:val="00365928"/>
    <w:rsid w:val="003659E0"/>
    <w:rsid w:val="00365A06"/>
    <w:rsid w:val="00365B5C"/>
    <w:rsid w:val="00365E9A"/>
    <w:rsid w:val="00365F85"/>
    <w:rsid w:val="00366229"/>
    <w:rsid w:val="00366241"/>
    <w:rsid w:val="00366288"/>
    <w:rsid w:val="003662DC"/>
    <w:rsid w:val="003666F0"/>
    <w:rsid w:val="00366836"/>
    <w:rsid w:val="003668A5"/>
    <w:rsid w:val="00366B48"/>
    <w:rsid w:val="00366B4E"/>
    <w:rsid w:val="00366D6B"/>
    <w:rsid w:val="00366F1A"/>
    <w:rsid w:val="00366F67"/>
    <w:rsid w:val="003672D0"/>
    <w:rsid w:val="0036737A"/>
    <w:rsid w:val="003674AE"/>
    <w:rsid w:val="003675B3"/>
    <w:rsid w:val="003676C3"/>
    <w:rsid w:val="00367A87"/>
    <w:rsid w:val="00367E31"/>
    <w:rsid w:val="00367F19"/>
    <w:rsid w:val="00370254"/>
    <w:rsid w:val="0037029B"/>
    <w:rsid w:val="00370497"/>
    <w:rsid w:val="003706EF"/>
    <w:rsid w:val="00371094"/>
    <w:rsid w:val="003711CB"/>
    <w:rsid w:val="00371253"/>
    <w:rsid w:val="0037146C"/>
    <w:rsid w:val="0037152C"/>
    <w:rsid w:val="003716EA"/>
    <w:rsid w:val="003717D1"/>
    <w:rsid w:val="00371980"/>
    <w:rsid w:val="00371996"/>
    <w:rsid w:val="003719C5"/>
    <w:rsid w:val="00371AF4"/>
    <w:rsid w:val="00371F11"/>
    <w:rsid w:val="00372272"/>
    <w:rsid w:val="00372492"/>
    <w:rsid w:val="0037251C"/>
    <w:rsid w:val="003726D2"/>
    <w:rsid w:val="003727F0"/>
    <w:rsid w:val="0037284E"/>
    <w:rsid w:val="0037288F"/>
    <w:rsid w:val="00372D0C"/>
    <w:rsid w:val="00372F8E"/>
    <w:rsid w:val="00373189"/>
    <w:rsid w:val="003731F1"/>
    <w:rsid w:val="00373405"/>
    <w:rsid w:val="00373530"/>
    <w:rsid w:val="00373853"/>
    <w:rsid w:val="00373A12"/>
    <w:rsid w:val="00373A1B"/>
    <w:rsid w:val="00373C3C"/>
    <w:rsid w:val="00373D0B"/>
    <w:rsid w:val="00373D5C"/>
    <w:rsid w:val="00374439"/>
    <w:rsid w:val="00374596"/>
    <w:rsid w:val="0037469A"/>
    <w:rsid w:val="00374AD8"/>
    <w:rsid w:val="00374B2D"/>
    <w:rsid w:val="00374BB3"/>
    <w:rsid w:val="00374EC3"/>
    <w:rsid w:val="00374F6C"/>
    <w:rsid w:val="0037517E"/>
    <w:rsid w:val="003751B0"/>
    <w:rsid w:val="00375246"/>
    <w:rsid w:val="0037557F"/>
    <w:rsid w:val="0037567F"/>
    <w:rsid w:val="003756A6"/>
    <w:rsid w:val="00375AE3"/>
    <w:rsid w:val="00375E3F"/>
    <w:rsid w:val="0037633D"/>
    <w:rsid w:val="00376447"/>
    <w:rsid w:val="0037654A"/>
    <w:rsid w:val="0037668D"/>
    <w:rsid w:val="003766B2"/>
    <w:rsid w:val="00376A32"/>
    <w:rsid w:val="00376DC1"/>
    <w:rsid w:val="00377023"/>
    <w:rsid w:val="00377028"/>
    <w:rsid w:val="00377237"/>
    <w:rsid w:val="003773C5"/>
    <w:rsid w:val="003774B4"/>
    <w:rsid w:val="003800D2"/>
    <w:rsid w:val="00380248"/>
    <w:rsid w:val="003802F9"/>
    <w:rsid w:val="003803DF"/>
    <w:rsid w:val="00380500"/>
    <w:rsid w:val="00380518"/>
    <w:rsid w:val="00380793"/>
    <w:rsid w:val="0038084D"/>
    <w:rsid w:val="0038090A"/>
    <w:rsid w:val="00380953"/>
    <w:rsid w:val="00380B0E"/>
    <w:rsid w:val="00380CB8"/>
    <w:rsid w:val="00380EDC"/>
    <w:rsid w:val="003813DB"/>
    <w:rsid w:val="003814FB"/>
    <w:rsid w:val="0038174E"/>
    <w:rsid w:val="0038179E"/>
    <w:rsid w:val="00381A9F"/>
    <w:rsid w:val="00381C22"/>
    <w:rsid w:val="00382114"/>
    <w:rsid w:val="00382217"/>
    <w:rsid w:val="0038254D"/>
    <w:rsid w:val="00382555"/>
    <w:rsid w:val="003825D2"/>
    <w:rsid w:val="00382CD2"/>
    <w:rsid w:val="00382D6D"/>
    <w:rsid w:val="00382E64"/>
    <w:rsid w:val="00382EA4"/>
    <w:rsid w:val="00382FFB"/>
    <w:rsid w:val="003830AA"/>
    <w:rsid w:val="003835CA"/>
    <w:rsid w:val="00383C98"/>
    <w:rsid w:val="00383D74"/>
    <w:rsid w:val="00383E10"/>
    <w:rsid w:val="00383F60"/>
    <w:rsid w:val="0038408B"/>
    <w:rsid w:val="003840F5"/>
    <w:rsid w:val="0038414A"/>
    <w:rsid w:val="00384157"/>
    <w:rsid w:val="00384249"/>
    <w:rsid w:val="00384362"/>
    <w:rsid w:val="003843EA"/>
    <w:rsid w:val="003844AA"/>
    <w:rsid w:val="003844AC"/>
    <w:rsid w:val="0038477B"/>
    <w:rsid w:val="0038483B"/>
    <w:rsid w:val="00384924"/>
    <w:rsid w:val="003849CE"/>
    <w:rsid w:val="00384A17"/>
    <w:rsid w:val="00384D1D"/>
    <w:rsid w:val="00384DDC"/>
    <w:rsid w:val="003852BF"/>
    <w:rsid w:val="0038550A"/>
    <w:rsid w:val="003855AA"/>
    <w:rsid w:val="00385870"/>
    <w:rsid w:val="003859A7"/>
    <w:rsid w:val="00385D6C"/>
    <w:rsid w:val="00385DAA"/>
    <w:rsid w:val="00385E06"/>
    <w:rsid w:val="00385E2D"/>
    <w:rsid w:val="00385FDC"/>
    <w:rsid w:val="0038600E"/>
    <w:rsid w:val="003861C0"/>
    <w:rsid w:val="003862A4"/>
    <w:rsid w:val="003863B9"/>
    <w:rsid w:val="00386555"/>
    <w:rsid w:val="00386834"/>
    <w:rsid w:val="003868F2"/>
    <w:rsid w:val="00386A3E"/>
    <w:rsid w:val="00386B79"/>
    <w:rsid w:val="00386CDF"/>
    <w:rsid w:val="00386D2B"/>
    <w:rsid w:val="00386FAF"/>
    <w:rsid w:val="00387066"/>
    <w:rsid w:val="00387084"/>
    <w:rsid w:val="00387589"/>
    <w:rsid w:val="00387620"/>
    <w:rsid w:val="00387C5A"/>
    <w:rsid w:val="00387F20"/>
    <w:rsid w:val="00387FF3"/>
    <w:rsid w:val="00390361"/>
    <w:rsid w:val="003905D1"/>
    <w:rsid w:val="0039068E"/>
    <w:rsid w:val="00390722"/>
    <w:rsid w:val="0039083D"/>
    <w:rsid w:val="003914E5"/>
    <w:rsid w:val="00391505"/>
    <w:rsid w:val="003916EF"/>
    <w:rsid w:val="003919AE"/>
    <w:rsid w:val="00391B0F"/>
    <w:rsid w:val="00391CE6"/>
    <w:rsid w:val="00391D8D"/>
    <w:rsid w:val="00392086"/>
    <w:rsid w:val="003923D3"/>
    <w:rsid w:val="003927EE"/>
    <w:rsid w:val="003929ED"/>
    <w:rsid w:val="00392ACA"/>
    <w:rsid w:val="00392D11"/>
    <w:rsid w:val="00392D15"/>
    <w:rsid w:val="00392DE5"/>
    <w:rsid w:val="00393104"/>
    <w:rsid w:val="003931EE"/>
    <w:rsid w:val="00393A9B"/>
    <w:rsid w:val="00393CDF"/>
    <w:rsid w:val="00393D67"/>
    <w:rsid w:val="00393FC3"/>
    <w:rsid w:val="00393FC8"/>
    <w:rsid w:val="003940C0"/>
    <w:rsid w:val="0039412E"/>
    <w:rsid w:val="0039456C"/>
    <w:rsid w:val="003946A8"/>
    <w:rsid w:val="003948A0"/>
    <w:rsid w:val="00394B52"/>
    <w:rsid w:val="00394C16"/>
    <w:rsid w:val="00394CAE"/>
    <w:rsid w:val="00394D4D"/>
    <w:rsid w:val="00394DB2"/>
    <w:rsid w:val="003951A5"/>
    <w:rsid w:val="00395844"/>
    <w:rsid w:val="00395A19"/>
    <w:rsid w:val="00395C17"/>
    <w:rsid w:val="00395E3A"/>
    <w:rsid w:val="00395E87"/>
    <w:rsid w:val="00395FE0"/>
    <w:rsid w:val="0039612A"/>
    <w:rsid w:val="0039649E"/>
    <w:rsid w:val="00396699"/>
    <w:rsid w:val="003967CA"/>
    <w:rsid w:val="0039681F"/>
    <w:rsid w:val="003968C4"/>
    <w:rsid w:val="00396930"/>
    <w:rsid w:val="00396A7B"/>
    <w:rsid w:val="00396B4C"/>
    <w:rsid w:val="00396D5D"/>
    <w:rsid w:val="003970EA"/>
    <w:rsid w:val="003973C1"/>
    <w:rsid w:val="003974E2"/>
    <w:rsid w:val="0039763A"/>
    <w:rsid w:val="00397763"/>
    <w:rsid w:val="00397C82"/>
    <w:rsid w:val="003A0236"/>
    <w:rsid w:val="003A0318"/>
    <w:rsid w:val="003A08A3"/>
    <w:rsid w:val="003A08BC"/>
    <w:rsid w:val="003A0910"/>
    <w:rsid w:val="003A11F1"/>
    <w:rsid w:val="003A18A8"/>
    <w:rsid w:val="003A1926"/>
    <w:rsid w:val="003A1FF9"/>
    <w:rsid w:val="003A2073"/>
    <w:rsid w:val="003A25F2"/>
    <w:rsid w:val="003A268E"/>
    <w:rsid w:val="003A2A33"/>
    <w:rsid w:val="003A2D86"/>
    <w:rsid w:val="003A2E24"/>
    <w:rsid w:val="003A2E26"/>
    <w:rsid w:val="003A31BB"/>
    <w:rsid w:val="003A365D"/>
    <w:rsid w:val="003A3679"/>
    <w:rsid w:val="003A372E"/>
    <w:rsid w:val="003A3818"/>
    <w:rsid w:val="003A3AB3"/>
    <w:rsid w:val="003A3BAC"/>
    <w:rsid w:val="003A3F04"/>
    <w:rsid w:val="003A4276"/>
    <w:rsid w:val="003A448B"/>
    <w:rsid w:val="003A44C1"/>
    <w:rsid w:val="003A44E8"/>
    <w:rsid w:val="003A4610"/>
    <w:rsid w:val="003A4703"/>
    <w:rsid w:val="003A47CC"/>
    <w:rsid w:val="003A4C20"/>
    <w:rsid w:val="003A4D00"/>
    <w:rsid w:val="003A4D58"/>
    <w:rsid w:val="003A4E0A"/>
    <w:rsid w:val="003A5192"/>
    <w:rsid w:val="003A55AC"/>
    <w:rsid w:val="003A5804"/>
    <w:rsid w:val="003A5DC9"/>
    <w:rsid w:val="003A5FCB"/>
    <w:rsid w:val="003A62CB"/>
    <w:rsid w:val="003A695E"/>
    <w:rsid w:val="003A6DBA"/>
    <w:rsid w:val="003A6DD4"/>
    <w:rsid w:val="003A6EB7"/>
    <w:rsid w:val="003A6EEA"/>
    <w:rsid w:val="003A7050"/>
    <w:rsid w:val="003A76A5"/>
    <w:rsid w:val="003A78D7"/>
    <w:rsid w:val="003A7AC3"/>
    <w:rsid w:val="003A7B4B"/>
    <w:rsid w:val="003A7D1C"/>
    <w:rsid w:val="003A7DA3"/>
    <w:rsid w:val="003B037C"/>
    <w:rsid w:val="003B071F"/>
    <w:rsid w:val="003B0976"/>
    <w:rsid w:val="003B0A6C"/>
    <w:rsid w:val="003B0C0D"/>
    <w:rsid w:val="003B103B"/>
    <w:rsid w:val="003B10F0"/>
    <w:rsid w:val="003B11C7"/>
    <w:rsid w:val="003B123D"/>
    <w:rsid w:val="003B175D"/>
    <w:rsid w:val="003B1831"/>
    <w:rsid w:val="003B19A9"/>
    <w:rsid w:val="003B1BD8"/>
    <w:rsid w:val="003B1E06"/>
    <w:rsid w:val="003B22D6"/>
    <w:rsid w:val="003B253E"/>
    <w:rsid w:val="003B2ECE"/>
    <w:rsid w:val="003B30EF"/>
    <w:rsid w:val="003B3615"/>
    <w:rsid w:val="003B3653"/>
    <w:rsid w:val="003B3663"/>
    <w:rsid w:val="003B39EB"/>
    <w:rsid w:val="003B3ABA"/>
    <w:rsid w:val="003B4767"/>
    <w:rsid w:val="003B4999"/>
    <w:rsid w:val="003B4E38"/>
    <w:rsid w:val="003B5012"/>
    <w:rsid w:val="003B5880"/>
    <w:rsid w:val="003B5A82"/>
    <w:rsid w:val="003B5D91"/>
    <w:rsid w:val="003B5E5D"/>
    <w:rsid w:val="003B5FFF"/>
    <w:rsid w:val="003B628A"/>
    <w:rsid w:val="003B63BA"/>
    <w:rsid w:val="003B66D0"/>
    <w:rsid w:val="003B6A87"/>
    <w:rsid w:val="003B6AC9"/>
    <w:rsid w:val="003B6B2B"/>
    <w:rsid w:val="003B6DFD"/>
    <w:rsid w:val="003B6E8F"/>
    <w:rsid w:val="003B6F6B"/>
    <w:rsid w:val="003B77BB"/>
    <w:rsid w:val="003B78E4"/>
    <w:rsid w:val="003B79EE"/>
    <w:rsid w:val="003B79F2"/>
    <w:rsid w:val="003B7E74"/>
    <w:rsid w:val="003C01A9"/>
    <w:rsid w:val="003C0281"/>
    <w:rsid w:val="003C0C0F"/>
    <w:rsid w:val="003C0C59"/>
    <w:rsid w:val="003C0D58"/>
    <w:rsid w:val="003C0DBC"/>
    <w:rsid w:val="003C1210"/>
    <w:rsid w:val="003C12ED"/>
    <w:rsid w:val="003C1602"/>
    <w:rsid w:val="003C1737"/>
    <w:rsid w:val="003C17BD"/>
    <w:rsid w:val="003C1829"/>
    <w:rsid w:val="003C1A4A"/>
    <w:rsid w:val="003C1F12"/>
    <w:rsid w:val="003C2247"/>
    <w:rsid w:val="003C22F8"/>
    <w:rsid w:val="003C2324"/>
    <w:rsid w:val="003C23C8"/>
    <w:rsid w:val="003C24A8"/>
    <w:rsid w:val="003C26F0"/>
    <w:rsid w:val="003C276B"/>
    <w:rsid w:val="003C27BE"/>
    <w:rsid w:val="003C2805"/>
    <w:rsid w:val="003C2CCF"/>
    <w:rsid w:val="003C2D7F"/>
    <w:rsid w:val="003C2E91"/>
    <w:rsid w:val="003C30DE"/>
    <w:rsid w:val="003C312F"/>
    <w:rsid w:val="003C32A5"/>
    <w:rsid w:val="003C3627"/>
    <w:rsid w:val="003C3A8F"/>
    <w:rsid w:val="003C3B69"/>
    <w:rsid w:val="003C3C9F"/>
    <w:rsid w:val="003C4205"/>
    <w:rsid w:val="003C4982"/>
    <w:rsid w:val="003C528F"/>
    <w:rsid w:val="003C5398"/>
    <w:rsid w:val="003C53D0"/>
    <w:rsid w:val="003C5436"/>
    <w:rsid w:val="003C55BF"/>
    <w:rsid w:val="003C578F"/>
    <w:rsid w:val="003C5ADF"/>
    <w:rsid w:val="003C5AF3"/>
    <w:rsid w:val="003C5E0A"/>
    <w:rsid w:val="003C5EE5"/>
    <w:rsid w:val="003C62F4"/>
    <w:rsid w:val="003C6518"/>
    <w:rsid w:val="003C6758"/>
    <w:rsid w:val="003C679F"/>
    <w:rsid w:val="003C695E"/>
    <w:rsid w:val="003C6A57"/>
    <w:rsid w:val="003C6B89"/>
    <w:rsid w:val="003C744D"/>
    <w:rsid w:val="003C74CD"/>
    <w:rsid w:val="003C767B"/>
    <w:rsid w:val="003C7AB4"/>
    <w:rsid w:val="003C7C5E"/>
    <w:rsid w:val="003D0354"/>
    <w:rsid w:val="003D038D"/>
    <w:rsid w:val="003D03B0"/>
    <w:rsid w:val="003D05AD"/>
    <w:rsid w:val="003D088F"/>
    <w:rsid w:val="003D0AD0"/>
    <w:rsid w:val="003D1008"/>
    <w:rsid w:val="003D14FC"/>
    <w:rsid w:val="003D1577"/>
    <w:rsid w:val="003D1625"/>
    <w:rsid w:val="003D190B"/>
    <w:rsid w:val="003D1938"/>
    <w:rsid w:val="003D1D45"/>
    <w:rsid w:val="003D2835"/>
    <w:rsid w:val="003D293D"/>
    <w:rsid w:val="003D2B12"/>
    <w:rsid w:val="003D2DD0"/>
    <w:rsid w:val="003D2EE8"/>
    <w:rsid w:val="003D3043"/>
    <w:rsid w:val="003D35AF"/>
    <w:rsid w:val="003D39E6"/>
    <w:rsid w:val="003D3A2E"/>
    <w:rsid w:val="003D3E64"/>
    <w:rsid w:val="003D4122"/>
    <w:rsid w:val="003D414D"/>
    <w:rsid w:val="003D41EF"/>
    <w:rsid w:val="003D4756"/>
    <w:rsid w:val="003D4852"/>
    <w:rsid w:val="003D496E"/>
    <w:rsid w:val="003D4BA1"/>
    <w:rsid w:val="003D556F"/>
    <w:rsid w:val="003D56C8"/>
    <w:rsid w:val="003D5727"/>
    <w:rsid w:val="003D5790"/>
    <w:rsid w:val="003D58B5"/>
    <w:rsid w:val="003D58D1"/>
    <w:rsid w:val="003D5A5C"/>
    <w:rsid w:val="003D5AAB"/>
    <w:rsid w:val="003D5AAE"/>
    <w:rsid w:val="003D5BBB"/>
    <w:rsid w:val="003D5D58"/>
    <w:rsid w:val="003D5FBF"/>
    <w:rsid w:val="003D615C"/>
    <w:rsid w:val="003D627F"/>
    <w:rsid w:val="003D6478"/>
    <w:rsid w:val="003D6818"/>
    <w:rsid w:val="003D6971"/>
    <w:rsid w:val="003D6AE2"/>
    <w:rsid w:val="003D6B8A"/>
    <w:rsid w:val="003D6BE5"/>
    <w:rsid w:val="003D6D44"/>
    <w:rsid w:val="003D7059"/>
    <w:rsid w:val="003D71F6"/>
    <w:rsid w:val="003D7230"/>
    <w:rsid w:val="003D725B"/>
    <w:rsid w:val="003D728E"/>
    <w:rsid w:val="003D76BB"/>
    <w:rsid w:val="003D7BC5"/>
    <w:rsid w:val="003D7C1E"/>
    <w:rsid w:val="003D7CF1"/>
    <w:rsid w:val="003D7E2F"/>
    <w:rsid w:val="003D7F74"/>
    <w:rsid w:val="003E0000"/>
    <w:rsid w:val="003E0255"/>
    <w:rsid w:val="003E0264"/>
    <w:rsid w:val="003E0891"/>
    <w:rsid w:val="003E0E42"/>
    <w:rsid w:val="003E0F36"/>
    <w:rsid w:val="003E1115"/>
    <w:rsid w:val="003E1166"/>
    <w:rsid w:val="003E1330"/>
    <w:rsid w:val="003E15B1"/>
    <w:rsid w:val="003E1658"/>
    <w:rsid w:val="003E1837"/>
    <w:rsid w:val="003E18A1"/>
    <w:rsid w:val="003E194A"/>
    <w:rsid w:val="003E1D17"/>
    <w:rsid w:val="003E1DD3"/>
    <w:rsid w:val="003E1DDF"/>
    <w:rsid w:val="003E1DEB"/>
    <w:rsid w:val="003E1DEC"/>
    <w:rsid w:val="003E1E5A"/>
    <w:rsid w:val="003E1EA3"/>
    <w:rsid w:val="003E26F8"/>
    <w:rsid w:val="003E2A3A"/>
    <w:rsid w:val="003E2A7D"/>
    <w:rsid w:val="003E2AAC"/>
    <w:rsid w:val="003E2EA7"/>
    <w:rsid w:val="003E2F74"/>
    <w:rsid w:val="003E325B"/>
    <w:rsid w:val="003E3513"/>
    <w:rsid w:val="003E35EF"/>
    <w:rsid w:val="003E36AB"/>
    <w:rsid w:val="003E3785"/>
    <w:rsid w:val="003E37EC"/>
    <w:rsid w:val="003E3A96"/>
    <w:rsid w:val="003E3AA2"/>
    <w:rsid w:val="003E3B41"/>
    <w:rsid w:val="003E3DE9"/>
    <w:rsid w:val="003E416B"/>
    <w:rsid w:val="003E422C"/>
    <w:rsid w:val="003E430B"/>
    <w:rsid w:val="003E4649"/>
    <w:rsid w:val="003E53FD"/>
    <w:rsid w:val="003E55F4"/>
    <w:rsid w:val="003E560F"/>
    <w:rsid w:val="003E5824"/>
    <w:rsid w:val="003E5C41"/>
    <w:rsid w:val="003E5CC2"/>
    <w:rsid w:val="003E5DE3"/>
    <w:rsid w:val="003E628B"/>
    <w:rsid w:val="003E6433"/>
    <w:rsid w:val="003E64C9"/>
    <w:rsid w:val="003E6523"/>
    <w:rsid w:val="003E693E"/>
    <w:rsid w:val="003E6B42"/>
    <w:rsid w:val="003E6CEC"/>
    <w:rsid w:val="003E6D43"/>
    <w:rsid w:val="003E6D69"/>
    <w:rsid w:val="003E6E7F"/>
    <w:rsid w:val="003E7498"/>
    <w:rsid w:val="003E7815"/>
    <w:rsid w:val="003E7B85"/>
    <w:rsid w:val="003E7D38"/>
    <w:rsid w:val="003E7D92"/>
    <w:rsid w:val="003E7F26"/>
    <w:rsid w:val="003E7FC2"/>
    <w:rsid w:val="003F0227"/>
    <w:rsid w:val="003F03FB"/>
    <w:rsid w:val="003F046C"/>
    <w:rsid w:val="003F0919"/>
    <w:rsid w:val="003F0BC7"/>
    <w:rsid w:val="003F0EE4"/>
    <w:rsid w:val="003F0EF7"/>
    <w:rsid w:val="003F107A"/>
    <w:rsid w:val="003F12C8"/>
    <w:rsid w:val="003F1394"/>
    <w:rsid w:val="003F172E"/>
    <w:rsid w:val="003F17C4"/>
    <w:rsid w:val="003F1974"/>
    <w:rsid w:val="003F1E84"/>
    <w:rsid w:val="003F1F30"/>
    <w:rsid w:val="003F1F7B"/>
    <w:rsid w:val="003F1FCA"/>
    <w:rsid w:val="003F2113"/>
    <w:rsid w:val="003F2184"/>
    <w:rsid w:val="003F21E0"/>
    <w:rsid w:val="003F2374"/>
    <w:rsid w:val="003F2514"/>
    <w:rsid w:val="003F25D1"/>
    <w:rsid w:val="003F285E"/>
    <w:rsid w:val="003F2A85"/>
    <w:rsid w:val="003F2B13"/>
    <w:rsid w:val="003F2CB9"/>
    <w:rsid w:val="003F307D"/>
    <w:rsid w:val="003F31C0"/>
    <w:rsid w:val="003F3B0D"/>
    <w:rsid w:val="003F3C60"/>
    <w:rsid w:val="003F40BE"/>
    <w:rsid w:val="003F4450"/>
    <w:rsid w:val="003F44DF"/>
    <w:rsid w:val="003F4684"/>
    <w:rsid w:val="003F4AB5"/>
    <w:rsid w:val="003F4C1C"/>
    <w:rsid w:val="003F502C"/>
    <w:rsid w:val="003F56A5"/>
    <w:rsid w:val="003F5726"/>
    <w:rsid w:val="003F5F27"/>
    <w:rsid w:val="003F6094"/>
    <w:rsid w:val="003F6438"/>
    <w:rsid w:val="003F657D"/>
    <w:rsid w:val="003F6947"/>
    <w:rsid w:val="003F6AF3"/>
    <w:rsid w:val="003F6F3A"/>
    <w:rsid w:val="003F7019"/>
    <w:rsid w:val="003F709E"/>
    <w:rsid w:val="003F74A0"/>
    <w:rsid w:val="003F768E"/>
    <w:rsid w:val="003F7A75"/>
    <w:rsid w:val="0040024B"/>
    <w:rsid w:val="0040057F"/>
    <w:rsid w:val="0040060C"/>
    <w:rsid w:val="004006DD"/>
    <w:rsid w:val="0040070B"/>
    <w:rsid w:val="004008A9"/>
    <w:rsid w:val="00400ADE"/>
    <w:rsid w:val="00400DFF"/>
    <w:rsid w:val="00400E89"/>
    <w:rsid w:val="0040112E"/>
    <w:rsid w:val="00401198"/>
    <w:rsid w:val="004014BB"/>
    <w:rsid w:val="00401609"/>
    <w:rsid w:val="004018E6"/>
    <w:rsid w:val="00401B7E"/>
    <w:rsid w:val="004022D9"/>
    <w:rsid w:val="004023C7"/>
    <w:rsid w:val="0040254B"/>
    <w:rsid w:val="0040296C"/>
    <w:rsid w:val="004029BA"/>
    <w:rsid w:val="00402DDD"/>
    <w:rsid w:val="00402E85"/>
    <w:rsid w:val="00402F70"/>
    <w:rsid w:val="00402FFC"/>
    <w:rsid w:val="0040310C"/>
    <w:rsid w:val="00403384"/>
    <w:rsid w:val="004034BF"/>
    <w:rsid w:val="00403548"/>
    <w:rsid w:val="00403585"/>
    <w:rsid w:val="004035D8"/>
    <w:rsid w:val="00403825"/>
    <w:rsid w:val="00403A2D"/>
    <w:rsid w:val="00403B12"/>
    <w:rsid w:val="00403D44"/>
    <w:rsid w:val="00404379"/>
    <w:rsid w:val="0040438F"/>
    <w:rsid w:val="004049D3"/>
    <w:rsid w:val="00404B05"/>
    <w:rsid w:val="00404B18"/>
    <w:rsid w:val="00404BD4"/>
    <w:rsid w:val="00404C90"/>
    <w:rsid w:val="00404C9C"/>
    <w:rsid w:val="00404DF3"/>
    <w:rsid w:val="004054EC"/>
    <w:rsid w:val="0040550F"/>
    <w:rsid w:val="004055FF"/>
    <w:rsid w:val="004056C5"/>
    <w:rsid w:val="004058C5"/>
    <w:rsid w:val="004058EC"/>
    <w:rsid w:val="00405DA7"/>
    <w:rsid w:val="00405EAF"/>
    <w:rsid w:val="00405EF6"/>
    <w:rsid w:val="00405FDB"/>
    <w:rsid w:val="0040616E"/>
    <w:rsid w:val="004067A8"/>
    <w:rsid w:val="004067AD"/>
    <w:rsid w:val="00406B13"/>
    <w:rsid w:val="00406C22"/>
    <w:rsid w:val="00406DEA"/>
    <w:rsid w:val="00407337"/>
    <w:rsid w:val="00407BDF"/>
    <w:rsid w:val="00407D3C"/>
    <w:rsid w:val="00407ECC"/>
    <w:rsid w:val="00407F0A"/>
    <w:rsid w:val="004100FB"/>
    <w:rsid w:val="00410109"/>
    <w:rsid w:val="00410240"/>
    <w:rsid w:val="00410550"/>
    <w:rsid w:val="004109C6"/>
    <w:rsid w:val="00410E85"/>
    <w:rsid w:val="00411052"/>
    <w:rsid w:val="00411182"/>
    <w:rsid w:val="004112D4"/>
    <w:rsid w:val="00411401"/>
    <w:rsid w:val="004117AE"/>
    <w:rsid w:val="00411910"/>
    <w:rsid w:val="00411A07"/>
    <w:rsid w:val="00411A76"/>
    <w:rsid w:val="00411E0A"/>
    <w:rsid w:val="00411EE8"/>
    <w:rsid w:val="00412061"/>
    <w:rsid w:val="004121C2"/>
    <w:rsid w:val="004124C6"/>
    <w:rsid w:val="00412508"/>
    <w:rsid w:val="0041270E"/>
    <w:rsid w:val="00412AD6"/>
    <w:rsid w:val="004131F4"/>
    <w:rsid w:val="00413459"/>
    <w:rsid w:val="004134B8"/>
    <w:rsid w:val="004137F7"/>
    <w:rsid w:val="0041387D"/>
    <w:rsid w:val="00413B5C"/>
    <w:rsid w:val="00413DB1"/>
    <w:rsid w:val="00413E4C"/>
    <w:rsid w:val="00413E66"/>
    <w:rsid w:val="00413FDB"/>
    <w:rsid w:val="004143E0"/>
    <w:rsid w:val="0041446E"/>
    <w:rsid w:val="004147B5"/>
    <w:rsid w:val="00414845"/>
    <w:rsid w:val="00414A76"/>
    <w:rsid w:val="00415312"/>
    <w:rsid w:val="0041532F"/>
    <w:rsid w:val="00415394"/>
    <w:rsid w:val="004153BB"/>
    <w:rsid w:val="0041541D"/>
    <w:rsid w:val="00415AAF"/>
    <w:rsid w:val="004160B6"/>
    <w:rsid w:val="00416170"/>
    <w:rsid w:val="0041640C"/>
    <w:rsid w:val="004164EC"/>
    <w:rsid w:val="00416555"/>
    <w:rsid w:val="00416934"/>
    <w:rsid w:val="00416994"/>
    <w:rsid w:val="004169A6"/>
    <w:rsid w:val="00416ADC"/>
    <w:rsid w:val="00416B4E"/>
    <w:rsid w:val="00416E48"/>
    <w:rsid w:val="004173A4"/>
    <w:rsid w:val="00417698"/>
    <w:rsid w:val="004176D2"/>
    <w:rsid w:val="004177E6"/>
    <w:rsid w:val="0041782F"/>
    <w:rsid w:val="00417A5F"/>
    <w:rsid w:val="00417C56"/>
    <w:rsid w:val="00420126"/>
    <w:rsid w:val="004201AF"/>
    <w:rsid w:val="004201FE"/>
    <w:rsid w:val="0042049D"/>
    <w:rsid w:val="00420757"/>
    <w:rsid w:val="0042081F"/>
    <w:rsid w:val="0042084F"/>
    <w:rsid w:val="0042088B"/>
    <w:rsid w:val="00420AA5"/>
    <w:rsid w:val="00420F38"/>
    <w:rsid w:val="0042120D"/>
    <w:rsid w:val="0042122F"/>
    <w:rsid w:val="004212BB"/>
    <w:rsid w:val="00421425"/>
    <w:rsid w:val="0042144C"/>
    <w:rsid w:val="004215B9"/>
    <w:rsid w:val="004215F5"/>
    <w:rsid w:val="004216A7"/>
    <w:rsid w:val="00421800"/>
    <w:rsid w:val="004219FE"/>
    <w:rsid w:val="00421E3F"/>
    <w:rsid w:val="00421F4D"/>
    <w:rsid w:val="004227FF"/>
    <w:rsid w:val="00422A70"/>
    <w:rsid w:val="00422FC2"/>
    <w:rsid w:val="0042326A"/>
    <w:rsid w:val="00423397"/>
    <w:rsid w:val="0042348D"/>
    <w:rsid w:val="0042357B"/>
    <w:rsid w:val="004238B4"/>
    <w:rsid w:val="00423A25"/>
    <w:rsid w:val="00423FD2"/>
    <w:rsid w:val="0042420E"/>
    <w:rsid w:val="004243B3"/>
    <w:rsid w:val="0042469A"/>
    <w:rsid w:val="004248B7"/>
    <w:rsid w:val="0042491D"/>
    <w:rsid w:val="00425007"/>
    <w:rsid w:val="00425115"/>
    <w:rsid w:val="00425344"/>
    <w:rsid w:val="004254F6"/>
    <w:rsid w:val="004258D0"/>
    <w:rsid w:val="00425B56"/>
    <w:rsid w:val="00425C38"/>
    <w:rsid w:val="00426305"/>
    <w:rsid w:val="00426471"/>
    <w:rsid w:val="00426593"/>
    <w:rsid w:val="00426648"/>
    <w:rsid w:val="00426EEA"/>
    <w:rsid w:val="00427059"/>
    <w:rsid w:val="0042708D"/>
    <w:rsid w:val="004271DF"/>
    <w:rsid w:val="004271EB"/>
    <w:rsid w:val="0042737F"/>
    <w:rsid w:val="0042784E"/>
    <w:rsid w:val="004303CC"/>
    <w:rsid w:val="00430463"/>
    <w:rsid w:val="00430631"/>
    <w:rsid w:val="0043072A"/>
    <w:rsid w:val="004309F4"/>
    <w:rsid w:val="00430A8F"/>
    <w:rsid w:val="00430BAC"/>
    <w:rsid w:val="00430F78"/>
    <w:rsid w:val="00431012"/>
    <w:rsid w:val="004310F6"/>
    <w:rsid w:val="0043126D"/>
    <w:rsid w:val="00431411"/>
    <w:rsid w:val="004316B4"/>
    <w:rsid w:val="0043173D"/>
    <w:rsid w:val="00431929"/>
    <w:rsid w:val="00431B62"/>
    <w:rsid w:val="00431DF9"/>
    <w:rsid w:val="00431E3D"/>
    <w:rsid w:val="00431F97"/>
    <w:rsid w:val="004320BB"/>
    <w:rsid w:val="00432650"/>
    <w:rsid w:val="00432997"/>
    <w:rsid w:val="00432BCD"/>
    <w:rsid w:val="004334DA"/>
    <w:rsid w:val="004334E7"/>
    <w:rsid w:val="0043355D"/>
    <w:rsid w:val="0043398C"/>
    <w:rsid w:val="00433ADB"/>
    <w:rsid w:val="00433B82"/>
    <w:rsid w:val="00433D10"/>
    <w:rsid w:val="004340CA"/>
    <w:rsid w:val="004340CC"/>
    <w:rsid w:val="004343B3"/>
    <w:rsid w:val="004344B0"/>
    <w:rsid w:val="004349C1"/>
    <w:rsid w:val="00434A6C"/>
    <w:rsid w:val="00434AE5"/>
    <w:rsid w:val="00434B1B"/>
    <w:rsid w:val="00434BFF"/>
    <w:rsid w:val="00434CAA"/>
    <w:rsid w:val="00434D4D"/>
    <w:rsid w:val="00434E8A"/>
    <w:rsid w:val="00434FC0"/>
    <w:rsid w:val="00435004"/>
    <w:rsid w:val="00435104"/>
    <w:rsid w:val="004352E9"/>
    <w:rsid w:val="004353AB"/>
    <w:rsid w:val="004354A2"/>
    <w:rsid w:val="004356F3"/>
    <w:rsid w:val="00435C02"/>
    <w:rsid w:val="00435CA2"/>
    <w:rsid w:val="00435E6D"/>
    <w:rsid w:val="00435EDF"/>
    <w:rsid w:val="00435F67"/>
    <w:rsid w:val="00436274"/>
    <w:rsid w:val="00436432"/>
    <w:rsid w:val="004367E7"/>
    <w:rsid w:val="00436D62"/>
    <w:rsid w:val="00436E32"/>
    <w:rsid w:val="00437155"/>
    <w:rsid w:val="00437284"/>
    <w:rsid w:val="004372AA"/>
    <w:rsid w:val="00437548"/>
    <w:rsid w:val="00437D63"/>
    <w:rsid w:val="00437EA9"/>
    <w:rsid w:val="00440674"/>
    <w:rsid w:val="004406E1"/>
    <w:rsid w:val="00440750"/>
    <w:rsid w:val="00440904"/>
    <w:rsid w:val="00440AD6"/>
    <w:rsid w:val="004410EA"/>
    <w:rsid w:val="00441149"/>
    <w:rsid w:val="004412A7"/>
    <w:rsid w:val="004413B0"/>
    <w:rsid w:val="00441419"/>
    <w:rsid w:val="004414F6"/>
    <w:rsid w:val="0044183B"/>
    <w:rsid w:val="004418D1"/>
    <w:rsid w:val="00441912"/>
    <w:rsid w:val="00441A8A"/>
    <w:rsid w:val="00441D48"/>
    <w:rsid w:val="00441D4B"/>
    <w:rsid w:val="00441ECD"/>
    <w:rsid w:val="00442469"/>
    <w:rsid w:val="004424F6"/>
    <w:rsid w:val="004428B5"/>
    <w:rsid w:val="00442A1B"/>
    <w:rsid w:val="00442D53"/>
    <w:rsid w:val="00442E2F"/>
    <w:rsid w:val="00442EAF"/>
    <w:rsid w:val="0044323D"/>
    <w:rsid w:val="00443336"/>
    <w:rsid w:val="004435F3"/>
    <w:rsid w:val="004436C1"/>
    <w:rsid w:val="0044378F"/>
    <w:rsid w:val="00443AB6"/>
    <w:rsid w:val="00443B55"/>
    <w:rsid w:val="00443D9D"/>
    <w:rsid w:val="00444358"/>
    <w:rsid w:val="0044442D"/>
    <w:rsid w:val="00444527"/>
    <w:rsid w:val="0044453F"/>
    <w:rsid w:val="00444BA0"/>
    <w:rsid w:val="00444C5B"/>
    <w:rsid w:val="00444D66"/>
    <w:rsid w:val="00444DCA"/>
    <w:rsid w:val="00444EF6"/>
    <w:rsid w:val="00444F33"/>
    <w:rsid w:val="00445010"/>
    <w:rsid w:val="00445566"/>
    <w:rsid w:val="00445951"/>
    <w:rsid w:val="00445F10"/>
    <w:rsid w:val="004464C4"/>
    <w:rsid w:val="00446563"/>
    <w:rsid w:val="0044662A"/>
    <w:rsid w:val="004467E1"/>
    <w:rsid w:val="004468AB"/>
    <w:rsid w:val="00446BCB"/>
    <w:rsid w:val="004472F0"/>
    <w:rsid w:val="00447753"/>
    <w:rsid w:val="00447886"/>
    <w:rsid w:val="00447967"/>
    <w:rsid w:val="00447BFF"/>
    <w:rsid w:val="00447C76"/>
    <w:rsid w:val="00447D68"/>
    <w:rsid w:val="00447DCC"/>
    <w:rsid w:val="00447E97"/>
    <w:rsid w:val="0045053C"/>
    <w:rsid w:val="0045072B"/>
    <w:rsid w:val="00450D67"/>
    <w:rsid w:val="00450EB1"/>
    <w:rsid w:val="00450FF7"/>
    <w:rsid w:val="00451790"/>
    <w:rsid w:val="00451A0F"/>
    <w:rsid w:val="00451D75"/>
    <w:rsid w:val="004523D5"/>
    <w:rsid w:val="0045255B"/>
    <w:rsid w:val="00452890"/>
    <w:rsid w:val="00452C6D"/>
    <w:rsid w:val="00452CAC"/>
    <w:rsid w:val="00452E65"/>
    <w:rsid w:val="00452F54"/>
    <w:rsid w:val="0045317A"/>
    <w:rsid w:val="004532F0"/>
    <w:rsid w:val="004533CB"/>
    <w:rsid w:val="00453427"/>
    <w:rsid w:val="0045365F"/>
    <w:rsid w:val="004539F9"/>
    <w:rsid w:val="00453C75"/>
    <w:rsid w:val="00453CDB"/>
    <w:rsid w:val="00453FF3"/>
    <w:rsid w:val="004542BA"/>
    <w:rsid w:val="00454382"/>
    <w:rsid w:val="004546AC"/>
    <w:rsid w:val="0045480F"/>
    <w:rsid w:val="004549A2"/>
    <w:rsid w:val="00454E24"/>
    <w:rsid w:val="00454FA2"/>
    <w:rsid w:val="00454FCE"/>
    <w:rsid w:val="00455328"/>
    <w:rsid w:val="00455501"/>
    <w:rsid w:val="00455622"/>
    <w:rsid w:val="004557D1"/>
    <w:rsid w:val="0045580A"/>
    <w:rsid w:val="00455886"/>
    <w:rsid w:val="00455937"/>
    <w:rsid w:val="00455C5E"/>
    <w:rsid w:val="004560E8"/>
    <w:rsid w:val="00456157"/>
    <w:rsid w:val="00456248"/>
    <w:rsid w:val="00456455"/>
    <w:rsid w:val="0045660D"/>
    <w:rsid w:val="00456734"/>
    <w:rsid w:val="004568E5"/>
    <w:rsid w:val="004569BA"/>
    <w:rsid w:val="00456A8F"/>
    <w:rsid w:val="00456C03"/>
    <w:rsid w:val="00456C23"/>
    <w:rsid w:val="00456ED3"/>
    <w:rsid w:val="00457064"/>
    <w:rsid w:val="00457274"/>
    <w:rsid w:val="004573FC"/>
    <w:rsid w:val="00457750"/>
    <w:rsid w:val="00457943"/>
    <w:rsid w:val="004600B2"/>
    <w:rsid w:val="00460131"/>
    <w:rsid w:val="00460659"/>
    <w:rsid w:val="00460B2F"/>
    <w:rsid w:val="00460DC8"/>
    <w:rsid w:val="00460E2F"/>
    <w:rsid w:val="004611F0"/>
    <w:rsid w:val="004612BD"/>
    <w:rsid w:val="0046144A"/>
    <w:rsid w:val="00461472"/>
    <w:rsid w:val="004616DD"/>
    <w:rsid w:val="004618DC"/>
    <w:rsid w:val="004618F2"/>
    <w:rsid w:val="00461B67"/>
    <w:rsid w:val="00461D77"/>
    <w:rsid w:val="00461FD5"/>
    <w:rsid w:val="004620B6"/>
    <w:rsid w:val="00462112"/>
    <w:rsid w:val="00462361"/>
    <w:rsid w:val="004625A3"/>
    <w:rsid w:val="00462A07"/>
    <w:rsid w:val="00462A49"/>
    <w:rsid w:val="00462A7B"/>
    <w:rsid w:val="00462A9E"/>
    <w:rsid w:val="00462E59"/>
    <w:rsid w:val="0046306F"/>
    <w:rsid w:val="004630CD"/>
    <w:rsid w:val="00463113"/>
    <w:rsid w:val="00463240"/>
    <w:rsid w:val="0046355A"/>
    <w:rsid w:val="004637D5"/>
    <w:rsid w:val="00463B87"/>
    <w:rsid w:val="00463FFB"/>
    <w:rsid w:val="00464309"/>
    <w:rsid w:val="004646AD"/>
    <w:rsid w:val="0046479F"/>
    <w:rsid w:val="00464820"/>
    <w:rsid w:val="00464895"/>
    <w:rsid w:val="00464944"/>
    <w:rsid w:val="00464993"/>
    <w:rsid w:val="00464B66"/>
    <w:rsid w:val="00464BD6"/>
    <w:rsid w:val="00464DC3"/>
    <w:rsid w:val="00464E6D"/>
    <w:rsid w:val="00464ECE"/>
    <w:rsid w:val="004654D3"/>
    <w:rsid w:val="004654E0"/>
    <w:rsid w:val="00465611"/>
    <w:rsid w:val="0046577C"/>
    <w:rsid w:val="0046591B"/>
    <w:rsid w:val="00465CC9"/>
    <w:rsid w:val="00465D04"/>
    <w:rsid w:val="00465DFE"/>
    <w:rsid w:val="004660C9"/>
    <w:rsid w:val="00466574"/>
    <w:rsid w:val="00466860"/>
    <w:rsid w:val="00466B29"/>
    <w:rsid w:val="00466E24"/>
    <w:rsid w:val="00466EED"/>
    <w:rsid w:val="00467324"/>
    <w:rsid w:val="0046753A"/>
    <w:rsid w:val="00467B93"/>
    <w:rsid w:val="00467C3C"/>
    <w:rsid w:val="00467C69"/>
    <w:rsid w:val="00467CA7"/>
    <w:rsid w:val="00467D50"/>
    <w:rsid w:val="00467EAD"/>
    <w:rsid w:val="00467FF7"/>
    <w:rsid w:val="00470143"/>
    <w:rsid w:val="00470567"/>
    <w:rsid w:val="004705F2"/>
    <w:rsid w:val="004706A9"/>
    <w:rsid w:val="0047096D"/>
    <w:rsid w:val="00470C0A"/>
    <w:rsid w:val="00470C91"/>
    <w:rsid w:val="00470E3D"/>
    <w:rsid w:val="00470F36"/>
    <w:rsid w:val="0047105A"/>
    <w:rsid w:val="0047112A"/>
    <w:rsid w:val="00471384"/>
    <w:rsid w:val="004716C3"/>
    <w:rsid w:val="004718B1"/>
    <w:rsid w:val="0047199F"/>
    <w:rsid w:val="00471CFD"/>
    <w:rsid w:val="0047209C"/>
    <w:rsid w:val="0047246C"/>
    <w:rsid w:val="004727ED"/>
    <w:rsid w:val="0047288F"/>
    <w:rsid w:val="00472D10"/>
    <w:rsid w:val="00472E2C"/>
    <w:rsid w:val="00472EB1"/>
    <w:rsid w:val="00472ED8"/>
    <w:rsid w:val="0047319A"/>
    <w:rsid w:val="004731FA"/>
    <w:rsid w:val="0047327A"/>
    <w:rsid w:val="004732F0"/>
    <w:rsid w:val="004739D5"/>
    <w:rsid w:val="00473A20"/>
    <w:rsid w:val="00473A5D"/>
    <w:rsid w:val="00473C3B"/>
    <w:rsid w:val="00473C48"/>
    <w:rsid w:val="00473D88"/>
    <w:rsid w:val="00473E1B"/>
    <w:rsid w:val="004740CB"/>
    <w:rsid w:val="004740FE"/>
    <w:rsid w:val="00474163"/>
    <w:rsid w:val="004743ED"/>
    <w:rsid w:val="004744D9"/>
    <w:rsid w:val="0047470C"/>
    <w:rsid w:val="004747AD"/>
    <w:rsid w:val="00474A8A"/>
    <w:rsid w:val="00474BEF"/>
    <w:rsid w:val="00474D46"/>
    <w:rsid w:val="00474F8E"/>
    <w:rsid w:val="00474FBF"/>
    <w:rsid w:val="00475094"/>
    <w:rsid w:val="004750B3"/>
    <w:rsid w:val="004752EB"/>
    <w:rsid w:val="00475395"/>
    <w:rsid w:val="00475413"/>
    <w:rsid w:val="004755D2"/>
    <w:rsid w:val="0047579A"/>
    <w:rsid w:val="0047584F"/>
    <w:rsid w:val="00475991"/>
    <w:rsid w:val="004759FD"/>
    <w:rsid w:val="00475ADF"/>
    <w:rsid w:val="00475C4A"/>
    <w:rsid w:val="00475E16"/>
    <w:rsid w:val="00475E34"/>
    <w:rsid w:val="00476025"/>
    <w:rsid w:val="004760C9"/>
    <w:rsid w:val="00476106"/>
    <w:rsid w:val="0047610E"/>
    <w:rsid w:val="004761BC"/>
    <w:rsid w:val="00476341"/>
    <w:rsid w:val="0047666B"/>
    <w:rsid w:val="00476765"/>
    <w:rsid w:val="00476824"/>
    <w:rsid w:val="00476836"/>
    <w:rsid w:val="004768D0"/>
    <w:rsid w:val="00476B7A"/>
    <w:rsid w:val="00476F52"/>
    <w:rsid w:val="0047715A"/>
    <w:rsid w:val="004773A3"/>
    <w:rsid w:val="004775A3"/>
    <w:rsid w:val="004775BC"/>
    <w:rsid w:val="0047781C"/>
    <w:rsid w:val="00477993"/>
    <w:rsid w:val="004801DB"/>
    <w:rsid w:val="00480377"/>
    <w:rsid w:val="004805D6"/>
    <w:rsid w:val="004807E7"/>
    <w:rsid w:val="00480856"/>
    <w:rsid w:val="0048085D"/>
    <w:rsid w:val="004808ED"/>
    <w:rsid w:val="00480952"/>
    <w:rsid w:val="004812D1"/>
    <w:rsid w:val="004813C3"/>
    <w:rsid w:val="0048161C"/>
    <w:rsid w:val="00481DB5"/>
    <w:rsid w:val="00481FCF"/>
    <w:rsid w:val="00481FF6"/>
    <w:rsid w:val="004821DA"/>
    <w:rsid w:val="004825EB"/>
    <w:rsid w:val="00482659"/>
    <w:rsid w:val="004827D9"/>
    <w:rsid w:val="00482860"/>
    <w:rsid w:val="00482CAE"/>
    <w:rsid w:val="00482D27"/>
    <w:rsid w:val="00482E12"/>
    <w:rsid w:val="004830F2"/>
    <w:rsid w:val="00483658"/>
    <w:rsid w:val="00483727"/>
    <w:rsid w:val="00483953"/>
    <w:rsid w:val="00483CA9"/>
    <w:rsid w:val="00483F53"/>
    <w:rsid w:val="00484093"/>
    <w:rsid w:val="004845C6"/>
    <w:rsid w:val="004845D6"/>
    <w:rsid w:val="004849A3"/>
    <w:rsid w:val="00484EF6"/>
    <w:rsid w:val="0048515A"/>
    <w:rsid w:val="00485472"/>
    <w:rsid w:val="00485A75"/>
    <w:rsid w:val="00485D29"/>
    <w:rsid w:val="00485E43"/>
    <w:rsid w:val="004861C4"/>
    <w:rsid w:val="00486676"/>
    <w:rsid w:val="0048680E"/>
    <w:rsid w:val="0048681F"/>
    <w:rsid w:val="00486989"/>
    <w:rsid w:val="00486D46"/>
    <w:rsid w:val="00486EF3"/>
    <w:rsid w:val="004870B6"/>
    <w:rsid w:val="00487170"/>
    <w:rsid w:val="0048749B"/>
    <w:rsid w:val="0048771E"/>
    <w:rsid w:val="00487756"/>
    <w:rsid w:val="00487786"/>
    <w:rsid w:val="0048780E"/>
    <w:rsid w:val="0048781A"/>
    <w:rsid w:val="00487A33"/>
    <w:rsid w:val="00487E2D"/>
    <w:rsid w:val="00490488"/>
    <w:rsid w:val="004906B5"/>
    <w:rsid w:val="00490F39"/>
    <w:rsid w:val="00490F7F"/>
    <w:rsid w:val="004913C2"/>
    <w:rsid w:val="004913DD"/>
    <w:rsid w:val="00491587"/>
    <w:rsid w:val="00491D24"/>
    <w:rsid w:val="00491E92"/>
    <w:rsid w:val="004921FA"/>
    <w:rsid w:val="004924A5"/>
    <w:rsid w:val="00492545"/>
    <w:rsid w:val="00492778"/>
    <w:rsid w:val="0049293B"/>
    <w:rsid w:val="00492981"/>
    <w:rsid w:val="00492A69"/>
    <w:rsid w:val="004931DA"/>
    <w:rsid w:val="0049350A"/>
    <w:rsid w:val="004935AD"/>
    <w:rsid w:val="00493658"/>
    <w:rsid w:val="004937DF"/>
    <w:rsid w:val="00493A7C"/>
    <w:rsid w:val="00493B70"/>
    <w:rsid w:val="00493D56"/>
    <w:rsid w:val="00494137"/>
    <w:rsid w:val="0049416C"/>
    <w:rsid w:val="00494195"/>
    <w:rsid w:val="00494209"/>
    <w:rsid w:val="00494B43"/>
    <w:rsid w:val="00494B7E"/>
    <w:rsid w:val="00494C1B"/>
    <w:rsid w:val="00494E5A"/>
    <w:rsid w:val="00494EB8"/>
    <w:rsid w:val="0049510A"/>
    <w:rsid w:val="004952AD"/>
    <w:rsid w:val="004952FD"/>
    <w:rsid w:val="0049583A"/>
    <w:rsid w:val="00495B90"/>
    <w:rsid w:val="00495C81"/>
    <w:rsid w:val="00495DE3"/>
    <w:rsid w:val="00495E28"/>
    <w:rsid w:val="00495F69"/>
    <w:rsid w:val="00495FF0"/>
    <w:rsid w:val="004961CC"/>
    <w:rsid w:val="0049631C"/>
    <w:rsid w:val="004964F5"/>
    <w:rsid w:val="0049656A"/>
    <w:rsid w:val="00496789"/>
    <w:rsid w:val="00496F3B"/>
    <w:rsid w:val="00496FFF"/>
    <w:rsid w:val="00497235"/>
    <w:rsid w:val="00497451"/>
    <w:rsid w:val="00497470"/>
    <w:rsid w:val="00497841"/>
    <w:rsid w:val="004A033D"/>
    <w:rsid w:val="004A04B8"/>
    <w:rsid w:val="004A04FE"/>
    <w:rsid w:val="004A0789"/>
    <w:rsid w:val="004A09A1"/>
    <w:rsid w:val="004A0E4C"/>
    <w:rsid w:val="004A0F50"/>
    <w:rsid w:val="004A10DF"/>
    <w:rsid w:val="004A1184"/>
    <w:rsid w:val="004A1406"/>
    <w:rsid w:val="004A15DD"/>
    <w:rsid w:val="004A1AA0"/>
    <w:rsid w:val="004A1B54"/>
    <w:rsid w:val="004A1F74"/>
    <w:rsid w:val="004A21BF"/>
    <w:rsid w:val="004A2650"/>
    <w:rsid w:val="004A281A"/>
    <w:rsid w:val="004A2835"/>
    <w:rsid w:val="004A2AFA"/>
    <w:rsid w:val="004A2EB8"/>
    <w:rsid w:val="004A345B"/>
    <w:rsid w:val="004A3585"/>
    <w:rsid w:val="004A364C"/>
    <w:rsid w:val="004A3892"/>
    <w:rsid w:val="004A3B0B"/>
    <w:rsid w:val="004A3E33"/>
    <w:rsid w:val="004A4392"/>
    <w:rsid w:val="004A4408"/>
    <w:rsid w:val="004A44D9"/>
    <w:rsid w:val="004A4895"/>
    <w:rsid w:val="004A4F57"/>
    <w:rsid w:val="004A554F"/>
    <w:rsid w:val="004A5572"/>
    <w:rsid w:val="004A582A"/>
    <w:rsid w:val="004A5D25"/>
    <w:rsid w:val="004A5D2D"/>
    <w:rsid w:val="004A5E2F"/>
    <w:rsid w:val="004A5E5F"/>
    <w:rsid w:val="004A603A"/>
    <w:rsid w:val="004A63A4"/>
    <w:rsid w:val="004A6AAA"/>
    <w:rsid w:val="004A6E27"/>
    <w:rsid w:val="004A731E"/>
    <w:rsid w:val="004A774D"/>
    <w:rsid w:val="004A7779"/>
    <w:rsid w:val="004A7B09"/>
    <w:rsid w:val="004A7D33"/>
    <w:rsid w:val="004ADC0B"/>
    <w:rsid w:val="004B06D5"/>
    <w:rsid w:val="004B0C9F"/>
    <w:rsid w:val="004B1031"/>
    <w:rsid w:val="004B14B3"/>
    <w:rsid w:val="004B185A"/>
    <w:rsid w:val="004B18B5"/>
    <w:rsid w:val="004B199C"/>
    <w:rsid w:val="004B1AC0"/>
    <w:rsid w:val="004B1B01"/>
    <w:rsid w:val="004B2331"/>
    <w:rsid w:val="004B265E"/>
    <w:rsid w:val="004B27F1"/>
    <w:rsid w:val="004B281D"/>
    <w:rsid w:val="004B29CB"/>
    <w:rsid w:val="004B2AF8"/>
    <w:rsid w:val="004B2C77"/>
    <w:rsid w:val="004B2EF1"/>
    <w:rsid w:val="004B3077"/>
    <w:rsid w:val="004B3386"/>
    <w:rsid w:val="004B34AB"/>
    <w:rsid w:val="004B3745"/>
    <w:rsid w:val="004B3782"/>
    <w:rsid w:val="004B397C"/>
    <w:rsid w:val="004B3B7D"/>
    <w:rsid w:val="004B42E1"/>
    <w:rsid w:val="004B4349"/>
    <w:rsid w:val="004B4542"/>
    <w:rsid w:val="004B49DA"/>
    <w:rsid w:val="004B4B64"/>
    <w:rsid w:val="004B4B8E"/>
    <w:rsid w:val="004B4BB8"/>
    <w:rsid w:val="004B4BE1"/>
    <w:rsid w:val="004B507C"/>
    <w:rsid w:val="004B5218"/>
    <w:rsid w:val="004B541B"/>
    <w:rsid w:val="004B5557"/>
    <w:rsid w:val="004B570A"/>
    <w:rsid w:val="004B5756"/>
    <w:rsid w:val="004B5C74"/>
    <w:rsid w:val="004B5DCC"/>
    <w:rsid w:val="004B6105"/>
    <w:rsid w:val="004B63AE"/>
    <w:rsid w:val="004B63C9"/>
    <w:rsid w:val="004B6439"/>
    <w:rsid w:val="004B683F"/>
    <w:rsid w:val="004B6840"/>
    <w:rsid w:val="004B6ABE"/>
    <w:rsid w:val="004B6FBB"/>
    <w:rsid w:val="004B705F"/>
    <w:rsid w:val="004B7291"/>
    <w:rsid w:val="004B7296"/>
    <w:rsid w:val="004B73FD"/>
    <w:rsid w:val="004B7419"/>
    <w:rsid w:val="004B75AC"/>
    <w:rsid w:val="004B7623"/>
    <w:rsid w:val="004B786C"/>
    <w:rsid w:val="004B7CFF"/>
    <w:rsid w:val="004B7F63"/>
    <w:rsid w:val="004B7F82"/>
    <w:rsid w:val="004BF3EE"/>
    <w:rsid w:val="004C03D1"/>
    <w:rsid w:val="004C08DB"/>
    <w:rsid w:val="004C099C"/>
    <w:rsid w:val="004C09C2"/>
    <w:rsid w:val="004C0AE3"/>
    <w:rsid w:val="004C0B53"/>
    <w:rsid w:val="004C0E11"/>
    <w:rsid w:val="004C0F3F"/>
    <w:rsid w:val="004C12C3"/>
    <w:rsid w:val="004C14C2"/>
    <w:rsid w:val="004C14E5"/>
    <w:rsid w:val="004C15FF"/>
    <w:rsid w:val="004C180E"/>
    <w:rsid w:val="004C1B0C"/>
    <w:rsid w:val="004C2305"/>
    <w:rsid w:val="004C24F3"/>
    <w:rsid w:val="004C268D"/>
    <w:rsid w:val="004C26D9"/>
    <w:rsid w:val="004C2971"/>
    <w:rsid w:val="004C298E"/>
    <w:rsid w:val="004C29CA"/>
    <w:rsid w:val="004C2AC8"/>
    <w:rsid w:val="004C2D3E"/>
    <w:rsid w:val="004C30D2"/>
    <w:rsid w:val="004C326B"/>
    <w:rsid w:val="004C3271"/>
    <w:rsid w:val="004C34BC"/>
    <w:rsid w:val="004C3751"/>
    <w:rsid w:val="004C3975"/>
    <w:rsid w:val="004C3AC0"/>
    <w:rsid w:val="004C3C33"/>
    <w:rsid w:val="004C3F4C"/>
    <w:rsid w:val="004C4148"/>
    <w:rsid w:val="004C41F4"/>
    <w:rsid w:val="004C4317"/>
    <w:rsid w:val="004C46CF"/>
    <w:rsid w:val="004C4D36"/>
    <w:rsid w:val="004C4DC3"/>
    <w:rsid w:val="004C4E4B"/>
    <w:rsid w:val="004C4E97"/>
    <w:rsid w:val="004C511B"/>
    <w:rsid w:val="004C5144"/>
    <w:rsid w:val="004C5733"/>
    <w:rsid w:val="004C58B6"/>
    <w:rsid w:val="004C5A55"/>
    <w:rsid w:val="004C5C42"/>
    <w:rsid w:val="004C5F01"/>
    <w:rsid w:val="004C5FB1"/>
    <w:rsid w:val="004C6256"/>
    <w:rsid w:val="004C64C8"/>
    <w:rsid w:val="004C6554"/>
    <w:rsid w:val="004C6651"/>
    <w:rsid w:val="004C6834"/>
    <w:rsid w:val="004C68B3"/>
    <w:rsid w:val="004C6987"/>
    <w:rsid w:val="004C69A0"/>
    <w:rsid w:val="004C6B04"/>
    <w:rsid w:val="004C6C0F"/>
    <w:rsid w:val="004C6E16"/>
    <w:rsid w:val="004C6E55"/>
    <w:rsid w:val="004C700D"/>
    <w:rsid w:val="004C71D3"/>
    <w:rsid w:val="004C7949"/>
    <w:rsid w:val="004C7CC8"/>
    <w:rsid w:val="004CAEEE"/>
    <w:rsid w:val="004D025F"/>
    <w:rsid w:val="004D0584"/>
    <w:rsid w:val="004D0627"/>
    <w:rsid w:val="004D0693"/>
    <w:rsid w:val="004D0A20"/>
    <w:rsid w:val="004D0BFC"/>
    <w:rsid w:val="004D0EA7"/>
    <w:rsid w:val="004D0FA3"/>
    <w:rsid w:val="004D142A"/>
    <w:rsid w:val="004D174C"/>
    <w:rsid w:val="004D1765"/>
    <w:rsid w:val="004D1792"/>
    <w:rsid w:val="004D1F27"/>
    <w:rsid w:val="004D1F75"/>
    <w:rsid w:val="004D1FC8"/>
    <w:rsid w:val="004D21A6"/>
    <w:rsid w:val="004D225B"/>
    <w:rsid w:val="004D25CA"/>
    <w:rsid w:val="004D2955"/>
    <w:rsid w:val="004D29A8"/>
    <w:rsid w:val="004D2A47"/>
    <w:rsid w:val="004D32CE"/>
    <w:rsid w:val="004D3E55"/>
    <w:rsid w:val="004D404C"/>
    <w:rsid w:val="004D4091"/>
    <w:rsid w:val="004D4260"/>
    <w:rsid w:val="004D4743"/>
    <w:rsid w:val="004D487F"/>
    <w:rsid w:val="004D4945"/>
    <w:rsid w:val="004D4D36"/>
    <w:rsid w:val="004D5000"/>
    <w:rsid w:val="004D5C8B"/>
    <w:rsid w:val="004D5CFB"/>
    <w:rsid w:val="004D5E31"/>
    <w:rsid w:val="004D5E7F"/>
    <w:rsid w:val="004D626C"/>
    <w:rsid w:val="004D706D"/>
    <w:rsid w:val="004D70D1"/>
    <w:rsid w:val="004D7159"/>
    <w:rsid w:val="004D7241"/>
    <w:rsid w:val="004D72AC"/>
    <w:rsid w:val="004D734B"/>
    <w:rsid w:val="004D73A2"/>
    <w:rsid w:val="004D7630"/>
    <w:rsid w:val="004D7854"/>
    <w:rsid w:val="004D7ABA"/>
    <w:rsid w:val="004E039A"/>
    <w:rsid w:val="004E077F"/>
    <w:rsid w:val="004E07AE"/>
    <w:rsid w:val="004E082B"/>
    <w:rsid w:val="004E094E"/>
    <w:rsid w:val="004E0A8A"/>
    <w:rsid w:val="004E0BA0"/>
    <w:rsid w:val="004E12E8"/>
    <w:rsid w:val="004E14AC"/>
    <w:rsid w:val="004E17F0"/>
    <w:rsid w:val="004E191A"/>
    <w:rsid w:val="004E1C48"/>
    <w:rsid w:val="004E1C99"/>
    <w:rsid w:val="004E1DE9"/>
    <w:rsid w:val="004E200C"/>
    <w:rsid w:val="004E244D"/>
    <w:rsid w:val="004E2500"/>
    <w:rsid w:val="004E2691"/>
    <w:rsid w:val="004E27B9"/>
    <w:rsid w:val="004E2875"/>
    <w:rsid w:val="004E292E"/>
    <w:rsid w:val="004E2A6C"/>
    <w:rsid w:val="004E2AAF"/>
    <w:rsid w:val="004E2B9C"/>
    <w:rsid w:val="004E2E08"/>
    <w:rsid w:val="004E3340"/>
    <w:rsid w:val="004E38B9"/>
    <w:rsid w:val="004E3912"/>
    <w:rsid w:val="004E39DA"/>
    <w:rsid w:val="004E3BC8"/>
    <w:rsid w:val="004E3D13"/>
    <w:rsid w:val="004E3D51"/>
    <w:rsid w:val="004E41B3"/>
    <w:rsid w:val="004E44CF"/>
    <w:rsid w:val="004E467B"/>
    <w:rsid w:val="004E5135"/>
    <w:rsid w:val="004E52B4"/>
    <w:rsid w:val="004E56B1"/>
    <w:rsid w:val="004E5700"/>
    <w:rsid w:val="004E5871"/>
    <w:rsid w:val="004E59C2"/>
    <w:rsid w:val="004E5A1D"/>
    <w:rsid w:val="004E5D66"/>
    <w:rsid w:val="004E5E06"/>
    <w:rsid w:val="004E61C5"/>
    <w:rsid w:val="004E656B"/>
    <w:rsid w:val="004E6C42"/>
    <w:rsid w:val="004E743C"/>
    <w:rsid w:val="004E7593"/>
    <w:rsid w:val="004E78E0"/>
    <w:rsid w:val="004E7A52"/>
    <w:rsid w:val="004E7DEC"/>
    <w:rsid w:val="004F0110"/>
    <w:rsid w:val="004F0209"/>
    <w:rsid w:val="004F082E"/>
    <w:rsid w:val="004F0B12"/>
    <w:rsid w:val="004F0BF5"/>
    <w:rsid w:val="004F0CCA"/>
    <w:rsid w:val="004F1047"/>
    <w:rsid w:val="004F10B4"/>
    <w:rsid w:val="004F10C8"/>
    <w:rsid w:val="004F10F9"/>
    <w:rsid w:val="004F121C"/>
    <w:rsid w:val="004F148D"/>
    <w:rsid w:val="004F175D"/>
    <w:rsid w:val="004F17FE"/>
    <w:rsid w:val="004F252E"/>
    <w:rsid w:val="004F255A"/>
    <w:rsid w:val="004F27FE"/>
    <w:rsid w:val="004F2ADD"/>
    <w:rsid w:val="004F2B0D"/>
    <w:rsid w:val="004F2BD9"/>
    <w:rsid w:val="004F2C5D"/>
    <w:rsid w:val="004F332F"/>
    <w:rsid w:val="004F36BC"/>
    <w:rsid w:val="004F38C2"/>
    <w:rsid w:val="004F3A23"/>
    <w:rsid w:val="004F3E1B"/>
    <w:rsid w:val="004F3F19"/>
    <w:rsid w:val="004F3F35"/>
    <w:rsid w:val="004F40C9"/>
    <w:rsid w:val="004F45F1"/>
    <w:rsid w:val="004F4962"/>
    <w:rsid w:val="004F4E53"/>
    <w:rsid w:val="004F4E76"/>
    <w:rsid w:val="004F517A"/>
    <w:rsid w:val="004F55AB"/>
    <w:rsid w:val="004F55CF"/>
    <w:rsid w:val="004F560F"/>
    <w:rsid w:val="004F5A4C"/>
    <w:rsid w:val="004F5B25"/>
    <w:rsid w:val="004F5BA0"/>
    <w:rsid w:val="004F5F50"/>
    <w:rsid w:val="004F5F7A"/>
    <w:rsid w:val="004F603E"/>
    <w:rsid w:val="004F605C"/>
    <w:rsid w:val="004F646B"/>
    <w:rsid w:val="004F64FA"/>
    <w:rsid w:val="004F6DE2"/>
    <w:rsid w:val="004F7126"/>
    <w:rsid w:val="004F74DC"/>
    <w:rsid w:val="004F75D7"/>
    <w:rsid w:val="004F77BF"/>
    <w:rsid w:val="004F77DA"/>
    <w:rsid w:val="004F77F9"/>
    <w:rsid w:val="004F79E6"/>
    <w:rsid w:val="004F7BB0"/>
    <w:rsid w:val="004F7D02"/>
    <w:rsid w:val="00500103"/>
    <w:rsid w:val="005001A8"/>
    <w:rsid w:val="00500528"/>
    <w:rsid w:val="005005C0"/>
    <w:rsid w:val="00500686"/>
    <w:rsid w:val="00500761"/>
    <w:rsid w:val="00500950"/>
    <w:rsid w:val="00500A57"/>
    <w:rsid w:val="00500B14"/>
    <w:rsid w:val="00500BD8"/>
    <w:rsid w:val="005010CB"/>
    <w:rsid w:val="00501134"/>
    <w:rsid w:val="00501159"/>
    <w:rsid w:val="005011D1"/>
    <w:rsid w:val="00501377"/>
    <w:rsid w:val="00501590"/>
    <w:rsid w:val="0050162C"/>
    <w:rsid w:val="00501756"/>
    <w:rsid w:val="005017A2"/>
    <w:rsid w:val="00501BE2"/>
    <w:rsid w:val="00501DDE"/>
    <w:rsid w:val="00501E4A"/>
    <w:rsid w:val="00502AFD"/>
    <w:rsid w:val="00502CFE"/>
    <w:rsid w:val="00502FA4"/>
    <w:rsid w:val="00503034"/>
    <w:rsid w:val="00503126"/>
    <w:rsid w:val="005031D6"/>
    <w:rsid w:val="0050343B"/>
    <w:rsid w:val="0050346B"/>
    <w:rsid w:val="00503622"/>
    <w:rsid w:val="005036C8"/>
    <w:rsid w:val="0050379D"/>
    <w:rsid w:val="00503AFB"/>
    <w:rsid w:val="00504516"/>
    <w:rsid w:val="00504630"/>
    <w:rsid w:val="005048A4"/>
    <w:rsid w:val="00504C99"/>
    <w:rsid w:val="00504D02"/>
    <w:rsid w:val="00504EAF"/>
    <w:rsid w:val="00504EEC"/>
    <w:rsid w:val="00504FE2"/>
    <w:rsid w:val="0050515D"/>
    <w:rsid w:val="00505164"/>
    <w:rsid w:val="0050519C"/>
    <w:rsid w:val="005051F4"/>
    <w:rsid w:val="00505A0F"/>
    <w:rsid w:val="00505B6B"/>
    <w:rsid w:val="00505F33"/>
    <w:rsid w:val="0050629B"/>
    <w:rsid w:val="005062E3"/>
    <w:rsid w:val="00506522"/>
    <w:rsid w:val="0050677E"/>
    <w:rsid w:val="005069D8"/>
    <w:rsid w:val="00506A74"/>
    <w:rsid w:val="00506D97"/>
    <w:rsid w:val="00507411"/>
    <w:rsid w:val="005077FA"/>
    <w:rsid w:val="00507974"/>
    <w:rsid w:val="00507E26"/>
    <w:rsid w:val="00510784"/>
    <w:rsid w:val="0051079E"/>
    <w:rsid w:val="0051096B"/>
    <w:rsid w:val="0051112B"/>
    <w:rsid w:val="00511967"/>
    <w:rsid w:val="00511A11"/>
    <w:rsid w:val="00511A4D"/>
    <w:rsid w:val="00511A89"/>
    <w:rsid w:val="00511BDF"/>
    <w:rsid w:val="0051258C"/>
    <w:rsid w:val="005125F4"/>
    <w:rsid w:val="005126E7"/>
    <w:rsid w:val="00512A2E"/>
    <w:rsid w:val="00513700"/>
    <w:rsid w:val="00513768"/>
    <w:rsid w:val="0051381A"/>
    <w:rsid w:val="00513B80"/>
    <w:rsid w:val="0051443B"/>
    <w:rsid w:val="005145E1"/>
    <w:rsid w:val="00514824"/>
    <w:rsid w:val="00514AF1"/>
    <w:rsid w:val="00514D33"/>
    <w:rsid w:val="00514DBD"/>
    <w:rsid w:val="00514E8B"/>
    <w:rsid w:val="00514FC6"/>
    <w:rsid w:val="005151B3"/>
    <w:rsid w:val="005153B4"/>
    <w:rsid w:val="00515520"/>
    <w:rsid w:val="005156B7"/>
    <w:rsid w:val="00515798"/>
    <w:rsid w:val="005158F7"/>
    <w:rsid w:val="00515A01"/>
    <w:rsid w:val="00515AE7"/>
    <w:rsid w:val="00515B25"/>
    <w:rsid w:val="00515C57"/>
    <w:rsid w:val="00515F07"/>
    <w:rsid w:val="00516173"/>
    <w:rsid w:val="0051661E"/>
    <w:rsid w:val="005167DC"/>
    <w:rsid w:val="00516807"/>
    <w:rsid w:val="00516A54"/>
    <w:rsid w:val="00516C72"/>
    <w:rsid w:val="00516EC6"/>
    <w:rsid w:val="0051717E"/>
    <w:rsid w:val="005171BA"/>
    <w:rsid w:val="005172E7"/>
    <w:rsid w:val="00517A1F"/>
    <w:rsid w:val="00517E32"/>
    <w:rsid w:val="005204BC"/>
    <w:rsid w:val="0052062F"/>
    <w:rsid w:val="00520CA1"/>
    <w:rsid w:val="00520D25"/>
    <w:rsid w:val="00521374"/>
    <w:rsid w:val="005213D4"/>
    <w:rsid w:val="005219ED"/>
    <w:rsid w:val="005220FA"/>
    <w:rsid w:val="00522186"/>
    <w:rsid w:val="00522260"/>
    <w:rsid w:val="00522308"/>
    <w:rsid w:val="0052234E"/>
    <w:rsid w:val="0052256E"/>
    <w:rsid w:val="005227C8"/>
    <w:rsid w:val="005228F1"/>
    <w:rsid w:val="00522B09"/>
    <w:rsid w:val="00522B85"/>
    <w:rsid w:val="00522CB7"/>
    <w:rsid w:val="00522DBA"/>
    <w:rsid w:val="0052314A"/>
    <w:rsid w:val="005231CD"/>
    <w:rsid w:val="005231DA"/>
    <w:rsid w:val="005232C9"/>
    <w:rsid w:val="005238FD"/>
    <w:rsid w:val="00523A76"/>
    <w:rsid w:val="00523BA4"/>
    <w:rsid w:val="00523D4C"/>
    <w:rsid w:val="00523FBE"/>
    <w:rsid w:val="0052442A"/>
    <w:rsid w:val="005248EF"/>
    <w:rsid w:val="005249C4"/>
    <w:rsid w:val="00524E79"/>
    <w:rsid w:val="00524F00"/>
    <w:rsid w:val="005251E0"/>
    <w:rsid w:val="00525258"/>
    <w:rsid w:val="00525449"/>
    <w:rsid w:val="005255F9"/>
    <w:rsid w:val="00525F64"/>
    <w:rsid w:val="00526129"/>
    <w:rsid w:val="0052614D"/>
    <w:rsid w:val="0052620D"/>
    <w:rsid w:val="00526817"/>
    <w:rsid w:val="005271E0"/>
    <w:rsid w:val="00527349"/>
    <w:rsid w:val="005276BA"/>
    <w:rsid w:val="0052794E"/>
    <w:rsid w:val="00527BAB"/>
    <w:rsid w:val="00527C01"/>
    <w:rsid w:val="0053032E"/>
    <w:rsid w:val="00530638"/>
    <w:rsid w:val="00530997"/>
    <w:rsid w:val="00530C38"/>
    <w:rsid w:val="00530DAA"/>
    <w:rsid w:val="00530E42"/>
    <w:rsid w:val="005312C6"/>
    <w:rsid w:val="00531418"/>
    <w:rsid w:val="0053154C"/>
    <w:rsid w:val="00531586"/>
    <w:rsid w:val="00531718"/>
    <w:rsid w:val="005319AF"/>
    <w:rsid w:val="00531CB9"/>
    <w:rsid w:val="00532565"/>
    <w:rsid w:val="005325B1"/>
    <w:rsid w:val="00532BD9"/>
    <w:rsid w:val="00532BE9"/>
    <w:rsid w:val="00532D13"/>
    <w:rsid w:val="00532EA2"/>
    <w:rsid w:val="00532FD8"/>
    <w:rsid w:val="0053312C"/>
    <w:rsid w:val="0053341F"/>
    <w:rsid w:val="005335CE"/>
    <w:rsid w:val="0053362E"/>
    <w:rsid w:val="0053377E"/>
    <w:rsid w:val="00533803"/>
    <w:rsid w:val="005338B0"/>
    <w:rsid w:val="005339C9"/>
    <w:rsid w:val="00533A8D"/>
    <w:rsid w:val="00533F5F"/>
    <w:rsid w:val="0053440E"/>
    <w:rsid w:val="00534778"/>
    <w:rsid w:val="0053486E"/>
    <w:rsid w:val="00534BFF"/>
    <w:rsid w:val="00534DB2"/>
    <w:rsid w:val="00534ED0"/>
    <w:rsid w:val="00534F1F"/>
    <w:rsid w:val="00534FE0"/>
    <w:rsid w:val="005352E1"/>
    <w:rsid w:val="00535494"/>
    <w:rsid w:val="0053554F"/>
    <w:rsid w:val="00535812"/>
    <w:rsid w:val="0053599E"/>
    <w:rsid w:val="00535AED"/>
    <w:rsid w:val="00535CBC"/>
    <w:rsid w:val="0053608B"/>
    <w:rsid w:val="005367F3"/>
    <w:rsid w:val="00536C3C"/>
    <w:rsid w:val="0053700C"/>
    <w:rsid w:val="00537551"/>
    <w:rsid w:val="00537DC8"/>
    <w:rsid w:val="00537EC5"/>
    <w:rsid w:val="0053C7A8"/>
    <w:rsid w:val="0054008E"/>
    <w:rsid w:val="00540226"/>
    <w:rsid w:val="00540343"/>
    <w:rsid w:val="00540494"/>
    <w:rsid w:val="00540800"/>
    <w:rsid w:val="005409AC"/>
    <w:rsid w:val="0054120A"/>
    <w:rsid w:val="005415F5"/>
    <w:rsid w:val="005417DB"/>
    <w:rsid w:val="00541848"/>
    <w:rsid w:val="00541850"/>
    <w:rsid w:val="00541889"/>
    <w:rsid w:val="00541994"/>
    <w:rsid w:val="005419D6"/>
    <w:rsid w:val="00541B8E"/>
    <w:rsid w:val="00541C71"/>
    <w:rsid w:val="00542109"/>
    <w:rsid w:val="00542133"/>
    <w:rsid w:val="005421EA"/>
    <w:rsid w:val="005422F7"/>
    <w:rsid w:val="00542537"/>
    <w:rsid w:val="005427CD"/>
    <w:rsid w:val="00542899"/>
    <w:rsid w:val="00542932"/>
    <w:rsid w:val="00542F0B"/>
    <w:rsid w:val="0054304F"/>
    <w:rsid w:val="00543358"/>
    <w:rsid w:val="005436DF"/>
    <w:rsid w:val="00543AC3"/>
    <w:rsid w:val="00543C54"/>
    <w:rsid w:val="005440B6"/>
    <w:rsid w:val="005442A4"/>
    <w:rsid w:val="005442BD"/>
    <w:rsid w:val="005443C7"/>
    <w:rsid w:val="00544708"/>
    <w:rsid w:val="005447EE"/>
    <w:rsid w:val="00544885"/>
    <w:rsid w:val="00544904"/>
    <w:rsid w:val="00544C20"/>
    <w:rsid w:val="00544CFA"/>
    <w:rsid w:val="00544D42"/>
    <w:rsid w:val="00544EA6"/>
    <w:rsid w:val="005451B9"/>
    <w:rsid w:val="0054533E"/>
    <w:rsid w:val="00545CDB"/>
    <w:rsid w:val="005463E6"/>
    <w:rsid w:val="005463E9"/>
    <w:rsid w:val="0054640E"/>
    <w:rsid w:val="005465CE"/>
    <w:rsid w:val="00546737"/>
    <w:rsid w:val="00546CCB"/>
    <w:rsid w:val="00546E0D"/>
    <w:rsid w:val="00546F2D"/>
    <w:rsid w:val="005470BB"/>
    <w:rsid w:val="0054784A"/>
    <w:rsid w:val="005478C3"/>
    <w:rsid w:val="005478E3"/>
    <w:rsid w:val="0054794A"/>
    <w:rsid w:val="00547E91"/>
    <w:rsid w:val="00547FA8"/>
    <w:rsid w:val="00547FE2"/>
    <w:rsid w:val="00550302"/>
    <w:rsid w:val="00550310"/>
    <w:rsid w:val="00550457"/>
    <w:rsid w:val="00550A14"/>
    <w:rsid w:val="00550C60"/>
    <w:rsid w:val="00550D81"/>
    <w:rsid w:val="00550FAB"/>
    <w:rsid w:val="005510EC"/>
    <w:rsid w:val="0055114E"/>
    <w:rsid w:val="00551C9D"/>
    <w:rsid w:val="00551CFE"/>
    <w:rsid w:val="00551D4D"/>
    <w:rsid w:val="00552474"/>
    <w:rsid w:val="00552636"/>
    <w:rsid w:val="00552983"/>
    <w:rsid w:val="00552A89"/>
    <w:rsid w:val="00552B06"/>
    <w:rsid w:val="00552D18"/>
    <w:rsid w:val="00552DD7"/>
    <w:rsid w:val="00553196"/>
    <w:rsid w:val="0055372D"/>
    <w:rsid w:val="005537DE"/>
    <w:rsid w:val="00553957"/>
    <w:rsid w:val="0055395E"/>
    <w:rsid w:val="0055421C"/>
    <w:rsid w:val="0055428C"/>
    <w:rsid w:val="00554626"/>
    <w:rsid w:val="00554656"/>
    <w:rsid w:val="00554DAE"/>
    <w:rsid w:val="00555886"/>
    <w:rsid w:val="00555AB6"/>
    <w:rsid w:val="00555D01"/>
    <w:rsid w:val="00556087"/>
    <w:rsid w:val="00556614"/>
    <w:rsid w:val="00556735"/>
    <w:rsid w:val="005567D3"/>
    <w:rsid w:val="00556BBA"/>
    <w:rsid w:val="00556DA3"/>
    <w:rsid w:val="00557008"/>
    <w:rsid w:val="00557337"/>
    <w:rsid w:val="005574B5"/>
    <w:rsid w:val="00557B8E"/>
    <w:rsid w:val="00557BC7"/>
    <w:rsid w:val="00557DD5"/>
    <w:rsid w:val="00557E21"/>
    <w:rsid w:val="00557F92"/>
    <w:rsid w:val="00560091"/>
    <w:rsid w:val="005600B4"/>
    <w:rsid w:val="005603DF"/>
    <w:rsid w:val="005606A1"/>
    <w:rsid w:val="005607F6"/>
    <w:rsid w:val="00560AA8"/>
    <w:rsid w:val="00560CC6"/>
    <w:rsid w:val="00560E8E"/>
    <w:rsid w:val="00560EC6"/>
    <w:rsid w:val="00560F12"/>
    <w:rsid w:val="00561209"/>
    <w:rsid w:val="0056128B"/>
    <w:rsid w:val="00561400"/>
    <w:rsid w:val="00561450"/>
    <w:rsid w:val="005615A3"/>
    <w:rsid w:val="005617F1"/>
    <w:rsid w:val="00561EE7"/>
    <w:rsid w:val="00561F0F"/>
    <w:rsid w:val="00562094"/>
    <w:rsid w:val="00562222"/>
    <w:rsid w:val="00562226"/>
    <w:rsid w:val="005623AB"/>
    <w:rsid w:val="00562487"/>
    <w:rsid w:val="005629B9"/>
    <w:rsid w:val="00562B8F"/>
    <w:rsid w:val="00562EAE"/>
    <w:rsid w:val="00562FAB"/>
    <w:rsid w:val="005632E2"/>
    <w:rsid w:val="005635E7"/>
    <w:rsid w:val="00563854"/>
    <w:rsid w:val="00563C68"/>
    <w:rsid w:val="00563D82"/>
    <w:rsid w:val="00563FFA"/>
    <w:rsid w:val="005642B3"/>
    <w:rsid w:val="0056461F"/>
    <w:rsid w:val="005647E4"/>
    <w:rsid w:val="00564B95"/>
    <w:rsid w:val="00564F70"/>
    <w:rsid w:val="00564F7C"/>
    <w:rsid w:val="00565045"/>
    <w:rsid w:val="00565531"/>
    <w:rsid w:val="00565642"/>
    <w:rsid w:val="0056573B"/>
    <w:rsid w:val="0056582B"/>
    <w:rsid w:val="00565D19"/>
    <w:rsid w:val="00565E42"/>
    <w:rsid w:val="00565F88"/>
    <w:rsid w:val="0056601D"/>
    <w:rsid w:val="005662D8"/>
    <w:rsid w:val="00566630"/>
    <w:rsid w:val="00566728"/>
    <w:rsid w:val="00566777"/>
    <w:rsid w:val="00566888"/>
    <w:rsid w:val="005668C3"/>
    <w:rsid w:val="0056699B"/>
    <w:rsid w:val="00566D67"/>
    <w:rsid w:val="00566E64"/>
    <w:rsid w:val="00566EDF"/>
    <w:rsid w:val="005673B3"/>
    <w:rsid w:val="005673E6"/>
    <w:rsid w:val="00567755"/>
    <w:rsid w:val="00567B5B"/>
    <w:rsid w:val="00567CC3"/>
    <w:rsid w:val="00567E92"/>
    <w:rsid w:val="00570807"/>
    <w:rsid w:val="00570C76"/>
    <w:rsid w:val="00570D51"/>
    <w:rsid w:val="00570FFA"/>
    <w:rsid w:val="005711BE"/>
    <w:rsid w:val="00571269"/>
    <w:rsid w:val="005712A3"/>
    <w:rsid w:val="00571530"/>
    <w:rsid w:val="0057194A"/>
    <w:rsid w:val="00571E8B"/>
    <w:rsid w:val="00571F31"/>
    <w:rsid w:val="005727C6"/>
    <w:rsid w:val="005728F7"/>
    <w:rsid w:val="00572A00"/>
    <w:rsid w:val="00572B14"/>
    <w:rsid w:val="00572B7D"/>
    <w:rsid w:val="00572FFB"/>
    <w:rsid w:val="00573089"/>
    <w:rsid w:val="00573219"/>
    <w:rsid w:val="00573300"/>
    <w:rsid w:val="005733FE"/>
    <w:rsid w:val="00573978"/>
    <w:rsid w:val="00573C79"/>
    <w:rsid w:val="00573D5E"/>
    <w:rsid w:val="00573DA7"/>
    <w:rsid w:val="00573E10"/>
    <w:rsid w:val="00573F26"/>
    <w:rsid w:val="0057422D"/>
    <w:rsid w:val="005742D0"/>
    <w:rsid w:val="00574397"/>
    <w:rsid w:val="00574534"/>
    <w:rsid w:val="005745B0"/>
    <w:rsid w:val="005746D0"/>
    <w:rsid w:val="005748DD"/>
    <w:rsid w:val="005748F4"/>
    <w:rsid w:val="00574A4B"/>
    <w:rsid w:val="00574E22"/>
    <w:rsid w:val="005751FD"/>
    <w:rsid w:val="00575239"/>
    <w:rsid w:val="00575A17"/>
    <w:rsid w:val="00575B57"/>
    <w:rsid w:val="00575EAB"/>
    <w:rsid w:val="0057600E"/>
    <w:rsid w:val="0057651A"/>
    <w:rsid w:val="00576746"/>
    <w:rsid w:val="00576850"/>
    <w:rsid w:val="00576BFD"/>
    <w:rsid w:val="00576D9C"/>
    <w:rsid w:val="00576EC1"/>
    <w:rsid w:val="00577240"/>
    <w:rsid w:val="005772AD"/>
    <w:rsid w:val="005772F8"/>
    <w:rsid w:val="00577342"/>
    <w:rsid w:val="00577734"/>
    <w:rsid w:val="00577DDA"/>
    <w:rsid w:val="00577E4B"/>
    <w:rsid w:val="00577EE5"/>
    <w:rsid w:val="005800AF"/>
    <w:rsid w:val="005803C1"/>
    <w:rsid w:val="00580956"/>
    <w:rsid w:val="00580A3C"/>
    <w:rsid w:val="00580B03"/>
    <w:rsid w:val="00580FF4"/>
    <w:rsid w:val="00581173"/>
    <w:rsid w:val="00581319"/>
    <w:rsid w:val="005813CB"/>
    <w:rsid w:val="00581645"/>
    <w:rsid w:val="00581699"/>
    <w:rsid w:val="00581974"/>
    <w:rsid w:val="00581C08"/>
    <w:rsid w:val="00581F81"/>
    <w:rsid w:val="005822E7"/>
    <w:rsid w:val="00582726"/>
    <w:rsid w:val="005828C3"/>
    <w:rsid w:val="00582BD8"/>
    <w:rsid w:val="00583234"/>
    <w:rsid w:val="0058337D"/>
    <w:rsid w:val="0058350D"/>
    <w:rsid w:val="0058352F"/>
    <w:rsid w:val="005837AA"/>
    <w:rsid w:val="005839FE"/>
    <w:rsid w:val="00583DD8"/>
    <w:rsid w:val="00583E31"/>
    <w:rsid w:val="00583E8B"/>
    <w:rsid w:val="00583EAE"/>
    <w:rsid w:val="0058407F"/>
    <w:rsid w:val="00584232"/>
    <w:rsid w:val="00584282"/>
    <w:rsid w:val="005842AE"/>
    <w:rsid w:val="00584774"/>
    <w:rsid w:val="00584AF7"/>
    <w:rsid w:val="00584B3B"/>
    <w:rsid w:val="00584EAC"/>
    <w:rsid w:val="00584EF7"/>
    <w:rsid w:val="0058502A"/>
    <w:rsid w:val="00585404"/>
    <w:rsid w:val="005854D5"/>
    <w:rsid w:val="0058589A"/>
    <w:rsid w:val="00585B04"/>
    <w:rsid w:val="00585B69"/>
    <w:rsid w:val="00585EB6"/>
    <w:rsid w:val="00585EDB"/>
    <w:rsid w:val="0058612F"/>
    <w:rsid w:val="0058643F"/>
    <w:rsid w:val="00586BEF"/>
    <w:rsid w:val="00586EC4"/>
    <w:rsid w:val="00586F67"/>
    <w:rsid w:val="00586FCD"/>
    <w:rsid w:val="00586FDD"/>
    <w:rsid w:val="00587182"/>
    <w:rsid w:val="00587316"/>
    <w:rsid w:val="00587532"/>
    <w:rsid w:val="00587624"/>
    <w:rsid w:val="00587802"/>
    <w:rsid w:val="00587D24"/>
    <w:rsid w:val="00587E74"/>
    <w:rsid w:val="00587EDF"/>
    <w:rsid w:val="00587F6F"/>
    <w:rsid w:val="0058CF98"/>
    <w:rsid w:val="00590537"/>
    <w:rsid w:val="005905D6"/>
    <w:rsid w:val="0059078B"/>
    <w:rsid w:val="005908C5"/>
    <w:rsid w:val="005909AC"/>
    <w:rsid w:val="00590ACB"/>
    <w:rsid w:val="00590B1F"/>
    <w:rsid w:val="00590EE9"/>
    <w:rsid w:val="005912B7"/>
    <w:rsid w:val="005915AF"/>
    <w:rsid w:val="005915B8"/>
    <w:rsid w:val="00591802"/>
    <w:rsid w:val="005918E8"/>
    <w:rsid w:val="00591A5D"/>
    <w:rsid w:val="00591DAA"/>
    <w:rsid w:val="0059203A"/>
    <w:rsid w:val="005922B1"/>
    <w:rsid w:val="005922DC"/>
    <w:rsid w:val="00592575"/>
    <w:rsid w:val="005928FB"/>
    <w:rsid w:val="00592B0D"/>
    <w:rsid w:val="00592BC8"/>
    <w:rsid w:val="00592CFD"/>
    <w:rsid w:val="00592D2C"/>
    <w:rsid w:val="00592E81"/>
    <w:rsid w:val="00593106"/>
    <w:rsid w:val="005933E8"/>
    <w:rsid w:val="0059341F"/>
    <w:rsid w:val="00593618"/>
    <w:rsid w:val="00593663"/>
    <w:rsid w:val="00593755"/>
    <w:rsid w:val="00593FA0"/>
    <w:rsid w:val="00594050"/>
    <w:rsid w:val="00594104"/>
    <w:rsid w:val="0059459E"/>
    <w:rsid w:val="005947CB"/>
    <w:rsid w:val="005949C0"/>
    <w:rsid w:val="0059529A"/>
    <w:rsid w:val="005955E8"/>
    <w:rsid w:val="00595600"/>
    <w:rsid w:val="005956D8"/>
    <w:rsid w:val="00595AA2"/>
    <w:rsid w:val="00595EF9"/>
    <w:rsid w:val="00595F02"/>
    <w:rsid w:val="005960CB"/>
    <w:rsid w:val="00596486"/>
    <w:rsid w:val="005966BE"/>
    <w:rsid w:val="00596892"/>
    <w:rsid w:val="00596BA5"/>
    <w:rsid w:val="0059711F"/>
    <w:rsid w:val="00597192"/>
    <w:rsid w:val="00597480"/>
    <w:rsid w:val="00597A1E"/>
    <w:rsid w:val="00597DE1"/>
    <w:rsid w:val="00597EE5"/>
    <w:rsid w:val="00597FD7"/>
    <w:rsid w:val="005A0366"/>
    <w:rsid w:val="005A06EB"/>
    <w:rsid w:val="005A0778"/>
    <w:rsid w:val="005A07CF"/>
    <w:rsid w:val="005A083C"/>
    <w:rsid w:val="005A0971"/>
    <w:rsid w:val="005A0BE1"/>
    <w:rsid w:val="005A105F"/>
    <w:rsid w:val="005A1071"/>
    <w:rsid w:val="005A1280"/>
    <w:rsid w:val="005A1541"/>
    <w:rsid w:val="005A1543"/>
    <w:rsid w:val="005A18D7"/>
    <w:rsid w:val="005A19CC"/>
    <w:rsid w:val="005A1AC0"/>
    <w:rsid w:val="005A1BC3"/>
    <w:rsid w:val="005A208B"/>
    <w:rsid w:val="005A2218"/>
    <w:rsid w:val="005A2521"/>
    <w:rsid w:val="005A27D8"/>
    <w:rsid w:val="005A2851"/>
    <w:rsid w:val="005A2986"/>
    <w:rsid w:val="005A29FD"/>
    <w:rsid w:val="005A2B8A"/>
    <w:rsid w:val="005A2DF6"/>
    <w:rsid w:val="005A3035"/>
    <w:rsid w:val="005A323D"/>
    <w:rsid w:val="005A3497"/>
    <w:rsid w:val="005A3781"/>
    <w:rsid w:val="005A396A"/>
    <w:rsid w:val="005A3DC1"/>
    <w:rsid w:val="005A3E90"/>
    <w:rsid w:val="005A434B"/>
    <w:rsid w:val="005A436F"/>
    <w:rsid w:val="005A4512"/>
    <w:rsid w:val="005A4925"/>
    <w:rsid w:val="005A4B69"/>
    <w:rsid w:val="005A4C11"/>
    <w:rsid w:val="005A4D58"/>
    <w:rsid w:val="005A4DBD"/>
    <w:rsid w:val="005A50AB"/>
    <w:rsid w:val="005A50D5"/>
    <w:rsid w:val="005A5262"/>
    <w:rsid w:val="005A556B"/>
    <w:rsid w:val="005A55C9"/>
    <w:rsid w:val="005A593F"/>
    <w:rsid w:val="005A5A4F"/>
    <w:rsid w:val="005A5B6F"/>
    <w:rsid w:val="005A600C"/>
    <w:rsid w:val="005A605B"/>
    <w:rsid w:val="005A619C"/>
    <w:rsid w:val="005A6301"/>
    <w:rsid w:val="005A66F0"/>
    <w:rsid w:val="005A677C"/>
    <w:rsid w:val="005A684B"/>
    <w:rsid w:val="005A6A20"/>
    <w:rsid w:val="005A6EA4"/>
    <w:rsid w:val="005A708D"/>
    <w:rsid w:val="005A7148"/>
    <w:rsid w:val="005A726F"/>
    <w:rsid w:val="005A7456"/>
    <w:rsid w:val="005A7FFD"/>
    <w:rsid w:val="005B00D0"/>
    <w:rsid w:val="005B0143"/>
    <w:rsid w:val="005B0373"/>
    <w:rsid w:val="005B08EA"/>
    <w:rsid w:val="005B0CDB"/>
    <w:rsid w:val="005B0E26"/>
    <w:rsid w:val="005B0FE5"/>
    <w:rsid w:val="005B0FF1"/>
    <w:rsid w:val="005B11F7"/>
    <w:rsid w:val="005B132A"/>
    <w:rsid w:val="005B152E"/>
    <w:rsid w:val="005B1712"/>
    <w:rsid w:val="005B1731"/>
    <w:rsid w:val="005B1922"/>
    <w:rsid w:val="005B1A28"/>
    <w:rsid w:val="005B1A2E"/>
    <w:rsid w:val="005B1BAF"/>
    <w:rsid w:val="005B1F24"/>
    <w:rsid w:val="005B2252"/>
    <w:rsid w:val="005B2335"/>
    <w:rsid w:val="005B23C0"/>
    <w:rsid w:val="005B258E"/>
    <w:rsid w:val="005B2590"/>
    <w:rsid w:val="005B27DB"/>
    <w:rsid w:val="005B28CE"/>
    <w:rsid w:val="005B2A7E"/>
    <w:rsid w:val="005B2CF5"/>
    <w:rsid w:val="005B2DCE"/>
    <w:rsid w:val="005B2DD2"/>
    <w:rsid w:val="005B2E74"/>
    <w:rsid w:val="005B3065"/>
    <w:rsid w:val="005B37F5"/>
    <w:rsid w:val="005B3856"/>
    <w:rsid w:val="005B3D18"/>
    <w:rsid w:val="005B3E0F"/>
    <w:rsid w:val="005B4035"/>
    <w:rsid w:val="005B41C8"/>
    <w:rsid w:val="005B43D4"/>
    <w:rsid w:val="005B4403"/>
    <w:rsid w:val="005B45FA"/>
    <w:rsid w:val="005B469B"/>
    <w:rsid w:val="005B477C"/>
    <w:rsid w:val="005B4A6D"/>
    <w:rsid w:val="005B4C89"/>
    <w:rsid w:val="005B4D65"/>
    <w:rsid w:val="005B4EB5"/>
    <w:rsid w:val="005B4F60"/>
    <w:rsid w:val="005B58AC"/>
    <w:rsid w:val="005B5B5F"/>
    <w:rsid w:val="005B5ECB"/>
    <w:rsid w:val="005B5ECE"/>
    <w:rsid w:val="005B5F80"/>
    <w:rsid w:val="005B6094"/>
    <w:rsid w:val="005B617C"/>
    <w:rsid w:val="005B659D"/>
    <w:rsid w:val="005B6938"/>
    <w:rsid w:val="005B6A71"/>
    <w:rsid w:val="005B6A78"/>
    <w:rsid w:val="005B6C31"/>
    <w:rsid w:val="005B727A"/>
    <w:rsid w:val="005B7397"/>
    <w:rsid w:val="005B7783"/>
    <w:rsid w:val="005B77A2"/>
    <w:rsid w:val="005B7808"/>
    <w:rsid w:val="005C00A3"/>
    <w:rsid w:val="005C0416"/>
    <w:rsid w:val="005C0477"/>
    <w:rsid w:val="005C06FD"/>
    <w:rsid w:val="005C0AF2"/>
    <w:rsid w:val="005C0C10"/>
    <w:rsid w:val="005C1456"/>
    <w:rsid w:val="005C15A6"/>
    <w:rsid w:val="005C176D"/>
    <w:rsid w:val="005C179C"/>
    <w:rsid w:val="005C1C74"/>
    <w:rsid w:val="005C1E5C"/>
    <w:rsid w:val="005C2179"/>
    <w:rsid w:val="005C2197"/>
    <w:rsid w:val="005C2204"/>
    <w:rsid w:val="005C2360"/>
    <w:rsid w:val="005C23EC"/>
    <w:rsid w:val="005C2438"/>
    <w:rsid w:val="005C2AA5"/>
    <w:rsid w:val="005C2AA8"/>
    <w:rsid w:val="005C30A6"/>
    <w:rsid w:val="005C31A2"/>
    <w:rsid w:val="005C3373"/>
    <w:rsid w:val="005C33BA"/>
    <w:rsid w:val="005C360B"/>
    <w:rsid w:val="005C37BE"/>
    <w:rsid w:val="005C38C4"/>
    <w:rsid w:val="005C3905"/>
    <w:rsid w:val="005C3C8C"/>
    <w:rsid w:val="005C3CA1"/>
    <w:rsid w:val="005C43EF"/>
    <w:rsid w:val="005C4676"/>
    <w:rsid w:val="005C478D"/>
    <w:rsid w:val="005C4AD2"/>
    <w:rsid w:val="005C4C51"/>
    <w:rsid w:val="005C4E20"/>
    <w:rsid w:val="005C520D"/>
    <w:rsid w:val="005C5453"/>
    <w:rsid w:val="005C5493"/>
    <w:rsid w:val="005C5620"/>
    <w:rsid w:val="005C57FD"/>
    <w:rsid w:val="005C5951"/>
    <w:rsid w:val="005C5B81"/>
    <w:rsid w:val="005C5CEB"/>
    <w:rsid w:val="005C5CFD"/>
    <w:rsid w:val="005C5D65"/>
    <w:rsid w:val="005C5D85"/>
    <w:rsid w:val="005C5F18"/>
    <w:rsid w:val="005C606A"/>
    <w:rsid w:val="005C60C3"/>
    <w:rsid w:val="005C6102"/>
    <w:rsid w:val="005C6108"/>
    <w:rsid w:val="005C6124"/>
    <w:rsid w:val="005C621B"/>
    <w:rsid w:val="005C6A9B"/>
    <w:rsid w:val="005C6BE5"/>
    <w:rsid w:val="005C6F7D"/>
    <w:rsid w:val="005C7145"/>
    <w:rsid w:val="005C74AD"/>
    <w:rsid w:val="005C7532"/>
    <w:rsid w:val="005C7760"/>
    <w:rsid w:val="005C794B"/>
    <w:rsid w:val="005C7E90"/>
    <w:rsid w:val="005C7F10"/>
    <w:rsid w:val="005D0031"/>
    <w:rsid w:val="005D0060"/>
    <w:rsid w:val="005D01F7"/>
    <w:rsid w:val="005D03B7"/>
    <w:rsid w:val="005D0638"/>
    <w:rsid w:val="005D0969"/>
    <w:rsid w:val="005D0A9F"/>
    <w:rsid w:val="005D0BAC"/>
    <w:rsid w:val="005D0E0B"/>
    <w:rsid w:val="005D0E3A"/>
    <w:rsid w:val="005D101A"/>
    <w:rsid w:val="005D140F"/>
    <w:rsid w:val="005D1415"/>
    <w:rsid w:val="005D14A7"/>
    <w:rsid w:val="005D1708"/>
    <w:rsid w:val="005D1999"/>
    <w:rsid w:val="005D1AA1"/>
    <w:rsid w:val="005D1D15"/>
    <w:rsid w:val="005D1D68"/>
    <w:rsid w:val="005D1E11"/>
    <w:rsid w:val="005D1EFD"/>
    <w:rsid w:val="005D264D"/>
    <w:rsid w:val="005D27AA"/>
    <w:rsid w:val="005D29E4"/>
    <w:rsid w:val="005D2B1A"/>
    <w:rsid w:val="005D2CC0"/>
    <w:rsid w:val="005D2FBB"/>
    <w:rsid w:val="005D2FEC"/>
    <w:rsid w:val="005D30ED"/>
    <w:rsid w:val="005D3169"/>
    <w:rsid w:val="005D33EC"/>
    <w:rsid w:val="005D35B4"/>
    <w:rsid w:val="005D35E9"/>
    <w:rsid w:val="005D3968"/>
    <w:rsid w:val="005D39A7"/>
    <w:rsid w:val="005D3A7B"/>
    <w:rsid w:val="005D3A81"/>
    <w:rsid w:val="005D3B4D"/>
    <w:rsid w:val="005D403C"/>
    <w:rsid w:val="005D41DB"/>
    <w:rsid w:val="005D4579"/>
    <w:rsid w:val="005D461D"/>
    <w:rsid w:val="005D475D"/>
    <w:rsid w:val="005D4BC0"/>
    <w:rsid w:val="005D4F84"/>
    <w:rsid w:val="005D4FD3"/>
    <w:rsid w:val="005D513D"/>
    <w:rsid w:val="005D5573"/>
    <w:rsid w:val="005D56DB"/>
    <w:rsid w:val="005D5A4E"/>
    <w:rsid w:val="005D5D0F"/>
    <w:rsid w:val="005D5EA8"/>
    <w:rsid w:val="005D5F80"/>
    <w:rsid w:val="005D6587"/>
    <w:rsid w:val="005D6793"/>
    <w:rsid w:val="005D6ED3"/>
    <w:rsid w:val="005D70DC"/>
    <w:rsid w:val="005D70E5"/>
    <w:rsid w:val="005D76E8"/>
    <w:rsid w:val="005D7756"/>
    <w:rsid w:val="005D7DF7"/>
    <w:rsid w:val="005D7F97"/>
    <w:rsid w:val="005E0008"/>
    <w:rsid w:val="005E025B"/>
    <w:rsid w:val="005E02FC"/>
    <w:rsid w:val="005E078B"/>
    <w:rsid w:val="005E079E"/>
    <w:rsid w:val="005E093E"/>
    <w:rsid w:val="005E0A5D"/>
    <w:rsid w:val="005E0D5C"/>
    <w:rsid w:val="005E0FF3"/>
    <w:rsid w:val="005E10D2"/>
    <w:rsid w:val="005E14F3"/>
    <w:rsid w:val="005E1741"/>
    <w:rsid w:val="005E17BB"/>
    <w:rsid w:val="005E18B9"/>
    <w:rsid w:val="005E1B5B"/>
    <w:rsid w:val="005E272C"/>
    <w:rsid w:val="005E28DC"/>
    <w:rsid w:val="005E2904"/>
    <w:rsid w:val="005E2C73"/>
    <w:rsid w:val="005E2CBC"/>
    <w:rsid w:val="005E3022"/>
    <w:rsid w:val="005E30EB"/>
    <w:rsid w:val="005E32E7"/>
    <w:rsid w:val="005E33EE"/>
    <w:rsid w:val="005E3404"/>
    <w:rsid w:val="005E356A"/>
    <w:rsid w:val="005E36DE"/>
    <w:rsid w:val="005E3840"/>
    <w:rsid w:val="005E41B4"/>
    <w:rsid w:val="005E41CE"/>
    <w:rsid w:val="005E42F7"/>
    <w:rsid w:val="005E43F3"/>
    <w:rsid w:val="005E46F7"/>
    <w:rsid w:val="005E47EF"/>
    <w:rsid w:val="005E482C"/>
    <w:rsid w:val="005E4D46"/>
    <w:rsid w:val="005E4D67"/>
    <w:rsid w:val="005E5052"/>
    <w:rsid w:val="005E546E"/>
    <w:rsid w:val="005E5587"/>
    <w:rsid w:val="005E55C5"/>
    <w:rsid w:val="005E55F5"/>
    <w:rsid w:val="005E5671"/>
    <w:rsid w:val="005E56BA"/>
    <w:rsid w:val="005E571B"/>
    <w:rsid w:val="005E5C47"/>
    <w:rsid w:val="005E5E93"/>
    <w:rsid w:val="005E5F89"/>
    <w:rsid w:val="005E60A5"/>
    <w:rsid w:val="005E6117"/>
    <w:rsid w:val="005E6148"/>
    <w:rsid w:val="005E6312"/>
    <w:rsid w:val="005E6333"/>
    <w:rsid w:val="005E6721"/>
    <w:rsid w:val="005E6A64"/>
    <w:rsid w:val="005E6EF4"/>
    <w:rsid w:val="005E773E"/>
    <w:rsid w:val="005E77EE"/>
    <w:rsid w:val="005E7830"/>
    <w:rsid w:val="005E789C"/>
    <w:rsid w:val="005E7977"/>
    <w:rsid w:val="005E79A5"/>
    <w:rsid w:val="005E7D29"/>
    <w:rsid w:val="005E7FD2"/>
    <w:rsid w:val="005EED2F"/>
    <w:rsid w:val="005F000E"/>
    <w:rsid w:val="005F01DA"/>
    <w:rsid w:val="005F04F9"/>
    <w:rsid w:val="005F07B4"/>
    <w:rsid w:val="005F0A53"/>
    <w:rsid w:val="005F0B81"/>
    <w:rsid w:val="005F0FDB"/>
    <w:rsid w:val="005F1020"/>
    <w:rsid w:val="005F1386"/>
    <w:rsid w:val="005F15B0"/>
    <w:rsid w:val="005F15F9"/>
    <w:rsid w:val="005F17A5"/>
    <w:rsid w:val="005F1890"/>
    <w:rsid w:val="005F1B4E"/>
    <w:rsid w:val="005F1CB2"/>
    <w:rsid w:val="005F1F30"/>
    <w:rsid w:val="005F204A"/>
    <w:rsid w:val="005F23BA"/>
    <w:rsid w:val="005F246D"/>
    <w:rsid w:val="005F29E3"/>
    <w:rsid w:val="005F3685"/>
    <w:rsid w:val="005F37D5"/>
    <w:rsid w:val="005F3957"/>
    <w:rsid w:val="005F3C05"/>
    <w:rsid w:val="005F3FC5"/>
    <w:rsid w:val="005F4623"/>
    <w:rsid w:val="005F4704"/>
    <w:rsid w:val="005F4D87"/>
    <w:rsid w:val="005F4D96"/>
    <w:rsid w:val="005F518D"/>
    <w:rsid w:val="005F5269"/>
    <w:rsid w:val="005F52CC"/>
    <w:rsid w:val="005F5332"/>
    <w:rsid w:val="005F53E3"/>
    <w:rsid w:val="005F53F2"/>
    <w:rsid w:val="005F5541"/>
    <w:rsid w:val="005F5868"/>
    <w:rsid w:val="005F58B6"/>
    <w:rsid w:val="005F5DC8"/>
    <w:rsid w:val="005F62CA"/>
    <w:rsid w:val="005F64BB"/>
    <w:rsid w:val="005F6877"/>
    <w:rsid w:val="005F6E48"/>
    <w:rsid w:val="005F6FD4"/>
    <w:rsid w:val="005F7201"/>
    <w:rsid w:val="005F7409"/>
    <w:rsid w:val="005F77D0"/>
    <w:rsid w:val="005F7AC4"/>
    <w:rsid w:val="005F7D4B"/>
    <w:rsid w:val="005F7E28"/>
    <w:rsid w:val="005F7E6F"/>
    <w:rsid w:val="005F7EC9"/>
    <w:rsid w:val="006000BC"/>
    <w:rsid w:val="00600359"/>
    <w:rsid w:val="006003A9"/>
    <w:rsid w:val="00600553"/>
    <w:rsid w:val="00600641"/>
    <w:rsid w:val="00600A1F"/>
    <w:rsid w:val="00600BF7"/>
    <w:rsid w:val="00600E0E"/>
    <w:rsid w:val="00600E6E"/>
    <w:rsid w:val="00601156"/>
    <w:rsid w:val="006013BD"/>
    <w:rsid w:val="0060145B"/>
    <w:rsid w:val="00601555"/>
    <w:rsid w:val="00601721"/>
    <w:rsid w:val="00601F68"/>
    <w:rsid w:val="0060207E"/>
    <w:rsid w:val="006020D3"/>
    <w:rsid w:val="00602195"/>
    <w:rsid w:val="006022DE"/>
    <w:rsid w:val="006025E8"/>
    <w:rsid w:val="00603021"/>
    <w:rsid w:val="00603070"/>
    <w:rsid w:val="0060379C"/>
    <w:rsid w:val="006037B7"/>
    <w:rsid w:val="00604448"/>
    <w:rsid w:val="0060459A"/>
    <w:rsid w:val="00604DD3"/>
    <w:rsid w:val="00604F95"/>
    <w:rsid w:val="00605452"/>
    <w:rsid w:val="006054FC"/>
    <w:rsid w:val="006055CF"/>
    <w:rsid w:val="00605C0D"/>
    <w:rsid w:val="00605D1F"/>
    <w:rsid w:val="00606860"/>
    <w:rsid w:val="00606939"/>
    <w:rsid w:val="00606A8E"/>
    <w:rsid w:val="00606BAE"/>
    <w:rsid w:val="00606D0B"/>
    <w:rsid w:val="0060701F"/>
    <w:rsid w:val="00607165"/>
    <w:rsid w:val="006076D4"/>
    <w:rsid w:val="00607829"/>
    <w:rsid w:val="00607C61"/>
    <w:rsid w:val="00607D59"/>
    <w:rsid w:val="00607DFF"/>
    <w:rsid w:val="0061001D"/>
    <w:rsid w:val="00610240"/>
    <w:rsid w:val="006104CD"/>
    <w:rsid w:val="00610B41"/>
    <w:rsid w:val="00610CEB"/>
    <w:rsid w:val="00610F08"/>
    <w:rsid w:val="0061136F"/>
    <w:rsid w:val="0061150D"/>
    <w:rsid w:val="006115BF"/>
    <w:rsid w:val="0061166D"/>
    <w:rsid w:val="006117FB"/>
    <w:rsid w:val="00611A24"/>
    <w:rsid w:val="00611A5C"/>
    <w:rsid w:val="00611C9B"/>
    <w:rsid w:val="006124EB"/>
    <w:rsid w:val="006125BD"/>
    <w:rsid w:val="00612630"/>
    <w:rsid w:val="00612890"/>
    <w:rsid w:val="00612ED3"/>
    <w:rsid w:val="00613009"/>
    <w:rsid w:val="0061342B"/>
    <w:rsid w:val="00613BC5"/>
    <w:rsid w:val="00613C13"/>
    <w:rsid w:val="00613E67"/>
    <w:rsid w:val="00614086"/>
    <w:rsid w:val="00614243"/>
    <w:rsid w:val="006144A6"/>
    <w:rsid w:val="00614A21"/>
    <w:rsid w:val="00614D1B"/>
    <w:rsid w:val="00614FFA"/>
    <w:rsid w:val="006158D6"/>
    <w:rsid w:val="00615A8A"/>
    <w:rsid w:val="00615C89"/>
    <w:rsid w:val="00615D4D"/>
    <w:rsid w:val="00615D89"/>
    <w:rsid w:val="0061609D"/>
    <w:rsid w:val="006167B5"/>
    <w:rsid w:val="0061691D"/>
    <w:rsid w:val="0061698E"/>
    <w:rsid w:val="006169E9"/>
    <w:rsid w:val="00616ACB"/>
    <w:rsid w:val="00616AEC"/>
    <w:rsid w:val="00617126"/>
    <w:rsid w:val="006172FA"/>
    <w:rsid w:val="00617A94"/>
    <w:rsid w:val="00617D63"/>
    <w:rsid w:val="00617DEC"/>
    <w:rsid w:val="00620006"/>
    <w:rsid w:val="00620081"/>
    <w:rsid w:val="006202A5"/>
    <w:rsid w:val="006202E0"/>
    <w:rsid w:val="006203F5"/>
    <w:rsid w:val="0062042F"/>
    <w:rsid w:val="00620456"/>
    <w:rsid w:val="00620535"/>
    <w:rsid w:val="006207A5"/>
    <w:rsid w:val="00620E40"/>
    <w:rsid w:val="00621080"/>
    <w:rsid w:val="00621354"/>
    <w:rsid w:val="006218A2"/>
    <w:rsid w:val="00621CDB"/>
    <w:rsid w:val="0062203A"/>
    <w:rsid w:val="006220AB"/>
    <w:rsid w:val="00622134"/>
    <w:rsid w:val="0062218F"/>
    <w:rsid w:val="00622780"/>
    <w:rsid w:val="00622AA5"/>
    <w:rsid w:val="00622B77"/>
    <w:rsid w:val="00622BA5"/>
    <w:rsid w:val="00622F32"/>
    <w:rsid w:val="00622FBF"/>
    <w:rsid w:val="00623038"/>
    <w:rsid w:val="00623537"/>
    <w:rsid w:val="00623B37"/>
    <w:rsid w:val="00623D1A"/>
    <w:rsid w:val="00623DB1"/>
    <w:rsid w:val="00623FC0"/>
    <w:rsid w:val="00624229"/>
    <w:rsid w:val="00624676"/>
    <w:rsid w:val="006246FA"/>
    <w:rsid w:val="00624AE4"/>
    <w:rsid w:val="00624CDB"/>
    <w:rsid w:val="00624DB7"/>
    <w:rsid w:val="00624F94"/>
    <w:rsid w:val="006251F6"/>
    <w:rsid w:val="00625244"/>
    <w:rsid w:val="00625300"/>
    <w:rsid w:val="00625521"/>
    <w:rsid w:val="006255F9"/>
    <w:rsid w:val="0062560A"/>
    <w:rsid w:val="00625DFF"/>
    <w:rsid w:val="00625E60"/>
    <w:rsid w:val="00625F4F"/>
    <w:rsid w:val="00625FB9"/>
    <w:rsid w:val="0062600B"/>
    <w:rsid w:val="0062618F"/>
    <w:rsid w:val="006262E5"/>
    <w:rsid w:val="0062631F"/>
    <w:rsid w:val="0062670B"/>
    <w:rsid w:val="006267F2"/>
    <w:rsid w:val="006268EE"/>
    <w:rsid w:val="00626A85"/>
    <w:rsid w:val="00627051"/>
    <w:rsid w:val="006270EB"/>
    <w:rsid w:val="006270F1"/>
    <w:rsid w:val="00627B93"/>
    <w:rsid w:val="00627C18"/>
    <w:rsid w:val="00627D28"/>
    <w:rsid w:val="00630214"/>
    <w:rsid w:val="006302F8"/>
    <w:rsid w:val="00630512"/>
    <w:rsid w:val="00630727"/>
    <w:rsid w:val="00630830"/>
    <w:rsid w:val="00630C16"/>
    <w:rsid w:val="006315CD"/>
    <w:rsid w:val="0063168C"/>
    <w:rsid w:val="006316C2"/>
    <w:rsid w:val="006316F0"/>
    <w:rsid w:val="006319F1"/>
    <w:rsid w:val="00631B6C"/>
    <w:rsid w:val="00631C9D"/>
    <w:rsid w:val="00631D65"/>
    <w:rsid w:val="00631FEB"/>
    <w:rsid w:val="00632187"/>
    <w:rsid w:val="006325AF"/>
    <w:rsid w:val="00632F83"/>
    <w:rsid w:val="00632FA4"/>
    <w:rsid w:val="0063321A"/>
    <w:rsid w:val="00633637"/>
    <w:rsid w:val="006338EA"/>
    <w:rsid w:val="00633B52"/>
    <w:rsid w:val="00633C44"/>
    <w:rsid w:val="00633D7C"/>
    <w:rsid w:val="00634201"/>
    <w:rsid w:val="0063425D"/>
    <w:rsid w:val="006343F1"/>
    <w:rsid w:val="00634BDA"/>
    <w:rsid w:val="006351E1"/>
    <w:rsid w:val="00635502"/>
    <w:rsid w:val="0063552D"/>
    <w:rsid w:val="006357F3"/>
    <w:rsid w:val="006359AB"/>
    <w:rsid w:val="00635E37"/>
    <w:rsid w:val="00635EE8"/>
    <w:rsid w:val="006364AB"/>
    <w:rsid w:val="0063651F"/>
    <w:rsid w:val="006366C3"/>
    <w:rsid w:val="006367DC"/>
    <w:rsid w:val="00636D5F"/>
    <w:rsid w:val="0063726C"/>
    <w:rsid w:val="0063746D"/>
    <w:rsid w:val="006374AE"/>
    <w:rsid w:val="006374BC"/>
    <w:rsid w:val="00637C7B"/>
    <w:rsid w:val="00640076"/>
    <w:rsid w:val="00640739"/>
    <w:rsid w:val="006409E6"/>
    <w:rsid w:val="00640B50"/>
    <w:rsid w:val="00640BD1"/>
    <w:rsid w:val="00640BF8"/>
    <w:rsid w:val="00640C73"/>
    <w:rsid w:val="00640E78"/>
    <w:rsid w:val="0064118A"/>
    <w:rsid w:val="0064127D"/>
    <w:rsid w:val="006418BA"/>
    <w:rsid w:val="00641D2B"/>
    <w:rsid w:val="00641F60"/>
    <w:rsid w:val="00641FBE"/>
    <w:rsid w:val="00642237"/>
    <w:rsid w:val="00642239"/>
    <w:rsid w:val="0064225A"/>
    <w:rsid w:val="00642325"/>
    <w:rsid w:val="00642402"/>
    <w:rsid w:val="00642A82"/>
    <w:rsid w:val="00642C16"/>
    <w:rsid w:val="00642F03"/>
    <w:rsid w:val="0064314F"/>
    <w:rsid w:val="0064319A"/>
    <w:rsid w:val="006432BD"/>
    <w:rsid w:val="0064346B"/>
    <w:rsid w:val="00643A17"/>
    <w:rsid w:val="00643A43"/>
    <w:rsid w:val="00643F21"/>
    <w:rsid w:val="006442F0"/>
    <w:rsid w:val="00644446"/>
    <w:rsid w:val="00644909"/>
    <w:rsid w:val="00644AE6"/>
    <w:rsid w:val="00644AF1"/>
    <w:rsid w:val="00644B22"/>
    <w:rsid w:val="00644C81"/>
    <w:rsid w:val="00644FB9"/>
    <w:rsid w:val="00645069"/>
    <w:rsid w:val="0064542F"/>
    <w:rsid w:val="00645787"/>
    <w:rsid w:val="00645E34"/>
    <w:rsid w:val="00645F8E"/>
    <w:rsid w:val="006460FA"/>
    <w:rsid w:val="006463BF"/>
    <w:rsid w:val="00646586"/>
    <w:rsid w:val="00646830"/>
    <w:rsid w:val="00646B48"/>
    <w:rsid w:val="00646BFE"/>
    <w:rsid w:val="00646F24"/>
    <w:rsid w:val="00647116"/>
    <w:rsid w:val="00647337"/>
    <w:rsid w:val="006473AE"/>
    <w:rsid w:val="006473EF"/>
    <w:rsid w:val="0064745A"/>
    <w:rsid w:val="006474C3"/>
    <w:rsid w:val="006474F8"/>
    <w:rsid w:val="00647534"/>
    <w:rsid w:val="00647551"/>
    <w:rsid w:val="0064768C"/>
    <w:rsid w:val="00647E5C"/>
    <w:rsid w:val="00647F2C"/>
    <w:rsid w:val="00647FBE"/>
    <w:rsid w:val="00650062"/>
    <w:rsid w:val="006500A9"/>
    <w:rsid w:val="006500DC"/>
    <w:rsid w:val="0065035F"/>
    <w:rsid w:val="006505AC"/>
    <w:rsid w:val="0065073C"/>
    <w:rsid w:val="00650851"/>
    <w:rsid w:val="00650B66"/>
    <w:rsid w:val="00650E83"/>
    <w:rsid w:val="00651214"/>
    <w:rsid w:val="006512E9"/>
    <w:rsid w:val="0065136F"/>
    <w:rsid w:val="0065144A"/>
    <w:rsid w:val="006518B9"/>
    <w:rsid w:val="00651E6C"/>
    <w:rsid w:val="006521F5"/>
    <w:rsid w:val="00652548"/>
    <w:rsid w:val="006525E8"/>
    <w:rsid w:val="0065275A"/>
    <w:rsid w:val="00652FCE"/>
    <w:rsid w:val="00653218"/>
    <w:rsid w:val="006532B9"/>
    <w:rsid w:val="00653309"/>
    <w:rsid w:val="00653391"/>
    <w:rsid w:val="0065347E"/>
    <w:rsid w:val="0065349D"/>
    <w:rsid w:val="006535CF"/>
    <w:rsid w:val="00653871"/>
    <w:rsid w:val="00653D7D"/>
    <w:rsid w:val="00653DC9"/>
    <w:rsid w:val="00653ED5"/>
    <w:rsid w:val="00653F6F"/>
    <w:rsid w:val="0065400C"/>
    <w:rsid w:val="0065403C"/>
    <w:rsid w:val="006540F3"/>
    <w:rsid w:val="006541E7"/>
    <w:rsid w:val="00654214"/>
    <w:rsid w:val="00654297"/>
    <w:rsid w:val="00654513"/>
    <w:rsid w:val="00654550"/>
    <w:rsid w:val="0065461A"/>
    <w:rsid w:val="0065480C"/>
    <w:rsid w:val="00654F00"/>
    <w:rsid w:val="00655033"/>
    <w:rsid w:val="00655955"/>
    <w:rsid w:val="00655C0F"/>
    <w:rsid w:val="00655CD2"/>
    <w:rsid w:val="00655DE8"/>
    <w:rsid w:val="00655E4E"/>
    <w:rsid w:val="00655F28"/>
    <w:rsid w:val="00656047"/>
    <w:rsid w:val="00656070"/>
    <w:rsid w:val="006560C2"/>
    <w:rsid w:val="0065622A"/>
    <w:rsid w:val="006564F9"/>
    <w:rsid w:val="006565E6"/>
    <w:rsid w:val="0065664F"/>
    <w:rsid w:val="00656A90"/>
    <w:rsid w:val="00656B08"/>
    <w:rsid w:val="00656C08"/>
    <w:rsid w:val="00657114"/>
    <w:rsid w:val="006573CF"/>
    <w:rsid w:val="00657A2C"/>
    <w:rsid w:val="0065C07F"/>
    <w:rsid w:val="0066013E"/>
    <w:rsid w:val="00660157"/>
    <w:rsid w:val="006604DC"/>
    <w:rsid w:val="00660677"/>
    <w:rsid w:val="0066147A"/>
    <w:rsid w:val="00661597"/>
    <w:rsid w:val="006616F9"/>
    <w:rsid w:val="00661863"/>
    <w:rsid w:val="00661866"/>
    <w:rsid w:val="006618C0"/>
    <w:rsid w:val="00661A33"/>
    <w:rsid w:val="00661B38"/>
    <w:rsid w:val="00661DC4"/>
    <w:rsid w:val="00661F85"/>
    <w:rsid w:val="00661FCF"/>
    <w:rsid w:val="006620BB"/>
    <w:rsid w:val="0066259A"/>
    <w:rsid w:val="006626CC"/>
    <w:rsid w:val="0066279F"/>
    <w:rsid w:val="00662A52"/>
    <w:rsid w:val="00662EFC"/>
    <w:rsid w:val="006631FC"/>
    <w:rsid w:val="006632AE"/>
    <w:rsid w:val="00663325"/>
    <w:rsid w:val="0066378E"/>
    <w:rsid w:val="006637AC"/>
    <w:rsid w:val="00663EBB"/>
    <w:rsid w:val="00663F0F"/>
    <w:rsid w:val="00663FFF"/>
    <w:rsid w:val="006640B5"/>
    <w:rsid w:val="006641EC"/>
    <w:rsid w:val="006646AB"/>
    <w:rsid w:val="00664CEE"/>
    <w:rsid w:val="00664E12"/>
    <w:rsid w:val="00664E38"/>
    <w:rsid w:val="00664EC9"/>
    <w:rsid w:val="00664F12"/>
    <w:rsid w:val="00664F4E"/>
    <w:rsid w:val="00664FC6"/>
    <w:rsid w:val="00664FCE"/>
    <w:rsid w:val="00665112"/>
    <w:rsid w:val="00665CC9"/>
    <w:rsid w:val="00665CD9"/>
    <w:rsid w:val="00665DEA"/>
    <w:rsid w:val="00665E0A"/>
    <w:rsid w:val="00665FF7"/>
    <w:rsid w:val="006661F9"/>
    <w:rsid w:val="0066626A"/>
    <w:rsid w:val="00666597"/>
    <w:rsid w:val="006665B6"/>
    <w:rsid w:val="00666AAA"/>
    <w:rsid w:val="00666CB7"/>
    <w:rsid w:val="00666E57"/>
    <w:rsid w:val="00666EBE"/>
    <w:rsid w:val="00666FEF"/>
    <w:rsid w:val="00667018"/>
    <w:rsid w:val="006672FF"/>
    <w:rsid w:val="0066771B"/>
    <w:rsid w:val="00667AAB"/>
    <w:rsid w:val="00667E07"/>
    <w:rsid w:val="00667EAB"/>
    <w:rsid w:val="00670487"/>
    <w:rsid w:val="00670986"/>
    <w:rsid w:val="00670DDA"/>
    <w:rsid w:val="006713C9"/>
    <w:rsid w:val="006715D4"/>
    <w:rsid w:val="00671631"/>
    <w:rsid w:val="00671955"/>
    <w:rsid w:val="00671EDB"/>
    <w:rsid w:val="00672099"/>
    <w:rsid w:val="0067215A"/>
    <w:rsid w:val="00672220"/>
    <w:rsid w:val="0067244B"/>
    <w:rsid w:val="00672755"/>
    <w:rsid w:val="006728D4"/>
    <w:rsid w:val="006729F8"/>
    <w:rsid w:val="00672C0A"/>
    <w:rsid w:val="00672EAE"/>
    <w:rsid w:val="00673605"/>
    <w:rsid w:val="00673D30"/>
    <w:rsid w:val="00673D77"/>
    <w:rsid w:val="00673E53"/>
    <w:rsid w:val="00673F31"/>
    <w:rsid w:val="00674134"/>
    <w:rsid w:val="00674553"/>
    <w:rsid w:val="00674708"/>
    <w:rsid w:val="00674ECC"/>
    <w:rsid w:val="006750BC"/>
    <w:rsid w:val="006751D9"/>
    <w:rsid w:val="0067530E"/>
    <w:rsid w:val="006755AE"/>
    <w:rsid w:val="006755F1"/>
    <w:rsid w:val="00675AA9"/>
    <w:rsid w:val="00675EE4"/>
    <w:rsid w:val="0067619F"/>
    <w:rsid w:val="00676391"/>
    <w:rsid w:val="0067640D"/>
    <w:rsid w:val="00676752"/>
    <w:rsid w:val="006768C5"/>
    <w:rsid w:val="00676C3D"/>
    <w:rsid w:val="00676F76"/>
    <w:rsid w:val="006771A8"/>
    <w:rsid w:val="0067721B"/>
    <w:rsid w:val="006773ED"/>
    <w:rsid w:val="0067757E"/>
    <w:rsid w:val="00677710"/>
    <w:rsid w:val="00677AA4"/>
    <w:rsid w:val="00677AC5"/>
    <w:rsid w:val="00677C84"/>
    <w:rsid w:val="00677F86"/>
    <w:rsid w:val="00677FB9"/>
    <w:rsid w:val="00677FC3"/>
    <w:rsid w:val="00677FC7"/>
    <w:rsid w:val="00680052"/>
    <w:rsid w:val="00680090"/>
    <w:rsid w:val="006800CA"/>
    <w:rsid w:val="00680578"/>
    <w:rsid w:val="0068074B"/>
    <w:rsid w:val="0068080B"/>
    <w:rsid w:val="00680E77"/>
    <w:rsid w:val="0068108D"/>
    <w:rsid w:val="00681B48"/>
    <w:rsid w:val="00681C68"/>
    <w:rsid w:val="00681E12"/>
    <w:rsid w:val="00681E35"/>
    <w:rsid w:val="00681E7C"/>
    <w:rsid w:val="00682182"/>
    <w:rsid w:val="00682569"/>
    <w:rsid w:val="00682594"/>
    <w:rsid w:val="00682624"/>
    <w:rsid w:val="006826ED"/>
    <w:rsid w:val="006828A6"/>
    <w:rsid w:val="00683009"/>
    <w:rsid w:val="006832E6"/>
    <w:rsid w:val="006832EA"/>
    <w:rsid w:val="00683330"/>
    <w:rsid w:val="006833FF"/>
    <w:rsid w:val="0068397E"/>
    <w:rsid w:val="00683A6B"/>
    <w:rsid w:val="006841C0"/>
    <w:rsid w:val="0068441E"/>
    <w:rsid w:val="00684506"/>
    <w:rsid w:val="006847B7"/>
    <w:rsid w:val="0068494F"/>
    <w:rsid w:val="006849FD"/>
    <w:rsid w:val="00684B56"/>
    <w:rsid w:val="00684DA9"/>
    <w:rsid w:val="006850FA"/>
    <w:rsid w:val="0068511A"/>
    <w:rsid w:val="00685396"/>
    <w:rsid w:val="0068544D"/>
    <w:rsid w:val="0068563E"/>
    <w:rsid w:val="0068567A"/>
    <w:rsid w:val="0068596C"/>
    <w:rsid w:val="00685A05"/>
    <w:rsid w:val="00685F34"/>
    <w:rsid w:val="006860E6"/>
    <w:rsid w:val="00686577"/>
    <w:rsid w:val="006866E3"/>
    <w:rsid w:val="00686DDA"/>
    <w:rsid w:val="00686E2E"/>
    <w:rsid w:val="00686EDC"/>
    <w:rsid w:val="0068705F"/>
    <w:rsid w:val="00687077"/>
    <w:rsid w:val="00687088"/>
    <w:rsid w:val="006870D3"/>
    <w:rsid w:val="00687B08"/>
    <w:rsid w:val="00687B71"/>
    <w:rsid w:val="00687BFC"/>
    <w:rsid w:val="00687D88"/>
    <w:rsid w:val="00687E54"/>
    <w:rsid w:val="00687FA2"/>
    <w:rsid w:val="0069018B"/>
    <w:rsid w:val="006901DF"/>
    <w:rsid w:val="006904CD"/>
    <w:rsid w:val="00690853"/>
    <w:rsid w:val="00690870"/>
    <w:rsid w:val="0069091B"/>
    <w:rsid w:val="00691353"/>
    <w:rsid w:val="00691380"/>
    <w:rsid w:val="00691467"/>
    <w:rsid w:val="006914BE"/>
    <w:rsid w:val="006914EE"/>
    <w:rsid w:val="00691A1D"/>
    <w:rsid w:val="00691AF3"/>
    <w:rsid w:val="00691B3E"/>
    <w:rsid w:val="00691D58"/>
    <w:rsid w:val="0069200F"/>
    <w:rsid w:val="00692398"/>
    <w:rsid w:val="006925B2"/>
    <w:rsid w:val="006928D1"/>
    <w:rsid w:val="0069297A"/>
    <w:rsid w:val="006929B7"/>
    <w:rsid w:val="00692A1C"/>
    <w:rsid w:val="00692A3D"/>
    <w:rsid w:val="00692B06"/>
    <w:rsid w:val="00692BBA"/>
    <w:rsid w:val="00692E8C"/>
    <w:rsid w:val="00692EE0"/>
    <w:rsid w:val="00692F44"/>
    <w:rsid w:val="006930C8"/>
    <w:rsid w:val="006932FB"/>
    <w:rsid w:val="00693361"/>
    <w:rsid w:val="00693532"/>
    <w:rsid w:val="00693EF0"/>
    <w:rsid w:val="00693F94"/>
    <w:rsid w:val="00694133"/>
    <w:rsid w:val="00694219"/>
    <w:rsid w:val="00694231"/>
    <w:rsid w:val="00694283"/>
    <w:rsid w:val="006942F2"/>
    <w:rsid w:val="00694313"/>
    <w:rsid w:val="0069447A"/>
    <w:rsid w:val="00694B00"/>
    <w:rsid w:val="006953F6"/>
    <w:rsid w:val="00695669"/>
    <w:rsid w:val="006956D6"/>
    <w:rsid w:val="006958A8"/>
    <w:rsid w:val="00695A1D"/>
    <w:rsid w:val="00695BC9"/>
    <w:rsid w:val="00695D0F"/>
    <w:rsid w:val="0069617E"/>
    <w:rsid w:val="00696340"/>
    <w:rsid w:val="00696415"/>
    <w:rsid w:val="0069665C"/>
    <w:rsid w:val="0069684A"/>
    <w:rsid w:val="00696B37"/>
    <w:rsid w:val="00696B69"/>
    <w:rsid w:val="0069725C"/>
    <w:rsid w:val="006972E2"/>
    <w:rsid w:val="0069744F"/>
    <w:rsid w:val="006974E8"/>
    <w:rsid w:val="00697538"/>
    <w:rsid w:val="006976A3"/>
    <w:rsid w:val="00697A6A"/>
    <w:rsid w:val="00697F20"/>
    <w:rsid w:val="006A018E"/>
    <w:rsid w:val="006A02B6"/>
    <w:rsid w:val="006A069E"/>
    <w:rsid w:val="006A070E"/>
    <w:rsid w:val="006A0884"/>
    <w:rsid w:val="006A09F3"/>
    <w:rsid w:val="006A0C57"/>
    <w:rsid w:val="006A0CB5"/>
    <w:rsid w:val="006A196F"/>
    <w:rsid w:val="006A1C1E"/>
    <w:rsid w:val="006A1C63"/>
    <w:rsid w:val="006A1CE8"/>
    <w:rsid w:val="006A1CF2"/>
    <w:rsid w:val="006A2074"/>
    <w:rsid w:val="006A247F"/>
    <w:rsid w:val="006A25E5"/>
    <w:rsid w:val="006A2CAC"/>
    <w:rsid w:val="006A2DEE"/>
    <w:rsid w:val="006A3084"/>
    <w:rsid w:val="006A318A"/>
    <w:rsid w:val="006A362E"/>
    <w:rsid w:val="006A3A3F"/>
    <w:rsid w:val="006A3AFB"/>
    <w:rsid w:val="006A3D84"/>
    <w:rsid w:val="006A4247"/>
    <w:rsid w:val="006A44D3"/>
    <w:rsid w:val="006A458C"/>
    <w:rsid w:val="006A46E8"/>
    <w:rsid w:val="006A4775"/>
    <w:rsid w:val="006A4961"/>
    <w:rsid w:val="006A4A7B"/>
    <w:rsid w:val="006A51DF"/>
    <w:rsid w:val="006A522C"/>
    <w:rsid w:val="006A54C4"/>
    <w:rsid w:val="006A5557"/>
    <w:rsid w:val="006A55C7"/>
    <w:rsid w:val="006A59EA"/>
    <w:rsid w:val="006A5D2E"/>
    <w:rsid w:val="006A5D7E"/>
    <w:rsid w:val="006A6069"/>
    <w:rsid w:val="006A69D6"/>
    <w:rsid w:val="006A6AEA"/>
    <w:rsid w:val="006A6DDC"/>
    <w:rsid w:val="006A6EB2"/>
    <w:rsid w:val="006A6F4D"/>
    <w:rsid w:val="006A71D6"/>
    <w:rsid w:val="006A7289"/>
    <w:rsid w:val="006A7467"/>
    <w:rsid w:val="006A76BA"/>
    <w:rsid w:val="006A785B"/>
    <w:rsid w:val="006A7B20"/>
    <w:rsid w:val="006A7BF4"/>
    <w:rsid w:val="006A7C39"/>
    <w:rsid w:val="006A7C5B"/>
    <w:rsid w:val="006A7F1B"/>
    <w:rsid w:val="006A9919"/>
    <w:rsid w:val="006B01B8"/>
    <w:rsid w:val="006B0629"/>
    <w:rsid w:val="006B0850"/>
    <w:rsid w:val="006B0B5A"/>
    <w:rsid w:val="006B0C97"/>
    <w:rsid w:val="006B0DB0"/>
    <w:rsid w:val="006B135B"/>
    <w:rsid w:val="006B13D0"/>
    <w:rsid w:val="006B1425"/>
    <w:rsid w:val="006B17D3"/>
    <w:rsid w:val="006B19AF"/>
    <w:rsid w:val="006B213D"/>
    <w:rsid w:val="006B24E8"/>
    <w:rsid w:val="006B25E0"/>
    <w:rsid w:val="006B2690"/>
    <w:rsid w:val="006B26C1"/>
    <w:rsid w:val="006B26D6"/>
    <w:rsid w:val="006B2BBC"/>
    <w:rsid w:val="006B2C5C"/>
    <w:rsid w:val="006B310A"/>
    <w:rsid w:val="006B32BD"/>
    <w:rsid w:val="006B3447"/>
    <w:rsid w:val="006B3787"/>
    <w:rsid w:val="006B385F"/>
    <w:rsid w:val="006B3B3F"/>
    <w:rsid w:val="006B3C3B"/>
    <w:rsid w:val="006B3E78"/>
    <w:rsid w:val="006B4070"/>
    <w:rsid w:val="006B455D"/>
    <w:rsid w:val="006B4978"/>
    <w:rsid w:val="006B4A7E"/>
    <w:rsid w:val="006B4C3D"/>
    <w:rsid w:val="006B4CB3"/>
    <w:rsid w:val="006B574C"/>
    <w:rsid w:val="006B583A"/>
    <w:rsid w:val="006B5E45"/>
    <w:rsid w:val="006B5FBB"/>
    <w:rsid w:val="006B62C1"/>
    <w:rsid w:val="006B6554"/>
    <w:rsid w:val="006B65E5"/>
    <w:rsid w:val="006B6C51"/>
    <w:rsid w:val="006B6E34"/>
    <w:rsid w:val="006B73C6"/>
    <w:rsid w:val="006B75B1"/>
    <w:rsid w:val="006B76AE"/>
    <w:rsid w:val="006B78F5"/>
    <w:rsid w:val="006B7C51"/>
    <w:rsid w:val="006B7D75"/>
    <w:rsid w:val="006B7DB9"/>
    <w:rsid w:val="006B7ECC"/>
    <w:rsid w:val="006BB98E"/>
    <w:rsid w:val="006C01FD"/>
    <w:rsid w:val="006C0590"/>
    <w:rsid w:val="006C07FB"/>
    <w:rsid w:val="006C09E2"/>
    <w:rsid w:val="006C09F6"/>
    <w:rsid w:val="006C0A97"/>
    <w:rsid w:val="006C0CEC"/>
    <w:rsid w:val="006C0F04"/>
    <w:rsid w:val="006C1073"/>
    <w:rsid w:val="006C12C1"/>
    <w:rsid w:val="006C159A"/>
    <w:rsid w:val="006C18D9"/>
    <w:rsid w:val="006C1AF8"/>
    <w:rsid w:val="006C20F7"/>
    <w:rsid w:val="006C2334"/>
    <w:rsid w:val="006C26E7"/>
    <w:rsid w:val="006C276D"/>
    <w:rsid w:val="006C2CFE"/>
    <w:rsid w:val="006C3205"/>
    <w:rsid w:val="006C3240"/>
    <w:rsid w:val="006C3245"/>
    <w:rsid w:val="006C3466"/>
    <w:rsid w:val="006C3870"/>
    <w:rsid w:val="006C3C76"/>
    <w:rsid w:val="006C3F77"/>
    <w:rsid w:val="006C40B6"/>
    <w:rsid w:val="006C4224"/>
    <w:rsid w:val="006C4577"/>
    <w:rsid w:val="006C4786"/>
    <w:rsid w:val="006C4826"/>
    <w:rsid w:val="006C4C2B"/>
    <w:rsid w:val="006C4C82"/>
    <w:rsid w:val="006C50EA"/>
    <w:rsid w:val="006C525E"/>
    <w:rsid w:val="006C5628"/>
    <w:rsid w:val="006C57C7"/>
    <w:rsid w:val="006C58C0"/>
    <w:rsid w:val="006C60B1"/>
    <w:rsid w:val="006C647A"/>
    <w:rsid w:val="006C64BC"/>
    <w:rsid w:val="006C6621"/>
    <w:rsid w:val="006C691D"/>
    <w:rsid w:val="006C6D4B"/>
    <w:rsid w:val="006C6E34"/>
    <w:rsid w:val="006C6FBE"/>
    <w:rsid w:val="006C741C"/>
    <w:rsid w:val="006C7DD8"/>
    <w:rsid w:val="006C7E56"/>
    <w:rsid w:val="006CF9B1"/>
    <w:rsid w:val="006D016F"/>
    <w:rsid w:val="006D020E"/>
    <w:rsid w:val="006D03D1"/>
    <w:rsid w:val="006D069E"/>
    <w:rsid w:val="006D0715"/>
    <w:rsid w:val="006D09C6"/>
    <w:rsid w:val="006D0C68"/>
    <w:rsid w:val="006D0F5B"/>
    <w:rsid w:val="006D1054"/>
    <w:rsid w:val="006D1417"/>
    <w:rsid w:val="006D141F"/>
    <w:rsid w:val="006D1447"/>
    <w:rsid w:val="006D14D6"/>
    <w:rsid w:val="006D1668"/>
    <w:rsid w:val="006D234C"/>
    <w:rsid w:val="006D23F6"/>
    <w:rsid w:val="006D26DB"/>
    <w:rsid w:val="006D2742"/>
    <w:rsid w:val="006D2E4B"/>
    <w:rsid w:val="006D2FEB"/>
    <w:rsid w:val="006D344E"/>
    <w:rsid w:val="006D37DB"/>
    <w:rsid w:val="006D39F7"/>
    <w:rsid w:val="006D3B92"/>
    <w:rsid w:val="006D3BF7"/>
    <w:rsid w:val="006D3C75"/>
    <w:rsid w:val="006D3CA2"/>
    <w:rsid w:val="006D3E17"/>
    <w:rsid w:val="006D3E80"/>
    <w:rsid w:val="006D400D"/>
    <w:rsid w:val="006D40FE"/>
    <w:rsid w:val="006D45CB"/>
    <w:rsid w:val="006D4E34"/>
    <w:rsid w:val="006D510D"/>
    <w:rsid w:val="006D51D6"/>
    <w:rsid w:val="006D541E"/>
    <w:rsid w:val="006D54C4"/>
    <w:rsid w:val="006D5D00"/>
    <w:rsid w:val="006D679E"/>
    <w:rsid w:val="006D6961"/>
    <w:rsid w:val="006D6967"/>
    <w:rsid w:val="006D6D9E"/>
    <w:rsid w:val="006D70F1"/>
    <w:rsid w:val="006D729D"/>
    <w:rsid w:val="006D765C"/>
    <w:rsid w:val="006D766A"/>
    <w:rsid w:val="006D77AE"/>
    <w:rsid w:val="006D7D29"/>
    <w:rsid w:val="006D7F61"/>
    <w:rsid w:val="006E0110"/>
    <w:rsid w:val="006E015D"/>
    <w:rsid w:val="006E01CD"/>
    <w:rsid w:val="006E03B3"/>
    <w:rsid w:val="006E076F"/>
    <w:rsid w:val="006E0824"/>
    <w:rsid w:val="006E0B13"/>
    <w:rsid w:val="006E1221"/>
    <w:rsid w:val="006E140E"/>
    <w:rsid w:val="006E15E0"/>
    <w:rsid w:val="006E17CA"/>
    <w:rsid w:val="006E1E9C"/>
    <w:rsid w:val="006E200F"/>
    <w:rsid w:val="006E21DA"/>
    <w:rsid w:val="006E2333"/>
    <w:rsid w:val="006E25A2"/>
    <w:rsid w:val="006E25B4"/>
    <w:rsid w:val="006E263C"/>
    <w:rsid w:val="006E276D"/>
    <w:rsid w:val="006E2A09"/>
    <w:rsid w:val="006E2AD2"/>
    <w:rsid w:val="006E2EDF"/>
    <w:rsid w:val="006E2F3E"/>
    <w:rsid w:val="006E3077"/>
    <w:rsid w:val="006E33AC"/>
    <w:rsid w:val="006E3435"/>
    <w:rsid w:val="006E36E5"/>
    <w:rsid w:val="006E38D3"/>
    <w:rsid w:val="006E3DCB"/>
    <w:rsid w:val="006E3DD4"/>
    <w:rsid w:val="006E3E53"/>
    <w:rsid w:val="006E4109"/>
    <w:rsid w:val="006E4231"/>
    <w:rsid w:val="006E4824"/>
    <w:rsid w:val="006E4881"/>
    <w:rsid w:val="006E4A67"/>
    <w:rsid w:val="006E4ADD"/>
    <w:rsid w:val="006E4C81"/>
    <w:rsid w:val="006E5235"/>
    <w:rsid w:val="006E53E4"/>
    <w:rsid w:val="006E54AE"/>
    <w:rsid w:val="006E54FA"/>
    <w:rsid w:val="006E5601"/>
    <w:rsid w:val="006E5697"/>
    <w:rsid w:val="006E57FF"/>
    <w:rsid w:val="006E5A01"/>
    <w:rsid w:val="006E6010"/>
    <w:rsid w:val="006E637C"/>
    <w:rsid w:val="006E65E3"/>
    <w:rsid w:val="006E67F1"/>
    <w:rsid w:val="006E6A1E"/>
    <w:rsid w:val="006E6C1A"/>
    <w:rsid w:val="006E6E31"/>
    <w:rsid w:val="006E70C4"/>
    <w:rsid w:val="006E73E5"/>
    <w:rsid w:val="006E7E97"/>
    <w:rsid w:val="006E7FD3"/>
    <w:rsid w:val="006F001B"/>
    <w:rsid w:val="006F0068"/>
    <w:rsid w:val="006F02B5"/>
    <w:rsid w:val="006F06ED"/>
    <w:rsid w:val="006F0853"/>
    <w:rsid w:val="006F0A3F"/>
    <w:rsid w:val="006F167F"/>
    <w:rsid w:val="006F19CC"/>
    <w:rsid w:val="006F1A01"/>
    <w:rsid w:val="006F2622"/>
    <w:rsid w:val="006F2EE0"/>
    <w:rsid w:val="006F32DF"/>
    <w:rsid w:val="006F3323"/>
    <w:rsid w:val="006F355C"/>
    <w:rsid w:val="006F37A6"/>
    <w:rsid w:val="006F37CF"/>
    <w:rsid w:val="006F3B04"/>
    <w:rsid w:val="006F3E8F"/>
    <w:rsid w:val="006F459C"/>
    <w:rsid w:val="006F46A9"/>
    <w:rsid w:val="006F4A2A"/>
    <w:rsid w:val="006F4E62"/>
    <w:rsid w:val="006F52E8"/>
    <w:rsid w:val="006F556A"/>
    <w:rsid w:val="006F56D6"/>
    <w:rsid w:val="006F5790"/>
    <w:rsid w:val="006F5943"/>
    <w:rsid w:val="006F5D45"/>
    <w:rsid w:val="006F5DF3"/>
    <w:rsid w:val="006F5F53"/>
    <w:rsid w:val="006F606A"/>
    <w:rsid w:val="006F622E"/>
    <w:rsid w:val="006F6403"/>
    <w:rsid w:val="006F6515"/>
    <w:rsid w:val="006F6835"/>
    <w:rsid w:val="006F687A"/>
    <w:rsid w:val="006F6939"/>
    <w:rsid w:val="006F6998"/>
    <w:rsid w:val="006F6A0D"/>
    <w:rsid w:val="006F6A2C"/>
    <w:rsid w:val="006F6BDC"/>
    <w:rsid w:val="006F6D58"/>
    <w:rsid w:val="006F6FBE"/>
    <w:rsid w:val="006F70EE"/>
    <w:rsid w:val="006F7178"/>
    <w:rsid w:val="006F717B"/>
    <w:rsid w:val="006F721A"/>
    <w:rsid w:val="006F7417"/>
    <w:rsid w:val="006F752B"/>
    <w:rsid w:val="006F782D"/>
    <w:rsid w:val="006F7E0C"/>
    <w:rsid w:val="007000E7"/>
    <w:rsid w:val="007004C7"/>
    <w:rsid w:val="007004E7"/>
    <w:rsid w:val="007007EA"/>
    <w:rsid w:val="00700892"/>
    <w:rsid w:val="00700AC4"/>
    <w:rsid w:val="00700E07"/>
    <w:rsid w:val="00700F51"/>
    <w:rsid w:val="00701361"/>
    <w:rsid w:val="0070152C"/>
    <w:rsid w:val="00701859"/>
    <w:rsid w:val="007018CF"/>
    <w:rsid w:val="0070199E"/>
    <w:rsid w:val="00701BC8"/>
    <w:rsid w:val="00701E71"/>
    <w:rsid w:val="00701F95"/>
    <w:rsid w:val="00702021"/>
    <w:rsid w:val="007020E6"/>
    <w:rsid w:val="007020E9"/>
    <w:rsid w:val="00702106"/>
    <w:rsid w:val="007022CF"/>
    <w:rsid w:val="007026B4"/>
    <w:rsid w:val="00702AB5"/>
    <w:rsid w:val="00702C1F"/>
    <w:rsid w:val="007032B0"/>
    <w:rsid w:val="00703320"/>
    <w:rsid w:val="00703380"/>
    <w:rsid w:val="007035D3"/>
    <w:rsid w:val="00703634"/>
    <w:rsid w:val="007036F6"/>
    <w:rsid w:val="007037AA"/>
    <w:rsid w:val="007038C7"/>
    <w:rsid w:val="007038CD"/>
    <w:rsid w:val="00703A65"/>
    <w:rsid w:val="00703A72"/>
    <w:rsid w:val="00703B40"/>
    <w:rsid w:val="00703C44"/>
    <w:rsid w:val="00703EB6"/>
    <w:rsid w:val="0070410B"/>
    <w:rsid w:val="00704146"/>
    <w:rsid w:val="00704430"/>
    <w:rsid w:val="007044FE"/>
    <w:rsid w:val="00704608"/>
    <w:rsid w:val="00704B0D"/>
    <w:rsid w:val="00704CAA"/>
    <w:rsid w:val="0070500D"/>
    <w:rsid w:val="00705090"/>
    <w:rsid w:val="00705115"/>
    <w:rsid w:val="007054C7"/>
    <w:rsid w:val="007056A8"/>
    <w:rsid w:val="00705A00"/>
    <w:rsid w:val="00705B5E"/>
    <w:rsid w:val="00705EA1"/>
    <w:rsid w:val="0070619F"/>
    <w:rsid w:val="0070622F"/>
    <w:rsid w:val="00706249"/>
    <w:rsid w:val="00706309"/>
    <w:rsid w:val="00706317"/>
    <w:rsid w:val="00706563"/>
    <w:rsid w:val="007068A6"/>
    <w:rsid w:val="00706C91"/>
    <w:rsid w:val="0070705B"/>
    <w:rsid w:val="0070717E"/>
    <w:rsid w:val="007073C6"/>
    <w:rsid w:val="007073FA"/>
    <w:rsid w:val="0070796A"/>
    <w:rsid w:val="00707AAF"/>
    <w:rsid w:val="00707BE7"/>
    <w:rsid w:val="00710122"/>
    <w:rsid w:val="007109B2"/>
    <w:rsid w:val="00710C70"/>
    <w:rsid w:val="00710EFB"/>
    <w:rsid w:val="0071102F"/>
    <w:rsid w:val="007111A0"/>
    <w:rsid w:val="00711625"/>
    <w:rsid w:val="007116EB"/>
    <w:rsid w:val="0071189C"/>
    <w:rsid w:val="00711BEC"/>
    <w:rsid w:val="00711D96"/>
    <w:rsid w:val="00711E35"/>
    <w:rsid w:val="0071235E"/>
    <w:rsid w:val="007123BA"/>
    <w:rsid w:val="0071246D"/>
    <w:rsid w:val="0071252A"/>
    <w:rsid w:val="0071287A"/>
    <w:rsid w:val="007128BC"/>
    <w:rsid w:val="00712BAB"/>
    <w:rsid w:val="00712C73"/>
    <w:rsid w:val="007134FF"/>
    <w:rsid w:val="007135EF"/>
    <w:rsid w:val="00713954"/>
    <w:rsid w:val="00713B11"/>
    <w:rsid w:val="00713B93"/>
    <w:rsid w:val="00713C7C"/>
    <w:rsid w:val="00713F49"/>
    <w:rsid w:val="007142ED"/>
    <w:rsid w:val="007145A8"/>
    <w:rsid w:val="00714D41"/>
    <w:rsid w:val="00714FC7"/>
    <w:rsid w:val="007150A4"/>
    <w:rsid w:val="00715119"/>
    <w:rsid w:val="0071525D"/>
    <w:rsid w:val="0071554D"/>
    <w:rsid w:val="007157E1"/>
    <w:rsid w:val="0071587C"/>
    <w:rsid w:val="00715CF0"/>
    <w:rsid w:val="00715DB7"/>
    <w:rsid w:val="007162A6"/>
    <w:rsid w:val="007165F2"/>
    <w:rsid w:val="00716770"/>
    <w:rsid w:val="00716AF6"/>
    <w:rsid w:val="00716B3A"/>
    <w:rsid w:val="00716BE9"/>
    <w:rsid w:val="00716DBF"/>
    <w:rsid w:val="00717F90"/>
    <w:rsid w:val="00717FB9"/>
    <w:rsid w:val="0071BEFA"/>
    <w:rsid w:val="007201ED"/>
    <w:rsid w:val="00720220"/>
    <w:rsid w:val="007202F3"/>
    <w:rsid w:val="00720442"/>
    <w:rsid w:val="00720467"/>
    <w:rsid w:val="007204C4"/>
    <w:rsid w:val="00720651"/>
    <w:rsid w:val="007208FA"/>
    <w:rsid w:val="00720AE0"/>
    <w:rsid w:val="00720E4B"/>
    <w:rsid w:val="00721167"/>
    <w:rsid w:val="007212C9"/>
    <w:rsid w:val="007217DC"/>
    <w:rsid w:val="007219B3"/>
    <w:rsid w:val="00721D97"/>
    <w:rsid w:val="007220B4"/>
    <w:rsid w:val="0072214A"/>
    <w:rsid w:val="0072217F"/>
    <w:rsid w:val="00722349"/>
    <w:rsid w:val="00722369"/>
    <w:rsid w:val="007226B8"/>
    <w:rsid w:val="007229F7"/>
    <w:rsid w:val="00722AE0"/>
    <w:rsid w:val="0072308F"/>
    <w:rsid w:val="0072353A"/>
    <w:rsid w:val="007236B4"/>
    <w:rsid w:val="00723889"/>
    <w:rsid w:val="00723A95"/>
    <w:rsid w:val="00723B16"/>
    <w:rsid w:val="00723C12"/>
    <w:rsid w:val="0072403F"/>
    <w:rsid w:val="0072404D"/>
    <w:rsid w:val="0072410A"/>
    <w:rsid w:val="00724336"/>
    <w:rsid w:val="00724AE1"/>
    <w:rsid w:val="00724BFB"/>
    <w:rsid w:val="00724CF3"/>
    <w:rsid w:val="00724D99"/>
    <w:rsid w:val="00725232"/>
    <w:rsid w:val="007253B6"/>
    <w:rsid w:val="0072555F"/>
    <w:rsid w:val="00725638"/>
    <w:rsid w:val="00725707"/>
    <w:rsid w:val="007258E1"/>
    <w:rsid w:val="00725930"/>
    <w:rsid w:val="00725B70"/>
    <w:rsid w:val="00726035"/>
    <w:rsid w:val="00726181"/>
    <w:rsid w:val="007262C2"/>
    <w:rsid w:val="007265AE"/>
    <w:rsid w:val="007266A2"/>
    <w:rsid w:val="007269B9"/>
    <w:rsid w:val="00726CB0"/>
    <w:rsid w:val="00726CE0"/>
    <w:rsid w:val="00726E15"/>
    <w:rsid w:val="0072710D"/>
    <w:rsid w:val="00727320"/>
    <w:rsid w:val="007273AD"/>
    <w:rsid w:val="00727993"/>
    <w:rsid w:val="00727BFA"/>
    <w:rsid w:val="00727F24"/>
    <w:rsid w:val="007300FD"/>
    <w:rsid w:val="00730A1A"/>
    <w:rsid w:val="00730BAF"/>
    <w:rsid w:val="00730E6E"/>
    <w:rsid w:val="00730F84"/>
    <w:rsid w:val="0073105D"/>
    <w:rsid w:val="00731432"/>
    <w:rsid w:val="007315B7"/>
    <w:rsid w:val="007316A7"/>
    <w:rsid w:val="007316E7"/>
    <w:rsid w:val="00731D34"/>
    <w:rsid w:val="00731EF0"/>
    <w:rsid w:val="007321B1"/>
    <w:rsid w:val="0073229D"/>
    <w:rsid w:val="007322B1"/>
    <w:rsid w:val="00732552"/>
    <w:rsid w:val="0073255E"/>
    <w:rsid w:val="00732934"/>
    <w:rsid w:val="00732A5E"/>
    <w:rsid w:val="00732ABB"/>
    <w:rsid w:val="00732B45"/>
    <w:rsid w:val="00732E19"/>
    <w:rsid w:val="00732F17"/>
    <w:rsid w:val="00733110"/>
    <w:rsid w:val="0073316C"/>
    <w:rsid w:val="00733181"/>
    <w:rsid w:val="00733257"/>
    <w:rsid w:val="0073329F"/>
    <w:rsid w:val="007332FE"/>
    <w:rsid w:val="00733399"/>
    <w:rsid w:val="00733427"/>
    <w:rsid w:val="00733D03"/>
    <w:rsid w:val="0073422C"/>
    <w:rsid w:val="007343A9"/>
    <w:rsid w:val="007344F7"/>
    <w:rsid w:val="00734763"/>
    <w:rsid w:val="007348D8"/>
    <w:rsid w:val="00734CD4"/>
    <w:rsid w:val="00734D62"/>
    <w:rsid w:val="00734EEF"/>
    <w:rsid w:val="007353EC"/>
    <w:rsid w:val="0073542B"/>
    <w:rsid w:val="00735651"/>
    <w:rsid w:val="00735721"/>
    <w:rsid w:val="007359E6"/>
    <w:rsid w:val="00735B34"/>
    <w:rsid w:val="00735D5F"/>
    <w:rsid w:val="00735DEB"/>
    <w:rsid w:val="007360F6"/>
    <w:rsid w:val="007363C7"/>
    <w:rsid w:val="007363D5"/>
    <w:rsid w:val="00736A09"/>
    <w:rsid w:val="00736A23"/>
    <w:rsid w:val="00737280"/>
    <w:rsid w:val="00737727"/>
    <w:rsid w:val="007400D4"/>
    <w:rsid w:val="007400DF"/>
    <w:rsid w:val="0074029B"/>
    <w:rsid w:val="00740475"/>
    <w:rsid w:val="00740AB8"/>
    <w:rsid w:val="00740EB5"/>
    <w:rsid w:val="007410F3"/>
    <w:rsid w:val="007412A7"/>
    <w:rsid w:val="007412F4"/>
    <w:rsid w:val="007419BB"/>
    <w:rsid w:val="00741EAF"/>
    <w:rsid w:val="0074209D"/>
    <w:rsid w:val="00742263"/>
    <w:rsid w:val="00742277"/>
    <w:rsid w:val="00742431"/>
    <w:rsid w:val="007424B3"/>
    <w:rsid w:val="00742B33"/>
    <w:rsid w:val="00742C59"/>
    <w:rsid w:val="00742F44"/>
    <w:rsid w:val="00743086"/>
    <w:rsid w:val="007432AF"/>
    <w:rsid w:val="007432F6"/>
    <w:rsid w:val="0074375D"/>
    <w:rsid w:val="00743B70"/>
    <w:rsid w:val="00743CE7"/>
    <w:rsid w:val="00744033"/>
    <w:rsid w:val="0074413B"/>
    <w:rsid w:val="00744558"/>
    <w:rsid w:val="00744571"/>
    <w:rsid w:val="00744D22"/>
    <w:rsid w:val="007451B1"/>
    <w:rsid w:val="007452D6"/>
    <w:rsid w:val="0074548A"/>
    <w:rsid w:val="007457AD"/>
    <w:rsid w:val="007458FF"/>
    <w:rsid w:val="00745B05"/>
    <w:rsid w:val="00745BBC"/>
    <w:rsid w:val="00745BC7"/>
    <w:rsid w:val="00745E78"/>
    <w:rsid w:val="00745EDB"/>
    <w:rsid w:val="00745EF8"/>
    <w:rsid w:val="00746029"/>
    <w:rsid w:val="007460D7"/>
    <w:rsid w:val="00746551"/>
    <w:rsid w:val="007466AF"/>
    <w:rsid w:val="00746880"/>
    <w:rsid w:val="00746905"/>
    <w:rsid w:val="007469E9"/>
    <w:rsid w:val="00746A12"/>
    <w:rsid w:val="00746B21"/>
    <w:rsid w:val="00746E44"/>
    <w:rsid w:val="00747027"/>
    <w:rsid w:val="00747683"/>
    <w:rsid w:val="00747AD1"/>
    <w:rsid w:val="00747AD2"/>
    <w:rsid w:val="00747B27"/>
    <w:rsid w:val="0074B380"/>
    <w:rsid w:val="00750388"/>
    <w:rsid w:val="00750714"/>
    <w:rsid w:val="00750793"/>
    <w:rsid w:val="007508B6"/>
    <w:rsid w:val="00750943"/>
    <w:rsid w:val="00750B27"/>
    <w:rsid w:val="00750DC8"/>
    <w:rsid w:val="00750F38"/>
    <w:rsid w:val="007510EB"/>
    <w:rsid w:val="00751281"/>
    <w:rsid w:val="0075150D"/>
    <w:rsid w:val="00751527"/>
    <w:rsid w:val="00751910"/>
    <w:rsid w:val="00751978"/>
    <w:rsid w:val="00751D8D"/>
    <w:rsid w:val="00751EA6"/>
    <w:rsid w:val="00751ECD"/>
    <w:rsid w:val="00752257"/>
    <w:rsid w:val="0075244B"/>
    <w:rsid w:val="007524ED"/>
    <w:rsid w:val="007527B1"/>
    <w:rsid w:val="007529E2"/>
    <w:rsid w:val="00752A10"/>
    <w:rsid w:val="00752EE2"/>
    <w:rsid w:val="00753083"/>
    <w:rsid w:val="007530AE"/>
    <w:rsid w:val="00753466"/>
    <w:rsid w:val="00753935"/>
    <w:rsid w:val="00753B04"/>
    <w:rsid w:val="00753C59"/>
    <w:rsid w:val="00754245"/>
    <w:rsid w:val="0075448C"/>
    <w:rsid w:val="00754AB4"/>
    <w:rsid w:val="00754B16"/>
    <w:rsid w:val="00754EE8"/>
    <w:rsid w:val="007550BD"/>
    <w:rsid w:val="00755234"/>
    <w:rsid w:val="00755256"/>
    <w:rsid w:val="0075526D"/>
    <w:rsid w:val="00755761"/>
    <w:rsid w:val="00755A22"/>
    <w:rsid w:val="00755E2C"/>
    <w:rsid w:val="00756129"/>
    <w:rsid w:val="00756140"/>
    <w:rsid w:val="00756195"/>
    <w:rsid w:val="0075622B"/>
    <w:rsid w:val="00756280"/>
    <w:rsid w:val="00756380"/>
    <w:rsid w:val="007564CE"/>
    <w:rsid w:val="0075652F"/>
    <w:rsid w:val="007565DD"/>
    <w:rsid w:val="007566EC"/>
    <w:rsid w:val="007567B5"/>
    <w:rsid w:val="00756869"/>
    <w:rsid w:val="00756A7A"/>
    <w:rsid w:val="00756FD1"/>
    <w:rsid w:val="00757641"/>
    <w:rsid w:val="00757868"/>
    <w:rsid w:val="0075788F"/>
    <w:rsid w:val="007578E9"/>
    <w:rsid w:val="00757DCE"/>
    <w:rsid w:val="00757DE2"/>
    <w:rsid w:val="0076016F"/>
    <w:rsid w:val="0076033E"/>
    <w:rsid w:val="0076051C"/>
    <w:rsid w:val="0076070A"/>
    <w:rsid w:val="00760896"/>
    <w:rsid w:val="00760899"/>
    <w:rsid w:val="00760EAA"/>
    <w:rsid w:val="00761554"/>
    <w:rsid w:val="00761574"/>
    <w:rsid w:val="007615C0"/>
    <w:rsid w:val="00761661"/>
    <w:rsid w:val="007617DF"/>
    <w:rsid w:val="007619A8"/>
    <w:rsid w:val="00761A05"/>
    <w:rsid w:val="00761AF9"/>
    <w:rsid w:val="00761C1C"/>
    <w:rsid w:val="007620AB"/>
    <w:rsid w:val="00762274"/>
    <w:rsid w:val="007627D6"/>
    <w:rsid w:val="007627FD"/>
    <w:rsid w:val="00762831"/>
    <w:rsid w:val="00762EAC"/>
    <w:rsid w:val="00762F58"/>
    <w:rsid w:val="0076309E"/>
    <w:rsid w:val="007631C4"/>
    <w:rsid w:val="00763252"/>
    <w:rsid w:val="007634CA"/>
    <w:rsid w:val="007638AA"/>
    <w:rsid w:val="0076413E"/>
    <w:rsid w:val="0076426D"/>
    <w:rsid w:val="007645F2"/>
    <w:rsid w:val="00764974"/>
    <w:rsid w:val="00764AA8"/>
    <w:rsid w:val="00764C6D"/>
    <w:rsid w:val="00764C78"/>
    <w:rsid w:val="00764CAF"/>
    <w:rsid w:val="00764F13"/>
    <w:rsid w:val="00765034"/>
    <w:rsid w:val="007650BD"/>
    <w:rsid w:val="00765364"/>
    <w:rsid w:val="007654C4"/>
    <w:rsid w:val="00765C89"/>
    <w:rsid w:val="00765E82"/>
    <w:rsid w:val="00766027"/>
    <w:rsid w:val="00766124"/>
    <w:rsid w:val="00766453"/>
    <w:rsid w:val="00766468"/>
    <w:rsid w:val="007664D1"/>
    <w:rsid w:val="007667B3"/>
    <w:rsid w:val="007667ED"/>
    <w:rsid w:val="007668CF"/>
    <w:rsid w:val="00766B20"/>
    <w:rsid w:val="00766B4C"/>
    <w:rsid w:val="00766BF5"/>
    <w:rsid w:val="00766CED"/>
    <w:rsid w:val="00766EAF"/>
    <w:rsid w:val="00766EE9"/>
    <w:rsid w:val="00766F15"/>
    <w:rsid w:val="0076709D"/>
    <w:rsid w:val="00767153"/>
    <w:rsid w:val="007671DC"/>
    <w:rsid w:val="00767310"/>
    <w:rsid w:val="00767474"/>
    <w:rsid w:val="0076753D"/>
    <w:rsid w:val="00767576"/>
    <w:rsid w:val="007675BE"/>
    <w:rsid w:val="0076799A"/>
    <w:rsid w:val="0077009C"/>
    <w:rsid w:val="007701E7"/>
    <w:rsid w:val="00770417"/>
    <w:rsid w:val="007704FC"/>
    <w:rsid w:val="007706DC"/>
    <w:rsid w:val="00770A2B"/>
    <w:rsid w:val="00770C66"/>
    <w:rsid w:val="00770F40"/>
    <w:rsid w:val="00771077"/>
    <w:rsid w:val="00771293"/>
    <w:rsid w:val="007714F2"/>
    <w:rsid w:val="0077173F"/>
    <w:rsid w:val="00771AAB"/>
    <w:rsid w:val="00771C8C"/>
    <w:rsid w:val="00771D54"/>
    <w:rsid w:val="00771D88"/>
    <w:rsid w:val="00771EF5"/>
    <w:rsid w:val="0077213F"/>
    <w:rsid w:val="007721DA"/>
    <w:rsid w:val="007722BB"/>
    <w:rsid w:val="007729DF"/>
    <w:rsid w:val="00772FEA"/>
    <w:rsid w:val="00773071"/>
    <w:rsid w:val="00773135"/>
    <w:rsid w:val="0077318C"/>
    <w:rsid w:val="0077355C"/>
    <w:rsid w:val="007735EE"/>
    <w:rsid w:val="00773813"/>
    <w:rsid w:val="00773861"/>
    <w:rsid w:val="00773C4E"/>
    <w:rsid w:val="00773D49"/>
    <w:rsid w:val="00773D4F"/>
    <w:rsid w:val="00773DA1"/>
    <w:rsid w:val="00773F48"/>
    <w:rsid w:val="00773F4C"/>
    <w:rsid w:val="00773FF1"/>
    <w:rsid w:val="00774015"/>
    <w:rsid w:val="0077403F"/>
    <w:rsid w:val="0077465E"/>
    <w:rsid w:val="00774A51"/>
    <w:rsid w:val="00774B49"/>
    <w:rsid w:val="007754C4"/>
    <w:rsid w:val="007755F6"/>
    <w:rsid w:val="00775AB8"/>
    <w:rsid w:val="00775CBE"/>
    <w:rsid w:val="00775D70"/>
    <w:rsid w:val="007760A3"/>
    <w:rsid w:val="00776355"/>
    <w:rsid w:val="0077653D"/>
    <w:rsid w:val="007767CF"/>
    <w:rsid w:val="00776B7F"/>
    <w:rsid w:val="00776CE5"/>
    <w:rsid w:val="00776D01"/>
    <w:rsid w:val="00776D45"/>
    <w:rsid w:val="00776D87"/>
    <w:rsid w:val="00777133"/>
    <w:rsid w:val="00777146"/>
    <w:rsid w:val="00777478"/>
    <w:rsid w:val="007774A1"/>
    <w:rsid w:val="007779D8"/>
    <w:rsid w:val="00777F4D"/>
    <w:rsid w:val="00777F8E"/>
    <w:rsid w:val="0078001D"/>
    <w:rsid w:val="007801C2"/>
    <w:rsid w:val="0078045C"/>
    <w:rsid w:val="0078059B"/>
    <w:rsid w:val="0078064D"/>
    <w:rsid w:val="007806B6"/>
    <w:rsid w:val="00780A03"/>
    <w:rsid w:val="00780BAD"/>
    <w:rsid w:val="00780C32"/>
    <w:rsid w:val="00781000"/>
    <w:rsid w:val="007810DB"/>
    <w:rsid w:val="00781271"/>
    <w:rsid w:val="0078129E"/>
    <w:rsid w:val="0078182B"/>
    <w:rsid w:val="00781A00"/>
    <w:rsid w:val="00781BAE"/>
    <w:rsid w:val="00781D61"/>
    <w:rsid w:val="00781E72"/>
    <w:rsid w:val="007822A3"/>
    <w:rsid w:val="0078278E"/>
    <w:rsid w:val="007828C5"/>
    <w:rsid w:val="00782A7C"/>
    <w:rsid w:val="00782A82"/>
    <w:rsid w:val="00782ABB"/>
    <w:rsid w:val="00783419"/>
    <w:rsid w:val="00783DED"/>
    <w:rsid w:val="00783F7D"/>
    <w:rsid w:val="00784366"/>
    <w:rsid w:val="00784376"/>
    <w:rsid w:val="007844A0"/>
    <w:rsid w:val="00784A16"/>
    <w:rsid w:val="00784CA3"/>
    <w:rsid w:val="00784E89"/>
    <w:rsid w:val="007851DF"/>
    <w:rsid w:val="007853D0"/>
    <w:rsid w:val="007855F6"/>
    <w:rsid w:val="007856C2"/>
    <w:rsid w:val="00785763"/>
    <w:rsid w:val="0078594D"/>
    <w:rsid w:val="007859C9"/>
    <w:rsid w:val="00785DC5"/>
    <w:rsid w:val="0078619D"/>
    <w:rsid w:val="00786722"/>
    <w:rsid w:val="007869B0"/>
    <w:rsid w:val="00786AF2"/>
    <w:rsid w:val="00786C1F"/>
    <w:rsid w:val="00786DB7"/>
    <w:rsid w:val="00786E0E"/>
    <w:rsid w:val="00786ED2"/>
    <w:rsid w:val="0078719C"/>
    <w:rsid w:val="007875B5"/>
    <w:rsid w:val="00787939"/>
    <w:rsid w:val="007879C0"/>
    <w:rsid w:val="00787B32"/>
    <w:rsid w:val="00787D0D"/>
    <w:rsid w:val="00787D6E"/>
    <w:rsid w:val="00790069"/>
    <w:rsid w:val="00790126"/>
    <w:rsid w:val="007902DA"/>
    <w:rsid w:val="0079063F"/>
    <w:rsid w:val="00790A48"/>
    <w:rsid w:val="00790D6A"/>
    <w:rsid w:val="00790DE5"/>
    <w:rsid w:val="00790EB2"/>
    <w:rsid w:val="00791301"/>
    <w:rsid w:val="007913E2"/>
    <w:rsid w:val="007917D5"/>
    <w:rsid w:val="007918D3"/>
    <w:rsid w:val="00791B41"/>
    <w:rsid w:val="00791B5E"/>
    <w:rsid w:val="00792028"/>
    <w:rsid w:val="0079203C"/>
    <w:rsid w:val="0079229C"/>
    <w:rsid w:val="007922C8"/>
    <w:rsid w:val="00792305"/>
    <w:rsid w:val="00792643"/>
    <w:rsid w:val="00792825"/>
    <w:rsid w:val="00792A07"/>
    <w:rsid w:val="00792CFE"/>
    <w:rsid w:val="0079313F"/>
    <w:rsid w:val="00793154"/>
    <w:rsid w:val="0079387F"/>
    <w:rsid w:val="00793946"/>
    <w:rsid w:val="00793A8A"/>
    <w:rsid w:val="00793E6C"/>
    <w:rsid w:val="00794149"/>
    <w:rsid w:val="007941FF"/>
    <w:rsid w:val="007943AB"/>
    <w:rsid w:val="00794835"/>
    <w:rsid w:val="00794852"/>
    <w:rsid w:val="00794A43"/>
    <w:rsid w:val="00794BBB"/>
    <w:rsid w:val="00794D66"/>
    <w:rsid w:val="007952B3"/>
    <w:rsid w:val="007959F9"/>
    <w:rsid w:val="00795A86"/>
    <w:rsid w:val="00795AE2"/>
    <w:rsid w:val="00795B9C"/>
    <w:rsid w:val="00795E7C"/>
    <w:rsid w:val="00796106"/>
    <w:rsid w:val="007962F3"/>
    <w:rsid w:val="0079646F"/>
    <w:rsid w:val="00796617"/>
    <w:rsid w:val="007968EC"/>
    <w:rsid w:val="00796AFA"/>
    <w:rsid w:val="00796CD4"/>
    <w:rsid w:val="00796FAB"/>
    <w:rsid w:val="0079702C"/>
    <w:rsid w:val="007973E7"/>
    <w:rsid w:val="0079746A"/>
    <w:rsid w:val="007975B3"/>
    <w:rsid w:val="00797871"/>
    <w:rsid w:val="007979D4"/>
    <w:rsid w:val="00797AB5"/>
    <w:rsid w:val="00797B8B"/>
    <w:rsid w:val="00797C14"/>
    <w:rsid w:val="00797E12"/>
    <w:rsid w:val="00797FA3"/>
    <w:rsid w:val="007A015F"/>
    <w:rsid w:val="007A0779"/>
    <w:rsid w:val="007A078B"/>
    <w:rsid w:val="007A0B14"/>
    <w:rsid w:val="007A0F28"/>
    <w:rsid w:val="007A1071"/>
    <w:rsid w:val="007A1237"/>
    <w:rsid w:val="007A1555"/>
    <w:rsid w:val="007A16A2"/>
    <w:rsid w:val="007A19BD"/>
    <w:rsid w:val="007A1B89"/>
    <w:rsid w:val="007A1CB8"/>
    <w:rsid w:val="007A1F24"/>
    <w:rsid w:val="007A204A"/>
    <w:rsid w:val="007A22B0"/>
    <w:rsid w:val="007A24CD"/>
    <w:rsid w:val="007A2528"/>
    <w:rsid w:val="007A2531"/>
    <w:rsid w:val="007A253D"/>
    <w:rsid w:val="007A2A0A"/>
    <w:rsid w:val="007A2A7D"/>
    <w:rsid w:val="007A2B49"/>
    <w:rsid w:val="007A2DC8"/>
    <w:rsid w:val="007A32BD"/>
    <w:rsid w:val="007A368B"/>
    <w:rsid w:val="007A391C"/>
    <w:rsid w:val="007A3924"/>
    <w:rsid w:val="007A39BF"/>
    <w:rsid w:val="007A39D4"/>
    <w:rsid w:val="007A3AAD"/>
    <w:rsid w:val="007A3B94"/>
    <w:rsid w:val="007A3E11"/>
    <w:rsid w:val="007A3E2E"/>
    <w:rsid w:val="007A3FDD"/>
    <w:rsid w:val="007A42C5"/>
    <w:rsid w:val="007A43DE"/>
    <w:rsid w:val="007A4781"/>
    <w:rsid w:val="007A49A9"/>
    <w:rsid w:val="007A4CE9"/>
    <w:rsid w:val="007A4CEB"/>
    <w:rsid w:val="007A4E75"/>
    <w:rsid w:val="007A531D"/>
    <w:rsid w:val="007A558E"/>
    <w:rsid w:val="007A5590"/>
    <w:rsid w:val="007A5806"/>
    <w:rsid w:val="007A5AD6"/>
    <w:rsid w:val="007A6052"/>
    <w:rsid w:val="007A63A2"/>
    <w:rsid w:val="007A63C4"/>
    <w:rsid w:val="007A664C"/>
    <w:rsid w:val="007A6733"/>
    <w:rsid w:val="007A6961"/>
    <w:rsid w:val="007A6E36"/>
    <w:rsid w:val="007A6F69"/>
    <w:rsid w:val="007A6FC7"/>
    <w:rsid w:val="007A717C"/>
    <w:rsid w:val="007A72C1"/>
    <w:rsid w:val="007A745B"/>
    <w:rsid w:val="007A74A0"/>
    <w:rsid w:val="007A74D8"/>
    <w:rsid w:val="007A75C3"/>
    <w:rsid w:val="007A772F"/>
    <w:rsid w:val="007A7F19"/>
    <w:rsid w:val="007B0050"/>
    <w:rsid w:val="007B00AC"/>
    <w:rsid w:val="007B039A"/>
    <w:rsid w:val="007B03BA"/>
    <w:rsid w:val="007B0448"/>
    <w:rsid w:val="007B04C8"/>
    <w:rsid w:val="007B05F5"/>
    <w:rsid w:val="007B0666"/>
    <w:rsid w:val="007B087A"/>
    <w:rsid w:val="007B0A0C"/>
    <w:rsid w:val="007B0A72"/>
    <w:rsid w:val="007B0AC7"/>
    <w:rsid w:val="007B0B5D"/>
    <w:rsid w:val="007B0F57"/>
    <w:rsid w:val="007B11A6"/>
    <w:rsid w:val="007B1271"/>
    <w:rsid w:val="007B1709"/>
    <w:rsid w:val="007B184A"/>
    <w:rsid w:val="007B1945"/>
    <w:rsid w:val="007B1956"/>
    <w:rsid w:val="007B1AC8"/>
    <w:rsid w:val="007B1F02"/>
    <w:rsid w:val="007B23A6"/>
    <w:rsid w:val="007B2499"/>
    <w:rsid w:val="007B2640"/>
    <w:rsid w:val="007B26B3"/>
    <w:rsid w:val="007B2839"/>
    <w:rsid w:val="007B31CE"/>
    <w:rsid w:val="007B3346"/>
    <w:rsid w:val="007B3352"/>
    <w:rsid w:val="007B3453"/>
    <w:rsid w:val="007B373D"/>
    <w:rsid w:val="007B38F4"/>
    <w:rsid w:val="007B3B00"/>
    <w:rsid w:val="007B3B23"/>
    <w:rsid w:val="007B4403"/>
    <w:rsid w:val="007B49A4"/>
    <w:rsid w:val="007B4B1B"/>
    <w:rsid w:val="007B5197"/>
    <w:rsid w:val="007B5308"/>
    <w:rsid w:val="007B552F"/>
    <w:rsid w:val="007B59D3"/>
    <w:rsid w:val="007B5C8C"/>
    <w:rsid w:val="007B5C92"/>
    <w:rsid w:val="007B5FA3"/>
    <w:rsid w:val="007B5FAD"/>
    <w:rsid w:val="007B64E0"/>
    <w:rsid w:val="007B6934"/>
    <w:rsid w:val="007B6960"/>
    <w:rsid w:val="007B6C14"/>
    <w:rsid w:val="007B6DEE"/>
    <w:rsid w:val="007B6F99"/>
    <w:rsid w:val="007B73D3"/>
    <w:rsid w:val="007B7564"/>
    <w:rsid w:val="007B765E"/>
    <w:rsid w:val="007B7771"/>
    <w:rsid w:val="007B794F"/>
    <w:rsid w:val="007B7987"/>
    <w:rsid w:val="007B7BFA"/>
    <w:rsid w:val="007C0419"/>
    <w:rsid w:val="007C042B"/>
    <w:rsid w:val="007C04E4"/>
    <w:rsid w:val="007C05AC"/>
    <w:rsid w:val="007C0E72"/>
    <w:rsid w:val="007C0F00"/>
    <w:rsid w:val="007C10A5"/>
    <w:rsid w:val="007C1C66"/>
    <w:rsid w:val="007C1D33"/>
    <w:rsid w:val="007C2427"/>
    <w:rsid w:val="007C26CE"/>
    <w:rsid w:val="007C2AB3"/>
    <w:rsid w:val="007C2C24"/>
    <w:rsid w:val="007C2C8F"/>
    <w:rsid w:val="007C2D93"/>
    <w:rsid w:val="007C3121"/>
    <w:rsid w:val="007C3452"/>
    <w:rsid w:val="007C3480"/>
    <w:rsid w:val="007C34D1"/>
    <w:rsid w:val="007C34FD"/>
    <w:rsid w:val="007C379E"/>
    <w:rsid w:val="007C38D6"/>
    <w:rsid w:val="007C3C05"/>
    <w:rsid w:val="007C3DFE"/>
    <w:rsid w:val="007C3E07"/>
    <w:rsid w:val="007C3F90"/>
    <w:rsid w:val="007C43DE"/>
    <w:rsid w:val="007C4521"/>
    <w:rsid w:val="007C4646"/>
    <w:rsid w:val="007C47BD"/>
    <w:rsid w:val="007C4A56"/>
    <w:rsid w:val="007C4B7D"/>
    <w:rsid w:val="007C4C53"/>
    <w:rsid w:val="007C4D9E"/>
    <w:rsid w:val="007C4DA6"/>
    <w:rsid w:val="007C518F"/>
    <w:rsid w:val="007C51EA"/>
    <w:rsid w:val="007C545C"/>
    <w:rsid w:val="007C57C4"/>
    <w:rsid w:val="007C5AAA"/>
    <w:rsid w:val="007C5BBF"/>
    <w:rsid w:val="007C6028"/>
    <w:rsid w:val="007C65C4"/>
    <w:rsid w:val="007C662D"/>
    <w:rsid w:val="007C672E"/>
    <w:rsid w:val="007C6895"/>
    <w:rsid w:val="007C6DE1"/>
    <w:rsid w:val="007C6E24"/>
    <w:rsid w:val="007C73E0"/>
    <w:rsid w:val="007C755D"/>
    <w:rsid w:val="007C7617"/>
    <w:rsid w:val="007C787A"/>
    <w:rsid w:val="007C7B52"/>
    <w:rsid w:val="007C7DC1"/>
    <w:rsid w:val="007C7DC4"/>
    <w:rsid w:val="007D031C"/>
    <w:rsid w:val="007D043B"/>
    <w:rsid w:val="007D048B"/>
    <w:rsid w:val="007D068D"/>
    <w:rsid w:val="007D0CFB"/>
    <w:rsid w:val="007D12DE"/>
    <w:rsid w:val="007D137B"/>
    <w:rsid w:val="007D1549"/>
    <w:rsid w:val="007D1752"/>
    <w:rsid w:val="007D1DB7"/>
    <w:rsid w:val="007D24CB"/>
    <w:rsid w:val="007D276D"/>
    <w:rsid w:val="007D27B2"/>
    <w:rsid w:val="007D3355"/>
    <w:rsid w:val="007D40F8"/>
    <w:rsid w:val="007D47BD"/>
    <w:rsid w:val="007D497F"/>
    <w:rsid w:val="007D4C86"/>
    <w:rsid w:val="007D5006"/>
    <w:rsid w:val="007D5054"/>
    <w:rsid w:val="007D5221"/>
    <w:rsid w:val="007D5501"/>
    <w:rsid w:val="007D5673"/>
    <w:rsid w:val="007D5724"/>
    <w:rsid w:val="007D58AD"/>
    <w:rsid w:val="007D5E8A"/>
    <w:rsid w:val="007D632C"/>
    <w:rsid w:val="007D63B3"/>
    <w:rsid w:val="007D64C3"/>
    <w:rsid w:val="007D683E"/>
    <w:rsid w:val="007D6BEC"/>
    <w:rsid w:val="007D6C2E"/>
    <w:rsid w:val="007D6CED"/>
    <w:rsid w:val="007D6DB5"/>
    <w:rsid w:val="007D6EF4"/>
    <w:rsid w:val="007D70A4"/>
    <w:rsid w:val="007D70E0"/>
    <w:rsid w:val="007D71EE"/>
    <w:rsid w:val="007D7275"/>
    <w:rsid w:val="007D7AA1"/>
    <w:rsid w:val="007E00BB"/>
    <w:rsid w:val="007E0100"/>
    <w:rsid w:val="007E012F"/>
    <w:rsid w:val="007E04C3"/>
    <w:rsid w:val="007E0582"/>
    <w:rsid w:val="007E08AD"/>
    <w:rsid w:val="007E0EE8"/>
    <w:rsid w:val="007E10AD"/>
    <w:rsid w:val="007E12D0"/>
    <w:rsid w:val="007E15AE"/>
    <w:rsid w:val="007E1758"/>
    <w:rsid w:val="007E1853"/>
    <w:rsid w:val="007E188C"/>
    <w:rsid w:val="007E1B04"/>
    <w:rsid w:val="007E247B"/>
    <w:rsid w:val="007E28E8"/>
    <w:rsid w:val="007E298D"/>
    <w:rsid w:val="007E2B64"/>
    <w:rsid w:val="007E2D4B"/>
    <w:rsid w:val="007E2FC3"/>
    <w:rsid w:val="007E33E4"/>
    <w:rsid w:val="007E3715"/>
    <w:rsid w:val="007E3865"/>
    <w:rsid w:val="007E3EBC"/>
    <w:rsid w:val="007E4080"/>
    <w:rsid w:val="007E41BE"/>
    <w:rsid w:val="007E41F2"/>
    <w:rsid w:val="007E4210"/>
    <w:rsid w:val="007E4223"/>
    <w:rsid w:val="007E430C"/>
    <w:rsid w:val="007E46F1"/>
    <w:rsid w:val="007E476C"/>
    <w:rsid w:val="007E4A52"/>
    <w:rsid w:val="007E4CFF"/>
    <w:rsid w:val="007E4D56"/>
    <w:rsid w:val="007E4F15"/>
    <w:rsid w:val="007E549A"/>
    <w:rsid w:val="007E5794"/>
    <w:rsid w:val="007E58F5"/>
    <w:rsid w:val="007E5907"/>
    <w:rsid w:val="007E5945"/>
    <w:rsid w:val="007E5CA3"/>
    <w:rsid w:val="007E5D14"/>
    <w:rsid w:val="007E61B6"/>
    <w:rsid w:val="007E6292"/>
    <w:rsid w:val="007E6409"/>
    <w:rsid w:val="007E6667"/>
    <w:rsid w:val="007E674C"/>
    <w:rsid w:val="007E6790"/>
    <w:rsid w:val="007E6BF5"/>
    <w:rsid w:val="007E6C0B"/>
    <w:rsid w:val="007E6C3D"/>
    <w:rsid w:val="007E6F23"/>
    <w:rsid w:val="007E7023"/>
    <w:rsid w:val="007E73E5"/>
    <w:rsid w:val="007E7441"/>
    <w:rsid w:val="007E775E"/>
    <w:rsid w:val="007E784D"/>
    <w:rsid w:val="007E7EFA"/>
    <w:rsid w:val="007F010C"/>
    <w:rsid w:val="007F02B4"/>
    <w:rsid w:val="007F08A5"/>
    <w:rsid w:val="007F0E3B"/>
    <w:rsid w:val="007F10F1"/>
    <w:rsid w:val="007F1106"/>
    <w:rsid w:val="007F1963"/>
    <w:rsid w:val="007F232C"/>
    <w:rsid w:val="007F234C"/>
    <w:rsid w:val="007F23BA"/>
    <w:rsid w:val="007F2429"/>
    <w:rsid w:val="007F2492"/>
    <w:rsid w:val="007F24D6"/>
    <w:rsid w:val="007F2514"/>
    <w:rsid w:val="007F275B"/>
    <w:rsid w:val="007F28D3"/>
    <w:rsid w:val="007F2A10"/>
    <w:rsid w:val="007F2B98"/>
    <w:rsid w:val="007F2E17"/>
    <w:rsid w:val="007F3068"/>
    <w:rsid w:val="007F31DD"/>
    <w:rsid w:val="007F326B"/>
    <w:rsid w:val="007F3380"/>
    <w:rsid w:val="007F3468"/>
    <w:rsid w:val="007F34B9"/>
    <w:rsid w:val="007F359D"/>
    <w:rsid w:val="007F3659"/>
    <w:rsid w:val="007F3B49"/>
    <w:rsid w:val="007F3D02"/>
    <w:rsid w:val="007F3DB4"/>
    <w:rsid w:val="007F44FD"/>
    <w:rsid w:val="007F47BB"/>
    <w:rsid w:val="007F491A"/>
    <w:rsid w:val="007F492D"/>
    <w:rsid w:val="007F4A36"/>
    <w:rsid w:val="007F4EDE"/>
    <w:rsid w:val="007F4F19"/>
    <w:rsid w:val="007F501C"/>
    <w:rsid w:val="007F5385"/>
    <w:rsid w:val="007F58CB"/>
    <w:rsid w:val="007F5A67"/>
    <w:rsid w:val="007F5BD5"/>
    <w:rsid w:val="007F5DCC"/>
    <w:rsid w:val="007F641D"/>
    <w:rsid w:val="007F6D57"/>
    <w:rsid w:val="007F6F81"/>
    <w:rsid w:val="007F7244"/>
    <w:rsid w:val="007F72C3"/>
    <w:rsid w:val="007F7734"/>
    <w:rsid w:val="007F77B4"/>
    <w:rsid w:val="007F78F5"/>
    <w:rsid w:val="007F7B0D"/>
    <w:rsid w:val="007F7C10"/>
    <w:rsid w:val="007F7E47"/>
    <w:rsid w:val="00800019"/>
    <w:rsid w:val="008000F2"/>
    <w:rsid w:val="008002E5"/>
    <w:rsid w:val="0080059F"/>
    <w:rsid w:val="00800806"/>
    <w:rsid w:val="008009A6"/>
    <w:rsid w:val="00800F97"/>
    <w:rsid w:val="00801312"/>
    <w:rsid w:val="008014F0"/>
    <w:rsid w:val="008018F9"/>
    <w:rsid w:val="00801AA5"/>
    <w:rsid w:val="00801B93"/>
    <w:rsid w:val="00801E4B"/>
    <w:rsid w:val="00801F38"/>
    <w:rsid w:val="00801F7C"/>
    <w:rsid w:val="0080219A"/>
    <w:rsid w:val="0080289F"/>
    <w:rsid w:val="00802DC4"/>
    <w:rsid w:val="00802E50"/>
    <w:rsid w:val="00803341"/>
    <w:rsid w:val="008035EC"/>
    <w:rsid w:val="008039A8"/>
    <w:rsid w:val="008039B2"/>
    <w:rsid w:val="00803D85"/>
    <w:rsid w:val="00803F42"/>
    <w:rsid w:val="00804146"/>
    <w:rsid w:val="00804649"/>
    <w:rsid w:val="00804675"/>
    <w:rsid w:val="00804B23"/>
    <w:rsid w:val="00804B6D"/>
    <w:rsid w:val="00804DA7"/>
    <w:rsid w:val="00804FCF"/>
    <w:rsid w:val="00805240"/>
    <w:rsid w:val="00805699"/>
    <w:rsid w:val="00805734"/>
    <w:rsid w:val="00806496"/>
    <w:rsid w:val="008068C0"/>
    <w:rsid w:val="00806AD3"/>
    <w:rsid w:val="00806AEB"/>
    <w:rsid w:val="0080701A"/>
    <w:rsid w:val="0080704A"/>
    <w:rsid w:val="008070DD"/>
    <w:rsid w:val="0080713D"/>
    <w:rsid w:val="008071C6"/>
    <w:rsid w:val="008072AB"/>
    <w:rsid w:val="0080756C"/>
    <w:rsid w:val="008075E4"/>
    <w:rsid w:val="00807D64"/>
    <w:rsid w:val="00807F77"/>
    <w:rsid w:val="00810013"/>
    <w:rsid w:val="00810027"/>
    <w:rsid w:val="0081043F"/>
    <w:rsid w:val="00810518"/>
    <w:rsid w:val="00810671"/>
    <w:rsid w:val="00810944"/>
    <w:rsid w:val="00810966"/>
    <w:rsid w:val="00810ED5"/>
    <w:rsid w:val="00810FD9"/>
    <w:rsid w:val="00811044"/>
    <w:rsid w:val="008117ED"/>
    <w:rsid w:val="00811B93"/>
    <w:rsid w:val="00811C39"/>
    <w:rsid w:val="008121BC"/>
    <w:rsid w:val="00812219"/>
    <w:rsid w:val="008123A0"/>
    <w:rsid w:val="008126F3"/>
    <w:rsid w:val="008127D8"/>
    <w:rsid w:val="00813411"/>
    <w:rsid w:val="00813492"/>
    <w:rsid w:val="00813552"/>
    <w:rsid w:val="00813677"/>
    <w:rsid w:val="00813C06"/>
    <w:rsid w:val="00813D05"/>
    <w:rsid w:val="00813E90"/>
    <w:rsid w:val="00814086"/>
    <w:rsid w:val="00814270"/>
    <w:rsid w:val="008143E5"/>
    <w:rsid w:val="008146D7"/>
    <w:rsid w:val="008148A8"/>
    <w:rsid w:val="00814975"/>
    <w:rsid w:val="00814D47"/>
    <w:rsid w:val="00814E9A"/>
    <w:rsid w:val="00815308"/>
    <w:rsid w:val="008156B1"/>
    <w:rsid w:val="0081571A"/>
    <w:rsid w:val="008157B2"/>
    <w:rsid w:val="00815B43"/>
    <w:rsid w:val="00815C52"/>
    <w:rsid w:val="00815C59"/>
    <w:rsid w:val="00815C62"/>
    <w:rsid w:val="00816056"/>
    <w:rsid w:val="0081648E"/>
    <w:rsid w:val="00816A49"/>
    <w:rsid w:val="00816B3B"/>
    <w:rsid w:val="00816DA5"/>
    <w:rsid w:val="0081712D"/>
    <w:rsid w:val="00817285"/>
    <w:rsid w:val="00817376"/>
    <w:rsid w:val="00817481"/>
    <w:rsid w:val="00817B1F"/>
    <w:rsid w:val="008200B1"/>
    <w:rsid w:val="008201E7"/>
    <w:rsid w:val="00820237"/>
    <w:rsid w:val="00820273"/>
    <w:rsid w:val="00820285"/>
    <w:rsid w:val="008202C1"/>
    <w:rsid w:val="008202E0"/>
    <w:rsid w:val="00820336"/>
    <w:rsid w:val="008203C3"/>
    <w:rsid w:val="0082067D"/>
    <w:rsid w:val="008206F7"/>
    <w:rsid w:val="00820CD0"/>
    <w:rsid w:val="00820F9A"/>
    <w:rsid w:val="0082105C"/>
    <w:rsid w:val="008216E4"/>
    <w:rsid w:val="008218D5"/>
    <w:rsid w:val="00821D35"/>
    <w:rsid w:val="00821DB1"/>
    <w:rsid w:val="00822256"/>
    <w:rsid w:val="0082253C"/>
    <w:rsid w:val="00822621"/>
    <w:rsid w:val="008226C2"/>
    <w:rsid w:val="008226D1"/>
    <w:rsid w:val="00822AEF"/>
    <w:rsid w:val="00823200"/>
    <w:rsid w:val="0082321F"/>
    <w:rsid w:val="0082328E"/>
    <w:rsid w:val="008232D0"/>
    <w:rsid w:val="0082349E"/>
    <w:rsid w:val="008235E9"/>
    <w:rsid w:val="00823874"/>
    <w:rsid w:val="00824008"/>
    <w:rsid w:val="008240DE"/>
    <w:rsid w:val="0082446D"/>
    <w:rsid w:val="00824686"/>
    <w:rsid w:val="008248B4"/>
    <w:rsid w:val="00824999"/>
    <w:rsid w:val="00824EED"/>
    <w:rsid w:val="00824F06"/>
    <w:rsid w:val="00825323"/>
    <w:rsid w:val="008258E1"/>
    <w:rsid w:val="008259B0"/>
    <w:rsid w:val="00825A87"/>
    <w:rsid w:val="00825DF5"/>
    <w:rsid w:val="00825F33"/>
    <w:rsid w:val="008260D9"/>
    <w:rsid w:val="008260E1"/>
    <w:rsid w:val="008267C4"/>
    <w:rsid w:val="008270AF"/>
    <w:rsid w:val="00827325"/>
    <w:rsid w:val="0082774C"/>
    <w:rsid w:val="008277A0"/>
    <w:rsid w:val="00827842"/>
    <w:rsid w:val="00827BF0"/>
    <w:rsid w:val="00827C6B"/>
    <w:rsid w:val="00830AB1"/>
    <w:rsid w:val="00830BC4"/>
    <w:rsid w:val="00830CDD"/>
    <w:rsid w:val="00830CF6"/>
    <w:rsid w:val="00830D88"/>
    <w:rsid w:val="00830F48"/>
    <w:rsid w:val="00830FA2"/>
    <w:rsid w:val="00831206"/>
    <w:rsid w:val="0083155B"/>
    <w:rsid w:val="00831718"/>
    <w:rsid w:val="0083181B"/>
    <w:rsid w:val="00831B6C"/>
    <w:rsid w:val="00831F14"/>
    <w:rsid w:val="00832170"/>
    <w:rsid w:val="008324AB"/>
    <w:rsid w:val="008326E5"/>
    <w:rsid w:val="008327D4"/>
    <w:rsid w:val="00832812"/>
    <w:rsid w:val="00832B93"/>
    <w:rsid w:val="00832C97"/>
    <w:rsid w:val="00832FD3"/>
    <w:rsid w:val="00833186"/>
    <w:rsid w:val="008332AA"/>
    <w:rsid w:val="008333F6"/>
    <w:rsid w:val="008334A5"/>
    <w:rsid w:val="008336EB"/>
    <w:rsid w:val="008337C9"/>
    <w:rsid w:val="00833868"/>
    <w:rsid w:val="00833962"/>
    <w:rsid w:val="008339D0"/>
    <w:rsid w:val="00833E20"/>
    <w:rsid w:val="00833E8B"/>
    <w:rsid w:val="008340C1"/>
    <w:rsid w:val="0083421D"/>
    <w:rsid w:val="00834365"/>
    <w:rsid w:val="008343BB"/>
    <w:rsid w:val="008344DC"/>
    <w:rsid w:val="008346BD"/>
    <w:rsid w:val="00834733"/>
    <w:rsid w:val="0083487B"/>
    <w:rsid w:val="00834A84"/>
    <w:rsid w:val="00834B89"/>
    <w:rsid w:val="00834D48"/>
    <w:rsid w:val="00834DC2"/>
    <w:rsid w:val="00834E23"/>
    <w:rsid w:val="0083518C"/>
    <w:rsid w:val="0083529C"/>
    <w:rsid w:val="00835415"/>
    <w:rsid w:val="008354D9"/>
    <w:rsid w:val="00835833"/>
    <w:rsid w:val="0083586D"/>
    <w:rsid w:val="00835A3A"/>
    <w:rsid w:val="00835D32"/>
    <w:rsid w:val="00835DD3"/>
    <w:rsid w:val="00835EA3"/>
    <w:rsid w:val="0083607C"/>
    <w:rsid w:val="008361CD"/>
    <w:rsid w:val="0083629E"/>
    <w:rsid w:val="0083639B"/>
    <w:rsid w:val="008364C6"/>
    <w:rsid w:val="008368EF"/>
    <w:rsid w:val="00836B8A"/>
    <w:rsid w:val="00836FD9"/>
    <w:rsid w:val="00836FE7"/>
    <w:rsid w:val="00837236"/>
    <w:rsid w:val="00837344"/>
    <w:rsid w:val="0083734B"/>
    <w:rsid w:val="00837835"/>
    <w:rsid w:val="00837B1B"/>
    <w:rsid w:val="00837C32"/>
    <w:rsid w:val="00837FA0"/>
    <w:rsid w:val="00837FF7"/>
    <w:rsid w:val="008402DC"/>
    <w:rsid w:val="0084038B"/>
    <w:rsid w:val="00840960"/>
    <w:rsid w:val="00840A2B"/>
    <w:rsid w:val="00840CD0"/>
    <w:rsid w:val="00840F4E"/>
    <w:rsid w:val="00840FF8"/>
    <w:rsid w:val="00841269"/>
    <w:rsid w:val="0084169F"/>
    <w:rsid w:val="00841947"/>
    <w:rsid w:val="00841C3D"/>
    <w:rsid w:val="00841C41"/>
    <w:rsid w:val="00841CE2"/>
    <w:rsid w:val="00841EA9"/>
    <w:rsid w:val="0084256E"/>
    <w:rsid w:val="008425C9"/>
    <w:rsid w:val="00842693"/>
    <w:rsid w:val="00842812"/>
    <w:rsid w:val="00842B84"/>
    <w:rsid w:val="00842CF7"/>
    <w:rsid w:val="00842EC2"/>
    <w:rsid w:val="008430A3"/>
    <w:rsid w:val="008430F8"/>
    <w:rsid w:val="008432DC"/>
    <w:rsid w:val="008435AE"/>
    <w:rsid w:val="00843748"/>
    <w:rsid w:val="008437C3"/>
    <w:rsid w:val="00843B30"/>
    <w:rsid w:val="00843C0A"/>
    <w:rsid w:val="00843EF0"/>
    <w:rsid w:val="00843F70"/>
    <w:rsid w:val="00844308"/>
    <w:rsid w:val="00844356"/>
    <w:rsid w:val="00844368"/>
    <w:rsid w:val="00844460"/>
    <w:rsid w:val="00844543"/>
    <w:rsid w:val="0084472A"/>
    <w:rsid w:val="008448C6"/>
    <w:rsid w:val="008448DD"/>
    <w:rsid w:val="00844FA5"/>
    <w:rsid w:val="008450D3"/>
    <w:rsid w:val="008452FA"/>
    <w:rsid w:val="00845505"/>
    <w:rsid w:val="0084551C"/>
    <w:rsid w:val="00845546"/>
    <w:rsid w:val="0084583D"/>
    <w:rsid w:val="008458A9"/>
    <w:rsid w:val="00845B57"/>
    <w:rsid w:val="00845C7F"/>
    <w:rsid w:val="00846059"/>
    <w:rsid w:val="00846279"/>
    <w:rsid w:val="0084654E"/>
    <w:rsid w:val="008466A3"/>
    <w:rsid w:val="0084675F"/>
    <w:rsid w:val="0084679B"/>
    <w:rsid w:val="00846D33"/>
    <w:rsid w:val="00846D76"/>
    <w:rsid w:val="00846E51"/>
    <w:rsid w:val="00847104"/>
    <w:rsid w:val="0084731B"/>
    <w:rsid w:val="0084755C"/>
    <w:rsid w:val="008475DB"/>
    <w:rsid w:val="00847603"/>
    <w:rsid w:val="0084772D"/>
    <w:rsid w:val="00847818"/>
    <w:rsid w:val="008478E4"/>
    <w:rsid w:val="00847A50"/>
    <w:rsid w:val="00847F78"/>
    <w:rsid w:val="008500FF"/>
    <w:rsid w:val="00850151"/>
    <w:rsid w:val="00850324"/>
    <w:rsid w:val="008506EF"/>
    <w:rsid w:val="008507A2"/>
    <w:rsid w:val="008508E4"/>
    <w:rsid w:val="008509B7"/>
    <w:rsid w:val="00850A90"/>
    <w:rsid w:val="00850C15"/>
    <w:rsid w:val="00850F68"/>
    <w:rsid w:val="008514EA"/>
    <w:rsid w:val="008516B2"/>
    <w:rsid w:val="008516D5"/>
    <w:rsid w:val="00851BA2"/>
    <w:rsid w:val="0085232D"/>
    <w:rsid w:val="0085255A"/>
    <w:rsid w:val="008526CD"/>
    <w:rsid w:val="008527C7"/>
    <w:rsid w:val="0085287F"/>
    <w:rsid w:val="00852A9A"/>
    <w:rsid w:val="00852C13"/>
    <w:rsid w:val="00852DCD"/>
    <w:rsid w:val="00852F75"/>
    <w:rsid w:val="00852FB0"/>
    <w:rsid w:val="0085352D"/>
    <w:rsid w:val="00853544"/>
    <w:rsid w:val="00853634"/>
    <w:rsid w:val="00853643"/>
    <w:rsid w:val="00853724"/>
    <w:rsid w:val="00854012"/>
    <w:rsid w:val="0085441F"/>
    <w:rsid w:val="00854467"/>
    <w:rsid w:val="00854511"/>
    <w:rsid w:val="00854ABD"/>
    <w:rsid w:val="00854BAA"/>
    <w:rsid w:val="00854C53"/>
    <w:rsid w:val="0085509B"/>
    <w:rsid w:val="0085530E"/>
    <w:rsid w:val="008559B3"/>
    <w:rsid w:val="008560BE"/>
    <w:rsid w:val="008567DF"/>
    <w:rsid w:val="00856D10"/>
    <w:rsid w:val="00857047"/>
    <w:rsid w:val="00857061"/>
    <w:rsid w:val="0085713A"/>
    <w:rsid w:val="008572AE"/>
    <w:rsid w:val="00857325"/>
    <w:rsid w:val="008575AB"/>
    <w:rsid w:val="0085770D"/>
    <w:rsid w:val="0085799A"/>
    <w:rsid w:val="00857A1F"/>
    <w:rsid w:val="00857A33"/>
    <w:rsid w:val="00857CEA"/>
    <w:rsid w:val="00857DAB"/>
    <w:rsid w:val="008600EA"/>
    <w:rsid w:val="00860337"/>
    <w:rsid w:val="0086054D"/>
    <w:rsid w:val="00860B99"/>
    <w:rsid w:val="00860CC1"/>
    <w:rsid w:val="008611DD"/>
    <w:rsid w:val="00861522"/>
    <w:rsid w:val="008617B9"/>
    <w:rsid w:val="00861C88"/>
    <w:rsid w:val="00861E1B"/>
    <w:rsid w:val="00862116"/>
    <w:rsid w:val="0086219F"/>
    <w:rsid w:val="0086221A"/>
    <w:rsid w:val="008623C1"/>
    <w:rsid w:val="00862602"/>
    <w:rsid w:val="00862669"/>
    <w:rsid w:val="008626F2"/>
    <w:rsid w:val="00862A28"/>
    <w:rsid w:val="00862ADC"/>
    <w:rsid w:val="00862C7F"/>
    <w:rsid w:val="00862D62"/>
    <w:rsid w:val="00862D75"/>
    <w:rsid w:val="008635A0"/>
    <w:rsid w:val="008638F6"/>
    <w:rsid w:val="0086392E"/>
    <w:rsid w:val="00863939"/>
    <w:rsid w:val="008639CC"/>
    <w:rsid w:val="00863C50"/>
    <w:rsid w:val="00863DE2"/>
    <w:rsid w:val="008649A5"/>
    <w:rsid w:val="00864C28"/>
    <w:rsid w:val="00864C75"/>
    <w:rsid w:val="00864E33"/>
    <w:rsid w:val="00865B46"/>
    <w:rsid w:val="00865CAB"/>
    <w:rsid w:val="00865E39"/>
    <w:rsid w:val="0086603C"/>
    <w:rsid w:val="008661DF"/>
    <w:rsid w:val="00866529"/>
    <w:rsid w:val="00866679"/>
    <w:rsid w:val="0086697E"/>
    <w:rsid w:val="00866B98"/>
    <w:rsid w:val="00866BB7"/>
    <w:rsid w:val="00866D00"/>
    <w:rsid w:val="00867009"/>
    <w:rsid w:val="008670BE"/>
    <w:rsid w:val="0086735D"/>
    <w:rsid w:val="008673B1"/>
    <w:rsid w:val="0086743B"/>
    <w:rsid w:val="008675B0"/>
    <w:rsid w:val="00867736"/>
    <w:rsid w:val="0086785C"/>
    <w:rsid w:val="0086788B"/>
    <w:rsid w:val="00867A94"/>
    <w:rsid w:val="00867A96"/>
    <w:rsid w:val="00867AC2"/>
    <w:rsid w:val="00867D35"/>
    <w:rsid w:val="0086A335"/>
    <w:rsid w:val="00870A76"/>
    <w:rsid w:val="00870BB7"/>
    <w:rsid w:val="00870E3F"/>
    <w:rsid w:val="00870ECE"/>
    <w:rsid w:val="008710E0"/>
    <w:rsid w:val="008712CE"/>
    <w:rsid w:val="00871537"/>
    <w:rsid w:val="008717A5"/>
    <w:rsid w:val="00871A12"/>
    <w:rsid w:val="00871BE8"/>
    <w:rsid w:val="00872084"/>
    <w:rsid w:val="008721B0"/>
    <w:rsid w:val="00872242"/>
    <w:rsid w:val="00872250"/>
    <w:rsid w:val="008726ED"/>
    <w:rsid w:val="00872A8F"/>
    <w:rsid w:val="00872BE5"/>
    <w:rsid w:val="0087319C"/>
    <w:rsid w:val="00873688"/>
    <w:rsid w:val="00873A0C"/>
    <w:rsid w:val="00873C28"/>
    <w:rsid w:val="00873F4B"/>
    <w:rsid w:val="00873FCF"/>
    <w:rsid w:val="00874041"/>
    <w:rsid w:val="00874164"/>
    <w:rsid w:val="008741EF"/>
    <w:rsid w:val="0087424B"/>
    <w:rsid w:val="008744E1"/>
    <w:rsid w:val="008746A0"/>
    <w:rsid w:val="00874C18"/>
    <w:rsid w:val="00874D76"/>
    <w:rsid w:val="00874FA4"/>
    <w:rsid w:val="0087520E"/>
    <w:rsid w:val="008753EF"/>
    <w:rsid w:val="00875416"/>
    <w:rsid w:val="008756B2"/>
    <w:rsid w:val="008757A0"/>
    <w:rsid w:val="008759B7"/>
    <w:rsid w:val="00875A29"/>
    <w:rsid w:val="00875D40"/>
    <w:rsid w:val="00875FDE"/>
    <w:rsid w:val="0087602F"/>
    <w:rsid w:val="00876340"/>
    <w:rsid w:val="00876688"/>
    <w:rsid w:val="00876936"/>
    <w:rsid w:val="00876968"/>
    <w:rsid w:val="00876BAF"/>
    <w:rsid w:val="008770C8"/>
    <w:rsid w:val="00877325"/>
    <w:rsid w:val="0087739B"/>
    <w:rsid w:val="00877436"/>
    <w:rsid w:val="00877553"/>
    <w:rsid w:val="0087784C"/>
    <w:rsid w:val="00877B86"/>
    <w:rsid w:val="00877BBE"/>
    <w:rsid w:val="00877DBA"/>
    <w:rsid w:val="00880498"/>
    <w:rsid w:val="00880554"/>
    <w:rsid w:val="00880A63"/>
    <w:rsid w:val="00880B82"/>
    <w:rsid w:val="00880C5C"/>
    <w:rsid w:val="00880DD7"/>
    <w:rsid w:val="00881060"/>
    <w:rsid w:val="00881195"/>
    <w:rsid w:val="008817FB"/>
    <w:rsid w:val="008818F6"/>
    <w:rsid w:val="00881A0F"/>
    <w:rsid w:val="00881BD0"/>
    <w:rsid w:val="0088215C"/>
    <w:rsid w:val="008824DA"/>
    <w:rsid w:val="0088261A"/>
    <w:rsid w:val="0088270E"/>
    <w:rsid w:val="008829F1"/>
    <w:rsid w:val="00882C36"/>
    <w:rsid w:val="00882E1A"/>
    <w:rsid w:val="008830F6"/>
    <w:rsid w:val="00883228"/>
    <w:rsid w:val="0088363B"/>
    <w:rsid w:val="00883B66"/>
    <w:rsid w:val="00883F7E"/>
    <w:rsid w:val="008841F1"/>
    <w:rsid w:val="00884611"/>
    <w:rsid w:val="00884711"/>
    <w:rsid w:val="008847FB"/>
    <w:rsid w:val="00884868"/>
    <w:rsid w:val="00884C2F"/>
    <w:rsid w:val="00884CFF"/>
    <w:rsid w:val="00884F18"/>
    <w:rsid w:val="00884F64"/>
    <w:rsid w:val="00885196"/>
    <w:rsid w:val="00885239"/>
    <w:rsid w:val="008852AF"/>
    <w:rsid w:val="0088573D"/>
    <w:rsid w:val="00885957"/>
    <w:rsid w:val="00885A39"/>
    <w:rsid w:val="00885A4A"/>
    <w:rsid w:val="00885A5F"/>
    <w:rsid w:val="00885BD7"/>
    <w:rsid w:val="00885C4A"/>
    <w:rsid w:val="00885CF9"/>
    <w:rsid w:val="00885DC4"/>
    <w:rsid w:val="00885F99"/>
    <w:rsid w:val="00886197"/>
    <w:rsid w:val="00886266"/>
    <w:rsid w:val="0088642D"/>
    <w:rsid w:val="008864E1"/>
    <w:rsid w:val="008865E4"/>
    <w:rsid w:val="00886A79"/>
    <w:rsid w:val="00886C5D"/>
    <w:rsid w:val="008870CC"/>
    <w:rsid w:val="0088723C"/>
    <w:rsid w:val="0088756C"/>
    <w:rsid w:val="00887635"/>
    <w:rsid w:val="00887FAE"/>
    <w:rsid w:val="00887FDF"/>
    <w:rsid w:val="008900C4"/>
    <w:rsid w:val="00890177"/>
    <w:rsid w:val="00890883"/>
    <w:rsid w:val="008908A0"/>
    <w:rsid w:val="008908C3"/>
    <w:rsid w:val="00890A72"/>
    <w:rsid w:val="00890C99"/>
    <w:rsid w:val="00890DCB"/>
    <w:rsid w:val="00890F4E"/>
    <w:rsid w:val="008911E1"/>
    <w:rsid w:val="00891263"/>
    <w:rsid w:val="008913DE"/>
    <w:rsid w:val="00891558"/>
    <w:rsid w:val="00891AC1"/>
    <w:rsid w:val="00891BD1"/>
    <w:rsid w:val="00891FF0"/>
    <w:rsid w:val="0089207C"/>
    <w:rsid w:val="0089211A"/>
    <w:rsid w:val="008923A3"/>
    <w:rsid w:val="00892410"/>
    <w:rsid w:val="0089242F"/>
    <w:rsid w:val="00892B00"/>
    <w:rsid w:val="00892B29"/>
    <w:rsid w:val="00893137"/>
    <w:rsid w:val="008931D0"/>
    <w:rsid w:val="00893583"/>
    <w:rsid w:val="00893B38"/>
    <w:rsid w:val="00893C30"/>
    <w:rsid w:val="00893D05"/>
    <w:rsid w:val="00893E9D"/>
    <w:rsid w:val="00893EA7"/>
    <w:rsid w:val="00893EC0"/>
    <w:rsid w:val="0089405C"/>
    <w:rsid w:val="00894268"/>
    <w:rsid w:val="00894331"/>
    <w:rsid w:val="008948E0"/>
    <w:rsid w:val="00894E00"/>
    <w:rsid w:val="00895161"/>
    <w:rsid w:val="008951B8"/>
    <w:rsid w:val="008956FC"/>
    <w:rsid w:val="008958A2"/>
    <w:rsid w:val="0089595D"/>
    <w:rsid w:val="0089597B"/>
    <w:rsid w:val="008959C1"/>
    <w:rsid w:val="00895C25"/>
    <w:rsid w:val="00895E3D"/>
    <w:rsid w:val="00895FB4"/>
    <w:rsid w:val="00896182"/>
    <w:rsid w:val="00896359"/>
    <w:rsid w:val="00896584"/>
    <w:rsid w:val="008966FB"/>
    <w:rsid w:val="0089671B"/>
    <w:rsid w:val="00896CA1"/>
    <w:rsid w:val="00896F60"/>
    <w:rsid w:val="0089731D"/>
    <w:rsid w:val="00897597"/>
    <w:rsid w:val="00897644"/>
    <w:rsid w:val="008976E8"/>
    <w:rsid w:val="00897F66"/>
    <w:rsid w:val="008A0347"/>
    <w:rsid w:val="008A07A7"/>
    <w:rsid w:val="008A08DD"/>
    <w:rsid w:val="008A08EA"/>
    <w:rsid w:val="008A09D9"/>
    <w:rsid w:val="008A0B62"/>
    <w:rsid w:val="008A0C1D"/>
    <w:rsid w:val="008A0D9C"/>
    <w:rsid w:val="008A11CB"/>
    <w:rsid w:val="008A12E4"/>
    <w:rsid w:val="008A131E"/>
    <w:rsid w:val="008A15DD"/>
    <w:rsid w:val="008A1690"/>
    <w:rsid w:val="008A1928"/>
    <w:rsid w:val="008A1948"/>
    <w:rsid w:val="008A1B5A"/>
    <w:rsid w:val="008A1C25"/>
    <w:rsid w:val="008A1D74"/>
    <w:rsid w:val="008A1E78"/>
    <w:rsid w:val="008A232B"/>
    <w:rsid w:val="008A2359"/>
    <w:rsid w:val="008A23AF"/>
    <w:rsid w:val="008A269A"/>
    <w:rsid w:val="008A28E9"/>
    <w:rsid w:val="008A28EB"/>
    <w:rsid w:val="008A2B63"/>
    <w:rsid w:val="008A2CE7"/>
    <w:rsid w:val="008A2DF8"/>
    <w:rsid w:val="008A31DB"/>
    <w:rsid w:val="008A3FE3"/>
    <w:rsid w:val="008A4028"/>
    <w:rsid w:val="008A4247"/>
    <w:rsid w:val="008A4422"/>
    <w:rsid w:val="008A447E"/>
    <w:rsid w:val="008A463D"/>
    <w:rsid w:val="008A4708"/>
    <w:rsid w:val="008A488A"/>
    <w:rsid w:val="008A4961"/>
    <w:rsid w:val="008A4A25"/>
    <w:rsid w:val="008A4D21"/>
    <w:rsid w:val="008A4D2A"/>
    <w:rsid w:val="008A4DEC"/>
    <w:rsid w:val="008A4F82"/>
    <w:rsid w:val="008A5823"/>
    <w:rsid w:val="008A593A"/>
    <w:rsid w:val="008A5AA2"/>
    <w:rsid w:val="008A5ABA"/>
    <w:rsid w:val="008A5C9D"/>
    <w:rsid w:val="008A604A"/>
    <w:rsid w:val="008A637C"/>
    <w:rsid w:val="008A6749"/>
    <w:rsid w:val="008A6A56"/>
    <w:rsid w:val="008A6AD0"/>
    <w:rsid w:val="008A6B95"/>
    <w:rsid w:val="008A6BFA"/>
    <w:rsid w:val="008A6E72"/>
    <w:rsid w:val="008A7016"/>
    <w:rsid w:val="008A708E"/>
    <w:rsid w:val="008A7120"/>
    <w:rsid w:val="008A7873"/>
    <w:rsid w:val="008A78EB"/>
    <w:rsid w:val="008B0087"/>
    <w:rsid w:val="008B00C1"/>
    <w:rsid w:val="008B025C"/>
    <w:rsid w:val="008B0360"/>
    <w:rsid w:val="008B0452"/>
    <w:rsid w:val="008B0CDA"/>
    <w:rsid w:val="008B10AB"/>
    <w:rsid w:val="008B1633"/>
    <w:rsid w:val="008B17B3"/>
    <w:rsid w:val="008B19A0"/>
    <w:rsid w:val="008B1B12"/>
    <w:rsid w:val="008B219E"/>
    <w:rsid w:val="008B21F7"/>
    <w:rsid w:val="008B223D"/>
    <w:rsid w:val="008B25C1"/>
    <w:rsid w:val="008B25F9"/>
    <w:rsid w:val="008B26DC"/>
    <w:rsid w:val="008B2708"/>
    <w:rsid w:val="008B2A60"/>
    <w:rsid w:val="008B2DAB"/>
    <w:rsid w:val="008B2FC5"/>
    <w:rsid w:val="008B2FEC"/>
    <w:rsid w:val="008B360F"/>
    <w:rsid w:val="008B3944"/>
    <w:rsid w:val="008B3B75"/>
    <w:rsid w:val="008B3BE0"/>
    <w:rsid w:val="008B3D59"/>
    <w:rsid w:val="008B3F38"/>
    <w:rsid w:val="008B44F4"/>
    <w:rsid w:val="008B44FA"/>
    <w:rsid w:val="008B4B4A"/>
    <w:rsid w:val="008B4BF9"/>
    <w:rsid w:val="008B4D33"/>
    <w:rsid w:val="008B4D4C"/>
    <w:rsid w:val="008B4DA5"/>
    <w:rsid w:val="008B539A"/>
    <w:rsid w:val="008B59A0"/>
    <w:rsid w:val="008B5BAE"/>
    <w:rsid w:val="008B5BC6"/>
    <w:rsid w:val="008B5C30"/>
    <w:rsid w:val="008B6202"/>
    <w:rsid w:val="008B631B"/>
    <w:rsid w:val="008B644B"/>
    <w:rsid w:val="008B64C8"/>
    <w:rsid w:val="008B6556"/>
    <w:rsid w:val="008B67B0"/>
    <w:rsid w:val="008B6830"/>
    <w:rsid w:val="008B69ED"/>
    <w:rsid w:val="008B6A53"/>
    <w:rsid w:val="008B6E09"/>
    <w:rsid w:val="008B6E20"/>
    <w:rsid w:val="008B6EAB"/>
    <w:rsid w:val="008B6EED"/>
    <w:rsid w:val="008B6F18"/>
    <w:rsid w:val="008B7045"/>
    <w:rsid w:val="008B7655"/>
    <w:rsid w:val="008B7B09"/>
    <w:rsid w:val="008B7C3E"/>
    <w:rsid w:val="008B7D1D"/>
    <w:rsid w:val="008B7F9E"/>
    <w:rsid w:val="008C015E"/>
    <w:rsid w:val="008C03B0"/>
    <w:rsid w:val="008C03ED"/>
    <w:rsid w:val="008C0453"/>
    <w:rsid w:val="008C047C"/>
    <w:rsid w:val="008C0544"/>
    <w:rsid w:val="008C0553"/>
    <w:rsid w:val="008C0694"/>
    <w:rsid w:val="008C0828"/>
    <w:rsid w:val="008C0B65"/>
    <w:rsid w:val="008C0C67"/>
    <w:rsid w:val="008C0D7C"/>
    <w:rsid w:val="008C0E84"/>
    <w:rsid w:val="008C1237"/>
    <w:rsid w:val="008C1584"/>
    <w:rsid w:val="008C17A8"/>
    <w:rsid w:val="008C1AF4"/>
    <w:rsid w:val="008C1B42"/>
    <w:rsid w:val="008C1B4D"/>
    <w:rsid w:val="008C1D80"/>
    <w:rsid w:val="008C1F61"/>
    <w:rsid w:val="008C24F3"/>
    <w:rsid w:val="008C24FC"/>
    <w:rsid w:val="008C257B"/>
    <w:rsid w:val="008C26A5"/>
    <w:rsid w:val="008C271E"/>
    <w:rsid w:val="008C272C"/>
    <w:rsid w:val="008C2A6F"/>
    <w:rsid w:val="008C2C6F"/>
    <w:rsid w:val="008C2CF4"/>
    <w:rsid w:val="008C3237"/>
    <w:rsid w:val="008C32BF"/>
    <w:rsid w:val="008C32EE"/>
    <w:rsid w:val="008C3349"/>
    <w:rsid w:val="008C3538"/>
    <w:rsid w:val="008C35FF"/>
    <w:rsid w:val="008C3790"/>
    <w:rsid w:val="008C3A51"/>
    <w:rsid w:val="008C3BE3"/>
    <w:rsid w:val="008C4089"/>
    <w:rsid w:val="008C42E5"/>
    <w:rsid w:val="008C43C3"/>
    <w:rsid w:val="008C45D4"/>
    <w:rsid w:val="008C47D2"/>
    <w:rsid w:val="008C482C"/>
    <w:rsid w:val="008C483B"/>
    <w:rsid w:val="008C4C98"/>
    <w:rsid w:val="008C4FA8"/>
    <w:rsid w:val="008C509F"/>
    <w:rsid w:val="008C50F9"/>
    <w:rsid w:val="008C52DE"/>
    <w:rsid w:val="008C541E"/>
    <w:rsid w:val="008C5ACC"/>
    <w:rsid w:val="008C5B19"/>
    <w:rsid w:val="008C5BB1"/>
    <w:rsid w:val="008C5CB1"/>
    <w:rsid w:val="008C5CB3"/>
    <w:rsid w:val="008C5E5E"/>
    <w:rsid w:val="008C5ED2"/>
    <w:rsid w:val="008C603F"/>
    <w:rsid w:val="008C60B9"/>
    <w:rsid w:val="008C60ED"/>
    <w:rsid w:val="008C62C7"/>
    <w:rsid w:val="008C6A10"/>
    <w:rsid w:val="008C6A18"/>
    <w:rsid w:val="008C6A4D"/>
    <w:rsid w:val="008C6AE2"/>
    <w:rsid w:val="008C6F82"/>
    <w:rsid w:val="008C700A"/>
    <w:rsid w:val="008C7306"/>
    <w:rsid w:val="008C74C0"/>
    <w:rsid w:val="008C7580"/>
    <w:rsid w:val="008C76F4"/>
    <w:rsid w:val="008C7AB4"/>
    <w:rsid w:val="008D00F8"/>
    <w:rsid w:val="008D0146"/>
    <w:rsid w:val="008D065C"/>
    <w:rsid w:val="008D0794"/>
    <w:rsid w:val="008D081A"/>
    <w:rsid w:val="008D093F"/>
    <w:rsid w:val="008D0AC7"/>
    <w:rsid w:val="008D0B47"/>
    <w:rsid w:val="008D0D29"/>
    <w:rsid w:val="008D11F6"/>
    <w:rsid w:val="008D12AC"/>
    <w:rsid w:val="008D188F"/>
    <w:rsid w:val="008D1C2A"/>
    <w:rsid w:val="008D1D8C"/>
    <w:rsid w:val="008D1DDD"/>
    <w:rsid w:val="008D256D"/>
    <w:rsid w:val="008D2688"/>
    <w:rsid w:val="008D299D"/>
    <w:rsid w:val="008D2ABB"/>
    <w:rsid w:val="008D2B3E"/>
    <w:rsid w:val="008D2DD6"/>
    <w:rsid w:val="008D2FE0"/>
    <w:rsid w:val="008D309A"/>
    <w:rsid w:val="008D3152"/>
    <w:rsid w:val="008D33A9"/>
    <w:rsid w:val="008D3514"/>
    <w:rsid w:val="008D3AAE"/>
    <w:rsid w:val="008D3C16"/>
    <w:rsid w:val="008D3FFE"/>
    <w:rsid w:val="008D458F"/>
    <w:rsid w:val="008D4C2E"/>
    <w:rsid w:val="008D4D56"/>
    <w:rsid w:val="008D542A"/>
    <w:rsid w:val="008D5741"/>
    <w:rsid w:val="008D59A0"/>
    <w:rsid w:val="008D5CA2"/>
    <w:rsid w:val="008D5CEA"/>
    <w:rsid w:val="008D5E2C"/>
    <w:rsid w:val="008D5F7A"/>
    <w:rsid w:val="008D6395"/>
    <w:rsid w:val="008D64A4"/>
    <w:rsid w:val="008D64F6"/>
    <w:rsid w:val="008D665D"/>
    <w:rsid w:val="008D686A"/>
    <w:rsid w:val="008D68D7"/>
    <w:rsid w:val="008D698B"/>
    <w:rsid w:val="008D69A9"/>
    <w:rsid w:val="008D6BCD"/>
    <w:rsid w:val="008D7054"/>
    <w:rsid w:val="008D71D5"/>
    <w:rsid w:val="008D7206"/>
    <w:rsid w:val="008D7359"/>
    <w:rsid w:val="008D7444"/>
    <w:rsid w:val="008D77C5"/>
    <w:rsid w:val="008D7851"/>
    <w:rsid w:val="008D7ADC"/>
    <w:rsid w:val="008D7B46"/>
    <w:rsid w:val="008D7C13"/>
    <w:rsid w:val="008D7D24"/>
    <w:rsid w:val="008D7F1F"/>
    <w:rsid w:val="008E01E4"/>
    <w:rsid w:val="008E05AF"/>
    <w:rsid w:val="008E07DF"/>
    <w:rsid w:val="008E093B"/>
    <w:rsid w:val="008E09D2"/>
    <w:rsid w:val="008E0E7E"/>
    <w:rsid w:val="008E0FAC"/>
    <w:rsid w:val="008E111E"/>
    <w:rsid w:val="008E1413"/>
    <w:rsid w:val="008E14A7"/>
    <w:rsid w:val="008E15E7"/>
    <w:rsid w:val="008E17B5"/>
    <w:rsid w:val="008E1D31"/>
    <w:rsid w:val="008E1E9A"/>
    <w:rsid w:val="008E241C"/>
    <w:rsid w:val="008E2645"/>
    <w:rsid w:val="008E264B"/>
    <w:rsid w:val="008E2912"/>
    <w:rsid w:val="008E294A"/>
    <w:rsid w:val="008E297B"/>
    <w:rsid w:val="008E2AB6"/>
    <w:rsid w:val="008E2B4F"/>
    <w:rsid w:val="008E2D54"/>
    <w:rsid w:val="008E2EB7"/>
    <w:rsid w:val="008E322F"/>
    <w:rsid w:val="008E330C"/>
    <w:rsid w:val="008E3369"/>
    <w:rsid w:val="008E347E"/>
    <w:rsid w:val="008E350D"/>
    <w:rsid w:val="008E3591"/>
    <w:rsid w:val="008E3604"/>
    <w:rsid w:val="008E3B5C"/>
    <w:rsid w:val="008E3E92"/>
    <w:rsid w:val="008E4049"/>
    <w:rsid w:val="008E405E"/>
    <w:rsid w:val="008E440A"/>
    <w:rsid w:val="008E4545"/>
    <w:rsid w:val="008E4672"/>
    <w:rsid w:val="008E4709"/>
    <w:rsid w:val="008E4A03"/>
    <w:rsid w:val="008E4DF7"/>
    <w:rsid w:val="008E501E"/>
    <w:rsid w:val="008E5063"/>
    <w:rsid w:val="008E550D"/>
    <w:rsid w:val="008E5930"/>
    <w:rsid w:val="008E5A22"/>
    <w:rsid w:val="008E5AC1"/>
    <w:rsid w:val="008E5B12"/>
    <w:rsid w:val="008E5BF7"/>
    <w:rsid w:val="008E5D16"/>
    <w:rsid w:val="008E5EAF"/>
    <w:rsid w:val="008E61E1"/>
    <w:rsid w:val="008E6294"/>
    <w:rsid w:val="008E63A8"/>
    <w:rsid w:val="008E66F0"/>
    <w:rsid w:val="008E67BF"/>
    <w:rsid w:val="008E69C7"/>
    <w:rsid w:val="008E69C8"/>
    <w:rsid w:val="008E6A13"/>
    <w:rsid w:val="008E6BEB"/>
    <w:rsid w:val="008E6CFA"/>
    <w:rsid w:val="008E7076"/>
    <w:rsid w:val="008E70E4"/>
    <w:rsid w:val="008E7566"/>
    <w:rsid w:val="008E7579"/>
    <w:rsid w:val="008E75E0"/>
    <w:rsid w:val="008E783F"/>
    <w:rsid w:val="008E786F"/>
    <w:rsid w:val="008E7896"/>
    <w:rsid w:val="008E79A6"/>
    <w:rsid w:val="008E7BA7"/>
    <w:rsid w:val="008F0087"/>
    <w:rsid w:val="008F0206"/>
    <w:rsid w:val="008F030B"/>
    <w:rsid w:val="008F0468"/>
    <w:rsid w:val="008F05A6"/>
    <w:rsid w:val="008F0883"/>
    <w:rsid w:val="008F09B2"/>
    <w:rsid w:val="008F0A71"/>
    <w:rsid w:val="008F0DA7"/>
    <w:rsid w:val="008F1070"/>
    <w:rsid w:val="008F114F"/>
    <w:rsid w:val="008F11F3"/>
    <w:rsid w:val="008F1784"/>
    <w:rsid w:val="008F17DA"/>
    <w:rsid w:val="008F1B70"/>
    <w:rsid w:val="008F1B8D"/>
    <w:rsid w:val="008F1DBA"/>
    <w:rsid w:val="008F227D"/>
    <w:rsid w:val="008F29DF"/>
    <w:rsid w:val="008F2BED"/>
    <w:rsid w:val="008F2C62"/>
    <w:rsid w:val="008F2FCF"/>
    <w:rsid w:val="008F33C7"/>
    <w:rsid w:val="008F349A"/>
    <w:rsid w:val="008F429C"/>
    <w:rsid w:val="008F4377"/>
    <w:rsid w:val="008F46F7"/>
    <w:rsid w:val="008F477D"/>
    <w:rsid w:val="008F489A"/>
    <w:rsid w:val="008F497C"/>
    <w:rsid w:val="008F4C19"/>
    <w:rsid w:val="008F5087"/>
    <w:rsid w:val="008F5139"/>
    <w:rsid w:val="008F52C1"/>
    <w:rsid w:val="008F54DF"/>
    <w:rsid w:val="008F5827"/>
    <w:rsid w:val="008F583C"/>
    <w:rsid w:val="008F584F"/>
    <w:rsid w:val="008F5C1B"/>
    <w:rsid w:val="008F5C4E"/>
    <w:rsid w:val="008F5D24"/>
    <w:rsid w:val="008F5E13"/>
    <w:rsid w:val="008F5FAF"/>
    <w:rsid w:val="008F617F"/>
    <w:rsid w:val="008F61CD"/>
    <w:rsid w:val="008F63A3"/>
    <w:rsid w:val="008F6852"/>
    <w:rsid w:val="008F68F7"/>
    <w:rsid w:val="008F69A3"/>
    <w:rsid w:val="008F6A0B"/>
    <w:rsid w:val="008F6A67"/>
    <w:rsid w:val="008F6ECD"/>
    <w:rsid w:val="008F721D"/>
    <w:rsid w:val="008F72BA"/>
    <w:rsid w:val="008F7A93"/>
    <w:rsid w:val="008F7CFC"/>
    <w:rsid w:val="009000AD"/>
    <w:rsid w:val="00900476"/>
    <w:rsid w:val="009006E1"/>
    <w:rsid w:val="00900835"/>
    <w:rsid w:val="00900A42"/>
    <w:rsid w:val="00900A5B"/>
    <w:rsid w:val="00900A86"/>
    <w:rsid w:val="00900AE4"/>
    <w:rsid w:val="00900AF3"/>
    <w:rsid w:val="00900C54"/>
    <w:rsid w:val="00900D2C"/>
    <w:rsid w:val="00900D56"/>
    <w:rsid w:val="00900E2D"/>
    <w:rsid w:val="00900F4E"/>
    <w:rsid w:val="009011B5"/>
    <w:rsid w:val="009011E3"/>
    <w:rsid w:val="009013AD"/>
    <w:rsid w:val="00901A44"/>
    <w:rsid w:val="00901A5F"/>
    <w:rsid w:val="00902033"/>
    <w:rsid w:val="0090212C"/>
    <w:rsid w:val="00902136"/>
    <w:rsid w:val="009021B6"/>
    <w:rsid w:val="009021E4"/>
    <w:rsid w:val="009022A3"/>
    <w:rsid w:val="00902551"/>
    <w:rsid w:val="00902B4B"/>
    <w:rsid w:val="00902F31"/>
    <w:rsid w:val="009031D6"/>
    <w:rsid w:val="0090332C"/>
    <w:rsid w:val="0090352E"/>
    <w:rsid w:val="009037CE"/>
    <w:rsid w:val="009038F1"/>
    <w:rsid w:val="00903B0B"/>
    <w:rsid w:val="00903CEF"/>
    <w:rsid w:val="00903F0E"/>
    <w:rsid w:val="009045A5"/>
    <w:rsid w:val="009048CF"/>
    <w:rsid w:val="00904D29"/>
    <w:rsid w:val="00904FF8"/>
    <w:rsid w:val="00905051"/>
    <w:rsid w:val="009050D7"/>
    <w:rsid w:val="00905791"/>
    <w:rsid w:val="00905D02"/>
    <w:rsid w:val="00905D0C"/>
    <w:rsid w:val="00905E97"/>
    <w:rsid w:val="00906201"/>
    <w:rsid w:val="00906258"/>
    <w:rsid w:val="00906281"/>
    <w:rsid w:val="0090638C"/>
    <w:rsid w:val="009063C7"/>
    <w:rsid w:val="0090649B"/>
    <w:rsid w:val="00906548"/>
    <w:rsid w:val="0090674B"/>
    <w:rsid w:val="009068C7"/>
    <w:rsid w:val="00906B11"/>
    <w:rsid w:val="00906C5C"/>
    <w:rsid w:val="00906D22"/>
    <w:rsid w:val="0090713C"/>
    <w:rsid w:val="0090760E"/>
    <w:rsid w:val="0090767C"/>
    <w:rsid w:val="009076FF"/>
    <w:rsid w:val="009078D8"/>
    <w:rsid w:val="00907A3E"/>
    <w:rsid w:val="009102F3"/>
    <w:rsid w:val="0091032B"/>
    <w:rsid w:val="0091055D"/>
    <w:rsid w:val="00910EEF"/>
    <w:rsid w:val="00910EF3"/>
    <w:rsid w:val="00911142"/>
    <w:rsid w:val="009115BC"/>
    <w:rsid w:val="009115E3"/>
    <w:rsid w:val="00911657"/>
    <w:rsid w:val="00911675"/>
    <w:rsid w:val="0091193C"/>
    <w:rsid w:val="00911DCA"/>
    <w:rsid w:val="009122F0"/>
    <w:rsid w:val="00912BBF"/>
    <w:rsid w:val="00912FA5"/>
    <w:rsid w:val="00913147"/>
    <w:rsid w:val="009132B5"/>
    <w:rsid w:val="009133D7"/>
    <w:rsid w:val="00913497"/>
    <w:rsid w:val="0091373F"/>
    <w:rsid w:val="00913774"/>
    <w:rsid w:val="00913814"/>
    <w:rsid w:val="0091390E"/>
    <w:rsid w:val="00913B1B"/>
    <w:rsid w:val="00913B5A"/>
    <w:rsid w:val="00913F44"/>
    <w:rsid w:val="00914184"/>
    <w:rsid w:val="009142EC"/>
    <w:rsid w:val="009144B5"/>
    <w:rsid w:val="00914806"/>
    <w:rsid w:val="00914A19"/>
    <w:rsid w:val="00914AB9"/>
    <w:rsid w:val="00914AD6"/>
    <w:rsid w:val="00914CC2"/>
    <w:rsid w:val="00914D2F"/>
    <w:rsid w:val="00914E4D"/>
    <w:rsid w:val="00914FDC"/>
    <w:rsid w:val="0091558F"/>
    <w:rsid w:val="0091566E"/>
    <w:rsid w:val="00915732"/>
    <w:rsid w:val="0091587D"/>
    <w:rsid w:val="00915B4B"/>
    <w:rsid w:val="00915BA5"/>
    <w:rsid w:val="00915C6C"/>
    <w:rsid w:val="00915FA2"/>
    <w:rsid w:val="00916044"/>
    <w:rsid w:val="0091683D"/>
    <w:rsid w:val="009168FC"/>
    <w:rsid w:val="00916B84"/>
    <w:rsid w:val="00916D84"/>
    <w:rsid w:val="00916DC0"/>
    <w:rsid w:val="00916DDD"/>
    <w:rsid w:val="00916E9D"/>
    <w:rsid w:val="009170C3"/>
    <w:rsid w:val="00917728"/>
    <w:rsid w:val="0091776C"/>
    <w:rsid w:val="0091792C"/>
    <w:rsid w:val="0091794C"/>
    <w:rsid w:val="00917B68"/>
    <w:rsid w:val="00917BA1"/>
    <w:rsid w:val="0091E6B6"/>
    <w:rsid w:val="009200E8"/>
    <w:rsid w:val="00920326"/>
    <w:rsid w:val="009203D1"/>
    <w:rsid w:val="0092040E"/>
    <w:rsid w:val="0092081D"/>
    <w:rsid w:val="009208FE"/>
    <w:rsid w:val="00920C7B"/>
    <w:rsid w:val="00920E82"/>
    <w:rsid w:val="00920EC7"/>
    <w:rsid w:val="00920EE7"/>
    <w:rsid w:val="009216A8"/>
    <w:rsid w:val="00921707"/>
    <w:rsid w:val="00921CE8"/>
    <w:rsid w:val="00921D60"/>
    <w:rsid w:val="00921E5B"/>
    <w:rsid w:val="00921E97"/>
    <w:rsid w:val="0092230B"/>
    <w:rsid w:val="0092232B"/>
    <w:rsid w:val="009223BE"/>
    <w:rsid w:val="009224B5"/>
    <w:rsid w:val="00922D07"/>
    <w:rsid w:val="00922FCF"/>
    <w:rsid w:val="00923734"/>
    <w:rsid w:val="009239E1"/>
    <w:rsid w:val="00923AF0"/>
    <w:rsid w:val="00923E8B"/>
    <w:rsid w:val="00923F7C"/>
    <w:rsid w:val="0092445A"/>
    <w:rsid w:val="00924511"/>
    <w:rsid w:val="00924742"/>
    <w:rsid w:val="00925132"/>
    <w:rsid w:val="00925190"/>
    <w:rsid w:val="0092528C"/>
    <w:rsid w:val="009252A7"/>
    <w:rsid w:val="00925712"/>
    <w:rsid w:val="009257DC"/>
    <w:rsid w:val="00925AB9"/>
    <w:rsid w:val="0092615E"/>
    <w:rsid w:val="00926168"/>
    <w:rsid w:val="0092646A"/>
    <w:rsid w:val="00926483"/>
    <w:rsid w:val="00926495"/>
    <w:rsid w:val="00926497"/>
    <w:rsid w:val="009266EF"/>
    <w:rsid w:val="00926B95"/>
    <w:rsid w:val="00926E10"/>
    <w:rsid w:val="0092715E"/>
    <w:rsid w:val="00927449"/>
    <w:rsid w:val="009274D0"/>
    <w:rsid w:val="00927970"/>
    <w:rsid w:val="00927AD3"/>
    <w:rsid w:val="00927CD6"/>
    <w:rsid w:val="00927D1B"/>
    <w:rsid w:val="00927E3A"/>
    <w:rsid w:val="00927FDE"/>
    <w:rsid w:val="00927FF0"/>
    <w:rsid w:val="0093062E"/>
    <w:rsid w:val="00930790"/>
    <w:rsid w:val="009307FB"/>
    <w:rsid w:val="00930AA2"/>
    <w:rsid w:val="00930BB7"/>
    <w:rsid w:val="00930BCF"/>
    <w:rsid w:val="00930C9A"/>
    <w:rsid w:val="00930E61"/>
    <w:rsid w:val="00930EF0"/>
    <w:rsid w:val="00930F1E"/>
    <w:rsid w:val="00930F45"/>
    <w:rsid w:val="00930FD1"/>
    <w:rsid w:val="00931051"/>
    <w:rsid w:val="009311EC"/>
    <w:rsid w:val="009311FF"/>
    <w:rsid w:val="009312DE"/>
    <w:rsid w:val="00931585"/>
    <w:rsid w:val="00931599"/>
    <w:rsid w:val="0093193A"/>
    <w:rsid w:val="00931AFB"/>
    <w:rsid w:val="00931B49"/>
    <w:rsid w:val="00931DB7"/>
    <w:rsid w:val="00931DF4"/>
    <w:rsid w:val="00931DFD"/>
    <w:rsid w:val="00931F01"/>
    <w:rsid w:val="00932222"/>
    <w:rsid w:val="0093225A"/>
    <w:rsid w:val="00932542"/>
    <w:rsid w:val="00932700"/>
    <w:rsid w:val="0093282E"/>
    <w:rsid w:val="009328E6"/>
    <w:rsid w:val="0093303A"/>
    <w:rsid w:val="009332D9"/>
    <w:rsid w:val="00933456"/>
    <w:rsid w:val="0093384C"/>
    <w:rsid w:val="0093385F"/>
    <w:rsid w:val="00933A06"/>
    <w:rsid w:val="00933C5F"/>
    <w:rsid w:val="00933F32"/>
    <w:rsid w:val="00933FB6"/>
    <w:rsid w:val="00934295"/>
    <w:rsid w:val="00934325"/>
    <w:rsid w:val="00934442"/>
    <w:rsid w:val="00934501"/>
    <w:rsid w:val="00934571"/>
    <w:rsid w:val="0093489C"/>
    <w:rsid w:val="00934935"/>
    <w:rsid w:val="00934B59"/>
    <w:rsid w:val="00934D79"/>
    <w:rsid w:val="009350C6"/>
    <w:rsid w:val="0093546C"/>
    <w:rsid w:val="00935611"/>
    <w:rsid w:val="0093596C"/>
    <w:rsid w:val="00935A4C"/>
    <w:rsid w:val="00935A83"/>
    <w:rsid w:val="00935B6B"/>
    <w:rsid w:val="00935C3F"/>
    <w:rsid w:val="00935FC0"/>
    <w:rsid w:val="0093600A"/>
    <w:rsid w:val="00936282"/>
    <w:rsid w:val="009362A1"/>
    <w:rsid w:val="00936305"/>
    <w:rsid w:val="00936B8F"/>
    <w:rsid w:val="00936BEA"/>
    <w:rsid w:val="00936E65"/>
    <w:rsid w:val="00937118"/>
    <w:rsid w:val="00937293"/>
    <w:rsid w:val="00937485"/>
    <w:rsid w:val="009374B6"/>
    <w:rsid w:val="0093758A"/>
    <w:rsid w:val="009375AF"/>
    <w:rsid w:val="0093782D"/>
    <w:rsid w:val="00937AD3"/>
    <w:rsid w:val="00937D7A"/>
    <w:rsid w:val="00937FAF"/>
    <w:rsid w:val="009402BD"/>
    <w:rsid w:val="00940391"/>
    <w:rsid w:val="0094044B"/>
    <w:rsid w:val="009404FC"/>
    <w:rsid w:val="0094051C"/>
    <w:rsid w:val="00940720"/>
    <w:rsid w:val="00940934"/>
    <w:rsid w:val="009409E7"/>
    <w:rsid w:val="009409F5"/>
    <w:rsid w:val="00940C2C"/>
    <w:rsid w:val="00940D2F"/>
    <w:rsid w:val="00940D92"/>
    <w:rsid w:val="00940DF8"/>
    <w:rsid w:val="00941607"/>
    <w:rsid w:val="00941CE8"/>
    <w:rsid w:val="00941F1A"/>
    <w:rsid w:val="00941F88"/>
    <w:rsid w:val="00942188"/>
    <w:rsid w:val="009428B3"/>
    <w:rsid w:val="00942A20"/>
    <w:rsid w:val="00942E18"/>
    <w:rsid w:val="00942E1A"/>
    <w:rsid w:val="00943056"/>
    <w:rsid w:val="00943177"/>
    <w:rsid w:val="0094321F"/>
    <w:rsid w:val="0094348D"/>
    <w:rsid w:val="0094394B"/>
    <w:rsid w:val="009439BF"/>
    <w:rsid w:val="00943E3A"/>
    <w:rsid w:val="00944236"/>
    <w:rsid w:val="0094453E"/>
    <w:rsid w:val="0094465A"/>
    <w:rsid w:val="0094468A"/>
    <w:rsid w:val="00944937"/>
    <w:rsid w:val="009449C7"/>
    <w:rsid w:val="009449C8"/>
    <w:rsid w:val="00944B23"/>
    <w:rsid w:val="00944C64"/>
    <w:rsid w:val="00944D3F"/>
    <w:rsid w:val="00945514"/>
    <w:rsid w:val="00945B4A"/>
    <w:rsid w:val="00945C00"/>
    <w:rsid w:val="00945CED"/>
    <w:rsid w:val="00945DFC"/>
    <w:rsid w:val="0094644D"/>
    <w:rsid w:val="00946528"/>
    <w:rsid w:val="00946543"/>
    <w:rsid w:val="00946740"/>
    <w:rsid w:val="00946B71"/>
    <w:rsid w:val="00946BF7"/>
    <w:rsid w:val="00946C7D"/>
    <w:rsid w:val="00946D4E"/>
    <w:rsid w:val="0094716B"/>
    <w:rsid w:val="0094738A"/>
    <w:rsid w:val="009473F9"/>
    <w:rsid w:val="009475A3"/>
    <w:rsid w:val="009475D2"/>
    <w:rsid w:val="00947669"/>
    <w:rsid w:val="00947AFF"/>
    <w:rsid w:val="00947D72"/>
    <w:rsid w:val="00947EAC"/>
    <w:rsid w:val="00950196"/>
    <w:rsid w:val="0095051B"/>
    <w:rsid w:val="009506DE"/>
    <w:rsid w:val="009507E4"/>
    <w:rsid w:val="0095080E"/>
    <w:rsid w:val="0095083E"/>
    <w:rsid w:val="00950856"/>
    <w:rsid w:val="009511E0"/>
    <w:rsid w:val="009514EC"/>
    <w:rsid w:val="0095160C"/>
    <w:rsid w:val="009519EE"/>
    <w:rsid w:val="00952581"/>
    <w:rsid w:val="0095268D"/>
    <w:rsid w:val="00952716"/>
    <w:rsid w:val="00952834"/>
    <w:rsid w:val="00952B0C"/>
    <w:rsid w:val="00953290"/>
    <w:rsid w:val="0095344D"/>
    <w:rsid w:val="009539F9"/>
    <w:rsid w:val="00953D5A"/>
    <w:rsid w:val="00953F9A"/>
    <w:rsid w:val="00953FD6"/>
    <w:rsid w:val="00954116"/>
    <w:rsid w:val="00954227"/>
    <w:rsid w:val="00954260"/>
    <w:rsid w:val="00954412"/>
    <w:rsid w:val="00954570"/>
    <w:rsid w:val="00954574"/>
    <w:rsid w:val="009545C7"/>
    <w:rsid w:val="00954805"/>
    <w:rsid w:val="0095486D"/>
    <w:rsid w:val="00954936"/>
    <w:rsid w:val="009549D8"/>
    <w:rsid w:val="00954BE5"/>
    <w:rsid w:val="00954F72"/>
    <w:rsid w:val="00954FAE"/>
    <w:rsid w:val="0095504F"/>
    <w:rsid w:val="009552B2"/>
    <w:rsid w:val="00955A96"/>
    <w:rsid w:val="00955F39"/>
    <w:rsid w:val="00955FB1"/>
    <w:rsid w:val="00956116"/>
    <w:rsid w:val="00956689"/>
    <w:rsid w:val="0095677F"/>
    <w:rsid w:val="00956826"/>
    <w:rsid w:val="00956BDF"/>
    <w:rsid w:val="00956D48"/>
    <w:rsid w:val="00956FE4"/>
    <w:rsid w:val="00957467"/>
    <w:rsid w:val="00957986"/>
    <w:rsid w:val="00957AE1"/>
    <w:rsid w:val="00957C34"/>
    <w:rsid w:val="00957D17"/>
    <w:rsid w:val="00957DAF"/>
    <w:rsid w:val="00957EF4"/>
    <w:rsid w:val="0096025A"/>
    <w:rsid w:val="0096071A"/>
    <w:rsid w:val="0096081F"/>
    <w:rsid w:val="00960936"/>
    <w:rsid w:val="00960999"/>
    <w:rsid w:val="00961263"/>
    <w:rsid w:val="009612A1"/>
    <w:rsid w:val="0096132E"/>
    <w:rsid w:val="009614CE"/>
    <w:rsid w:val="0096151B"/>
    <w:rsid w:val="00961523"/>
    <w:rsid w:val="0096154A"/>
    <w:rsid w:val="009615BF"/>
    <w:rsid w:val="00961687"/>
    <w:rsid w:val="0096176D"/>
    <w:rsid w:val="00961895"/>
    <w:rsid w:val="009618F9"/>
    <w:rsid w:val="00961AAE"/>
    <w:rsid w:val="00961B75"/>
    <w:rsid w:val="00961E46"/>
    <w:rsid w:val="00961EBD"/>
    <w:rsid w:val="0096215B"/>
    <w:rsid w:val="00962350"/>
    <w:rsid w:val="009626E3"/>
    <w:rsid w:val="00962825"/>
    <w:rsid w:val="00962ABF"/>
    <w:rsid w:val="00962EFE"/>
    <w:rsid w:val="00962F9F"/>
    <w:rsid w:val="00963264"/>
    <w:rsid w:val="009633D9"/>
    <w:rsid w:val="0096348E"/>
    <w:rsid w:val="009635EF"/>
    <w:rsid w:val="00963A42"/>
    <w:rsid w:val="009645CE"/>
    <w:rsid w:val="009648FF"/>
    <w:rsid w:val="00964AE6"/>
    <w:rsid w:val="00964AF0"/>
    <w:rsid w:val="00964B29"/>
    <w:rsid w:val="00964BA6"/>
    <w:rsid w:val="00964C38"/>
    <w:rsid w:val="009654F6"/>
    <w:rsid w:val="0096568B"/>
    <w:rsid w:val="00965BEE"/>
    <w:rsid w:val="00965E36"/>
    <w:rsid w:val="00965F96"/>
    <w:rsid w:val="00965FDB"/>
    <w:rsid w:val="00966880"/>
    <w:rsid w:val="009669C5"/>
    <w:rsid w:val="009669FE"/>
    <w:rsid w:val="00966EBC"/>
    <w:rsid w:val="0096729A"/>
    <w:rsid w:val="00967364"/>
    <w:rsid w:val="00967534"/>
    <w:rsid w:val="00967589"/>
    <w:rsid w:val="0096780D"/>
    <w:rsid w:val="0096788C"/>
    <w:rsid w:val="009678DE"/>
    <w:rsid w:val="00967902"/>
    <w:rsid w:val="00967A85"/>
    <w:rsid w:val="00967BFD"/>
    <w:rsid w:val="00967D4E"/>
    <w:rsid w:val="00967FF0"/>
    <w:rsid w:val="009701A6"/>
    <w:rsid w:val="009706EF"/>
    <w:rsid w:val="0097078A"/>
    <w:rsid w:val="00970B1B"/>
    <w:rsid w:val="00970C80"/>
    <w:rsid w:val="00970F53"/>
    <w:rsid w:val="009712A3"/>
    <w:rsid w:val="0097173D"/>
    <w:rsid w:val="00971A75"/>
    <w:rsid w:val="00971C63"/>
    <w:rsid w:val="00971D53"/>
    <w:rsid w:val="00972653"/>
    <w:rsid w:val="009727BB"/>
    <w:rsid w:val="00972825"/>
    <w:rsid w:val="00972B0F"/>
    <w:rsid w:val="00972BCF"/>
    <w:rsid w:val="00973513"/>
    <w:rsid w:val="0097363C"/>
    <w:rsid w:val="00973C64"/>
    <w:rsid w:val="00973CC9"/>
    <w:rsid w:val="009741A0"/>
    <w:rsid w:val="0097422A"/>
    <w:rsid w:val="009742D2"/>
    <w:rsid w:val="00974354"/>
    <w:rsid w:val="00974802"/>
    <w:rsid w:val="0097496C"/>
    <w:rsid w:val="00974AAD"/>
    <w:rsid w:val="00974C23"/>
    <w:rsid w:val="009751D4"/>
    <w:rsid w:val="00975226"/>
    <w:rsid w:val="0097527A"/>
    <w:rsid w:val="009752FD"/>
    <w:rsid w:val="00975340"/>
    <w:rsid w:val="0097590F"/>
    <w:rsid w:val="00975E40"/>
    <w:rsid w:val="00975EBA"/>
    <w:rsid w:val="009766C5"/>
    <w:rsid w:val="0097696C"/>
    <w:rsid w:val="00976A68"/>
    <w:rsid w:val="00976CB3"/>
    <w:rsid w:val="00976D44"/>
    <w:rsid w:val="00976DEE"/>
    <w:rsid w:val="00977165"/>
    <w:rsid w:val="009771E4"/>
    <w:rsid w:val="00977425"/>
    <w:rsid w:val="00977796"/>
    <w:rsid w:val="00977F6C"/>
    <w:rsid w:val="009801DF"/>
    <w:rsid w:val="0098049E"/>
    <w:rsid w:val="0098081E"/>
    <w:rsid w:val="00980BB9"/>
    <w:rsid w:val="00980DA1"/>
    <w:rsid w:val="00980EDB"/>
    <w:rsid w:val="0098107E"/>
    <w:rsid w:val="009811AA"/>
    <w:rsid w:val="009811FE"/>
    <w:rsid w:val="00981219"/>
    <w:rsid w:val="00981316"/>
    <w:rsid w:val="0098138E"/>
    <w:rsid w:val="0098172D"/>
    <w:rsid w:val="0098193B"/>
    <w:rsid w:val="00981D66"/>
    <w:rsid w:val="00981F05"/>
    <w:rsid w:val="009821B6"/>
    <w:rsid w:val="00982226"/>
    <w:rsid w:val="009828D1"/>
    <w:rsid w:val="00982D89"/>
    <w:rsid w:val="00982EFE"/>
    <w:rsid w:val="00983176"/>
    <w:rsid w:val="00983326"/>
    <w:rsid w:val="009838C6"/>
    <w:rsid w:val="00983934"/>
    <w:rsid w:val="009840F6"/>
    <w:rsid w:val="009842AD"/>
    <w:rsid w:val="00984508"/>
    <w:rsid w:val="0098453D"/>
    <w:rsid w:val="009845E5"/>
    <w:rsid w:val="009846A0"/>
    <w:rsid w:val="009848FB"/>
    <w:rsid w:val="00984E43"/>
    <w:rsid w:val="00984FC5"/>
    <w:rsid w:val="009851D2"/>
    <w:rsid w:val="009853C6"/>
    <w:rsid w:val="00985960"/>
    <w:rsid w:val="00985B73"/>
    <w:rsid w:val="00985CD8"/>
    <w:rsid w:val="00985FC6"/>
    <w:rsid w:val="0098630C"/>
    <w:rsid w:val="0098651A"/>
    <w:rsid w:val="009868D9"/>
    <w:rsid w:val="00986C6E"/>
    <w:rsid w:val="00987193"/>
    <w:rsid w:val="009872C9"/>
    <w:rsid w:val="009872EC"/>
    <w:rsid w:val="0098783B"/>
    <w:rsid w:val="00987885"/>
    <w:rsid w:val="00987914"/>
    <w:rsid w:val="0098792B"/>
    <w:rsid w:val="00987B1C"/>
    <w:rsid w:val="00987E16"/>
    <w:rsid w:val="00987F28"/>
    <w:rsid w:val="00990077"/>
    <w:rsid w:val="009901B4"/>
    <w:rsid w:val="009909B0"/>
    <w:rsid w:val="009909CF"/>
    <w:rsid w:val="00990B7D"/>
    <w:rsid w:val="00990DBB"/>
    <w:rsid w:val="00990F14"/>
    <w:rsid w:val="00990F87"/>
    <w:rsid w:val="00991228"/>
    <w:rsid w:val="00991411"/>
    <w:rsid w:val="00991558"/>
    <w:rsid w:val="00991889"/>
    <w:rsid w:val="00992146"/>
    <w:rsid w:val="00992646"/>
    <w:rsid w:val="00992838"/>
    <w:rsid w:val="009929A3"/>
    <w:rsid w:val="00993071"/>
    <w:rsid w:val="0099316C"/>
    <w:rsid w:val="009931AD"/>
    <w:rsid w:val="0099362C"/>
    <w:rsid w:val="00993925"/>
    <w:rsid w:val="00993AAC"/>
    <w:rsid w:val="00993BC8"/>
    <w:rsid w:val="00993D08"/>
    <w:rsid w:val="00994289"/>
    <w:rsid w:val="009942A1"/>
    <w:rsid w:val="00994747"/>
    <w:rsid w:val="0099481A"/>
    <w:rsid w:val="00994D57"/>
    <w:rsid w:val="00994F8B"/>
    <w:rsid w:val="009951A7"/>
    <w:rsid w:val="009953C9"/>
    <w:rsid w:val="0099544F"/>
    <w:rsid w:val="0099546F"/>
    <w:rsid w:val="00995776"/>
    <w:rsid w:val="0099592E"/>
    <w:rsid w:val="00995B9E"/>
    <w:rsid w:val="00995C1C"/>
    <w:rsid w:val="00995C71"/>
    <w:rsid w:val="00996126"/>
    <w:rsid w:val="00996343"/>
    <w:rsid w:val="00996949"/>
    <w:rsid w:val="00996AD9"/>
    <w:rsid w:val="00996B19"/>
    <w:rsid w:val="00996FD1"/>
    <w:rsid w:val="0099770C"/>
    <w:rsid w:val="00997856"/>
    <w:rsid w:val="009979D1"/>
    <w:rsid w:val="009979F3"/>
    <w:rsid w:val="00997F40"/>
    <w:rsid w:val="009A053D"/>
    <w:rsid w:val="009A0AE9"/>
    <w:rsid w:val="009A0E04"/>
    <w:rsid w:val="009A0E40"/>
    <w:rsid w:val="009A0E91"/>
    <w:rsid w:val="009A10E0"/>
    <w:rsid w:val="009A10EA"/>
    <w:rsid w:val="009A16B4"/>
    <w:rsid w:val="009A1855"/>
    <w:rsid w:val="009A18E0"/>
    <w:rsid w:val="009A1948"/>
    <w:rsid w:val="009A1B27"/>
    <w:rsid w:val="009A1C6B"/>
    <w:rsid w:val="009A239E"/>
    <w:rsid w:val="009A24E2"/>
    <w:rsid w:val="009A25DD"/>
    <w:rsid w:val="009A260C"/>
    <w:rsid w:val="009A262B"/>
    <w:rsid w:val="009A2782"/>
    <w:rsid w:val="009A2C68"/>
    <w:rsid w:val="009A2C7A"/>
    <w:rsid w:val="009A2F77"/>
    <w:rsid w:val="009A3538"/>
    <w:rsid w:val="009A3738"/>
    <w:rsid w:val="009A378C"/>
    <w:rsid w:val="009A382D"/>
    <w:rsid w:val="009A3871"/>
    <w:rsid w:val="009A3BB0"/>
    <w:rsid w:val="009A3BF9"/>
    <w:rsid w:val="009A3E70"/>
    <w:rsid w:val="009A3F21"/>
    <w:rsid w:val="009A5095"/>
    <w:rsid w:val="009A54FD"/>
    <w:rsid w:val="009A56C9"/>
    <w:rsid w:val="009A575B"/>
    <w:rsid w:val="009A5F3E"/>
    <w:rsid w:val="009A5F73"/>
    <w:rsid w:val="009A6640"/>
    <w:rsid w:val="009A6824"/>
    <w:rsid w:val="009A683C"/>
    <w:rsid w:val="009A6850"/>
    <w:rsid w:val="009A6A5A"/>
    <w:rsid w:val="009A6E6C"/>
    <w:rsid w:val="009A6F11"/>
    <w:rsid w:val="009A6F8B"/>
    <w:rsid w:val="009A73A9"/>
    <w:rsid w:val="009A776A"/>
    <w:rsid w:val="009A7868"/>
    <w:rsid w:val="009A7A93"/>
    <w:rsid w:val="009A7C53"/>
    <w:rsid w:val="009A7EDA"/>
    <w:rsid w:val="009A7F70"/>
    <w:rsid w:val="009B04F1"/>
    <w:rsid w:val="009B0531"/>
    <w:rsid w:val="009B06CB"/>
    <w:rsid w:val="009B07F9"/>
    <w:rsid w:val="009B0869"/>
    <w:rsid w:val="009B0BC3"/>
    <w:rsid w:val="009B0E03"/>
    <w:rsid w:val="009B10BE"/>
    <w:rsid w:val="009B1471"/>
    <w:rsid w:val="009B19CB"/>
    <w:rsid w:val="009B1EBF"/>
    <w:rsid w:val="009B1F41"/>
    <w:rsid w:val="009B2023"/>
    <w:rsid w:val="009B2213"/>
    <w:rsid w:val="009B2317"/>
    <w:rsid w:val="009B25C5"/>
    <w:rsid w:val="009B27A6"/>
    <w:rsid w:val="009B2BAB"/>
    <w:rsid w:val="009B2C63"/>
    <w:rsid w:val="009B2DB5"/>
    <w:rsid w:val="009B30D2"/>
    <w:rsid w:val="009B31A8"/>
    <w:rsid w:val="009B36FF"/>
    <w:rsid w:val="009B385C"/>
    <w:rsid w:val="009B3868"/>
    <w:rsid w:val="009B3AEE"/>
    <w:rsid w:val="009B3BAC"/>
    <w:rsid w:val="009B3FD1"/>
    <w:rsid w:val="009B4136"/>
    <w:rsid w:val="009B42A9"/>
    <w:rsid w:val="009B43BF"/>
    <w:rsid w:val="009B44A5"/>
    <w:rsid w:val="009B453A"/>
    <w:rsid w:val="009B4554"/>
    <w:rsid w:val="009B479D"/>
    <w:rsid w:val="009B499F"/>
    <w:rsid w:val="009B4A38"/>
    <w:rsid w:val="009B4C34"/>
    <w:rsid w:val="009B4D04"/>
    <w:rsid w:val="009B4FAE"/>
    <w:rsid w:val="009B5484"/>
    <w:rsid w:val="009B5509"/>
    <w:rsid w:val="009B5773"/>
    <w:rsid w:val="009B5817"/>
    <w:rsid w:val="009B590A"/>
    <w:rsid w:val="009B5D42"/>
    <w:rsid w:val="009B5D9B"/>
    <w:rsid w:val="009B60E2"/>
    <w:rsid w:val="009B6246"/>
    <w:rsid w:val="009B6274"/>
    <w:rsid w:val="009B639A"/>
    <w:rsid w:val="009B646E"/>
    <w:rsid w:val="009B65F7"/>
    <w:rsid w:val="009B69B5"/>
    <w:rsid w:val="009B6AAA"/>
    <w:rsid w:val="009B6C31"/>
    <w:rsid w:val="009B7235"/>
    <w:rsid w:val="009B7307"/>
    <w:rsid w:val="009B738D"/>
    <w:rsid w:val="009B79C1"/>
    <w:rsid w:val="009B79CD"/>
    <w:rsid w:val="009B7C56"/>
    <w:rsid w:val="009C02CB"/>
    <w:rsid w:val="009C02CE"/>
    <w:rsid w:val="009C039A"/>
    <w:rsid w:val="009C0482"/>
    <w:rsid w:val="009C0748"/>
    <w:rsid w:val="009C07D8"/>
    <w:rsid w:val="009C08E3"/>
    <w:rsid w:val="009C0904"/>
    <w:rsid w:val="009C09DE"/>
    <w:rsid w:val="009C0C6A"/>
    <w:rsid w:val="009C0D2D"/>
    <w:rsid w:val="009C10E6"/>
    <w:rsid w:val="009C1195"/>
    <w:rsid w:val="009C1199"/>
    <w:rsid w:val="009C1599"/>
    <w:rsid w:val="009C176B"/>
    <w:rsid w:val="009C19AE"/>
    <w:rsid w:val="009C1A17"/>
    <w:rsid w:val="009C1CAF"/>
    <w:rsid w:val="009C1DFC"/>
    <w:rsid w:val="009C20EF"/>
    <w:rsid w:val="009C2111"/>
    <w:rsid w:val="009C2186"/>
    <w:rsid w:val="009C218F"/>
    <w:rsid w:val="009C21E3"/>
    <w:rsid w:val="009C22AF"/>
    <w:rsid w:val="009C2415"/>
    <w:rsid w:val="009C2ABD"/>
    <w:rsid w:val="009C2B48"/>
    <w:rsid w:val="009C3031"/>
    <w:rsid w:val="009C3314"/>
    <w:rsid w:val="009C3395"/>
    <w:rsid w:val="009C34AB"/>
    <w:rsid w:val="009C38C4"/>
    <w:rsid w:val="009C39DE"/>
    <w:rsid w:val="009C3A30"/>
    <w:rsid w:val="009C3A43"/>
    <w:rsid w:val="009C3D15"/>
    <w:rsid w:val="009C3FFC"/>
    <w:rsid w:val="009C4103"/>
    <w:rsid w:val="009C4190"/>
    <w:rsid w:val="009C4293"/>
    <w:rsid w:val="009C46C0"/>
    <w:rsid w:val="009C484C"/>
    <w:rsid w:val="009C4B90"/>
    <w:rsid w:val="009C5101"/>
    <w:rsid w:val="009C5195"/>
    <w:rsid w:val="009C58E6"/>
    <w:rsid w:val="009C5A5E"/>
    <w:rsid w:val="009C6049"/>
    <w:rsid w:val="009C6164"/>
    <w:rsid w:val="009C6186"/>
    <w:rsid w:val="009C61F1"/>
    <w:rsid w:val="009C643F"/>
    <w:rsid w:val="009C65E1"/>
    <w:rsid w:val="009C6755"/>
    <w:rsid w:val="009C67AD"/>
    <w:rsid w:val="009C67C3"/>
    <w:rsid w:val="009C6914"/>
    <w:rsid w:val="009C69CA"/>
    <w:rsid w:val="009C6A9B"/>
    <w:rsid w:val="009C6CB9"/>
    <w:rsid w:val="009C70A1"/>
    <w:rsid w:val="009C70E5"/>
    <w:rsid w:val="009C7412"/>
    <w:rsid w:val="009C74F4"/>
    <w:rsid w:val="009C7997"/>
    <w:rsid w:val="009C79F0"/>
    <w:rsid w:val="009C7A1E"/>
    <w:rsid w:val="009C7E33"/>
    <w:rsid w:val="009D03F2"/>
    <w:rsid w:val="009D0504"/>
    <w:rsid w:val="009D06B1"/>
    <w:rsid w:val="009D078D"/>
    <w:rsid w:val="009D08D5"/>
    <w:rsid w:val="009D0B38"/>
    <w:rsid w:val="009D0BF9"/>
    <w:rsid w:val="009D0D4F"/>
    <w:rsid w:val="009D0EE0"/>
    <w:rsid w:val="009D13A5"/>
    <w:rsid w:val="009D1469"/>
    <w:rsid w:val="009D16E1"/>
    <w:rsid w:val="009D1904"/>
    <w:rsid w:val="009D1E03"/>
    <w:rsid w:val="009D2033"/>
    <w:rsid w:val="009D21A7"/>
    <w:rsid w:val="009D235F"/>
    <w:rsid w:val="009D2784"/>
    <w:rsid w:val="009D2CB0"/>
    <w:rsid w:val="009D30FD"/>
    <w:rsid w:val="009D31EC"/>
    <w:rsid w:val="009D344B"/>
    <w:rsid w:val="009D381F"/>
    <w:rsid w:val="009D382D"/>
    <w:rsid w:val="009D39B8"/>
    <w:rsid w:val="009D3A54"/>
    <w:rsid w:val="009D3D29"/>
    <w:rsid w:val="009D3D3D"/>
    <w:rsid w:val="009D46AE"/>
    <w:rsid w:val="009D4BB6"/>
    <w:rsid w:val="009D4E40"/>
    <w:rsid w:val="009D4EC0"/>
    <w:rsid w:val="009D4F84"/>
    <w:rsid w:val="009D4FB9"/>
    <w:rsid w:val="009D5081"/>
    <w:rsid w:val="009D50EE"/>
    <w:rsid w:val="009D5308"/>
    <w:rsid w:val="009D5525"/>
    <w:rsid w:val="009D56B0"/>
    <w:rsid w:val="009D58A7"/>
    <w:rsid w:val="009D58F6"/>
    <w:rsid w:val="009D5922"/>
    <w:rsid w:val="009D5D32"/>
    <w:rsid w:val="009D66A1"/>
    <w:rsid w:val="009D68F6"/>
    <w:rsid w:val="009D6C90"/>
    <w:rsid w:val="009D6EF7"/>
    <w:rsid w:val="009D74A2"/>
    <w:rsid w:val="009D768C"/>
    <w:rsid w:val="009D7C98"/>
    <w:rsid w:val="009D7CF5"/>
    <w:rsid w:val="009E06A6"/>
    <w:rsid w:val="009E0725"/>
    <w:rsid w:val="009E0C14"/>
    <w:rsid w:val="009E0D59"/>
    <w:rsid w:val="009E1211"/>
    <w:rsid w:val="009E139F"/>
    <w:rsid w:val="009E1421"/>
    <w:rsid w:val="009E157A"/>
    <w:rsid w:val="009E1A4B"/>
    <w:rsid w:val="009E1B14"/>
    <w:rsid w:val="009E1D1C"/>
    <w:rsid w:val="009E24D2"/>
    <w:rsid w:val="009E253D"/>
    <w:rsid w:val="009E27B1"/>
    <w:rsid w:val="009E2805"/>
    <w:rsid w:val="009E2E04"/>
    <w:rsid w:val="009E2EF6"/>
    <w:rsid w:val="009E316E"/>
    <w:rsid w:val="009E3752"/>
    <w:rsid w:val="009E3784"/>
    <w:rsid w:val="009E3969"/>
    <w:rsid w:val="009E3A1C"/>
    <w:rsid w:val="009E3B16"/>
    <w:rsid w:val="009E3B6C"/>
    <w:rsid w:val="009E3C32"/>
    <w:rsid w:val="009E3C75"/>
    <w:rsid w:val="009E3E92"/>
    <w:rsid w:val="009E4022"/>
    <w:rsid w:val="009E4318"/>
    <w:rsid w:val="009E4343"/>
    <w:rsid w:val="009E4408"/>
    <w:rsid w:val="009E44D8"/>
    <w:rsid w:val="009E481A"/>
    <w:rsid w:val="009E483D"/>
    <w:rsid w:val="009E4B00"/>
    <w:rsid w:val="009E4DCE"/>
    <w:rsid w:val="009E4E92"/>
    <w:rsid w:val="009E4EC4"/>
    <w:rsid w:val="009E52B6"/>
    <w:rsid w:val="009E53E2"/>
    <w:rsid w:val="009E557F"/>
    <w:rsid w:val="009E5679"/>
    <w:rsid w:val="009E5ADC"/>
    <w:rsid w:val="009E5F12"/>
    <w:rsid w:val="009E5FF0"/>
    <w:rsid w:val="009E6037"/>
    <w:rsid w:val="009E61A2"/>
    <w:rsid w:val="009E630E"/>
    <w:rsid w:val="009E63D7"/>
    <w:rsid w:val="009E648C"/>
    <w:rsid w:val="009E65AC"/>
    <w:rsid w:val="009E684E"/>
    <w:rsid w:val="009E6966"/>
    <w:rsid w:val="009E69C4"/>
    <w:rsid w:val="009E6ABB"/>
    <w:rsid w:val="009E6CE9"/>
    <w:rsid w:val="009E6CEC"/>
    <w:rsid w:val="009E6D2A"/>
    <w:rsid w:val="009E6D7F"/>
    <w:rsid w:val="009E6E9E"/>
    <w:rsid w:val="009E7269"/>
    <w:rsid w:val="009E770D"/>
    <w:rsid w:val="009F0150"/>
    <w:rsid w:val="009F03A3"/>
    <w:rsid w:val="009F04EB"/>
    <w:rsid w:val="009F0FFE"/>
    <w:rsid w:val="009F1300"/>
    <w:rsid w:val="009F1959"/>
    <w:rsid w:val="009F1A15"/>
    <w:rsid w:val="009F1C39"/>
    <w:rsid w:val="009F1DD5"/>
    <w:rsid w:val="009F1E10"/>
    <w:rsid w:val="009F1FFE"/>
    <w:rsid w:val="009F2102"/>
    <w:rsid w:val="009F232B"/>
    <w:rsid w:val="009F23CA"/>
    <w:rsid w:val="009F23FC"/>
    <w:rsid w:val="009F2491"/>
    <w:rsid w:val="009F2501"/>
    <w:rsid w:val="009F25B6"/>
    <w:rsid w:val="009F2C1C"/>
    <w:rsid w:val="009F2C58"/>
    <w:rsid w:val="009F2C99"/>
    <w:rsid w:val="009F2E4F"/>
    <w:rsid w:val="009F2E58"/>
    <w:rsid w:val="009F2EB6"/>
    <w:rsid w:val="009F3100"/>
    <w:rsid w:val="009F32EF"/>
    <w:rsid w:val="009F3754"/>
    <w:rsid w:val="009F3941"/>
    <w:rsid w:val="009F3A29"/>
    <w:rsid w:val="009F3B30"/>
    <w:rsid w:val="009F3F71"/>
    <w:rsid w:val="009F407A"/>
    <w:rsid w:val="009F4086"/>
    <w:rsid w:val="009F4752"/>
    <w:rsid w:val="009F4D52"/>
    <w:rsid w:val="009F5081"/>
    <w:rsid w:val="009F516A"/>
    <w:rsid w:val="009F522F"/>
    <w:rsid w:val="009F53CF"/>
    <w:rsid w:val="009F55A7"/>
    <w:rsid w:val="009F56C2"/>
    <w:rsid w:val="009F58AA"/>
    <w:rsid w:val="009F58AB"/>
    <w:rsid w:val="009F5D2B"/>
    <w:rsid w:val="009F5E1F"/>
    <w:rsid w:val="009F6579"/>
    <w:rsid w:val="009F65FC"/>
    <w:rsid w:val="009F670D"/>
    <w:rsid w:val="009F6B21"/>
    <w:rsid w:val="009F6D21"/>
    <w:rsid w:val="009F7016"/>
    <w:rsid w:val="009F74D3"/>
    <w:rsid w:val="009F778B"/>
    <w:rsid w:val="009F79FD"/>
    <w:rsid w:val="009F7AE2"/>
    <w:rsid w:val="009F7D44"/>
    <w:rsid w:val="00A000BC"/>
    <w:rsid w:val="00A004EF"/>
    <w:rsid w:val="00A005A6"/>
    <w:rsid w:val="00A0089F"/>
    <w:rsid w:val="00A00A2A"/>
    <w:rsid w:val="00A00A41"/>
    <w:rsid w:val="00A00B28"/>
    <w:rsid w:val="00A00FC7"/>
    <w:rsid w:val="00A01300"/>
    <w:rsid w:val="00A01463"/>
    <w:rsid w:val="00A0146C"/>
    <w:rsid w:val="00A0166C"/>
    <w:rsid w:val="00A019F7"/>
    <w:rsid w:val="00A01A78"/>
    <w:rsid w:val="00A01DE6"/>
    <w:rsid w:val="00A01E91"/>
    <w:rsid w:val="00A0203C"/>
    <w:rsid w:val="00A0221C"/>
    <w:rsid w:val="00A02315"/>
    <w:rsid w:val="00A02452"/>
    <w:rsid w:val="00A0261E"/>
    <w:rsid w:val="00A0279C"/>
    <w:rsid w:val="00A028F8"/>
    <w:rsid w:val="00A02A5E"/>
    <w:rsid w:val="00A0309F"/>
    <w:rsid w:val="00A035A3"/>
    <w:rsid w:val="00A03895"/>
    <w:rsid w:val="00A03CA2"/>
    <w:rsid w:val="00A03CFE"/>
    <w:rsid w:val="00A0415D"/>
    <w:rsid w:val="00A0418A"/>
    <w:rsid w:val="00A0445F"/>
    <w:rsid w:val="00A044E3"/>
    <w:rsid w:val="00A048E9"/>
    <w:rsid w:val="00A04987"/>
    <w:rsid w:val="00A04A34"/>
    <w:rsid w:val="00A04BE2"/>
    <w:rsid w:val="00A04C21"/>
    <w:rsid w:val="00A05146"/>
    <w:rsid w:val="00A05788"/>
    <w:rsid w:val="00A05B1F"/>
    <w:rsid w:val="00A0631B"/>
    <w:rsid w:val="00A06572"/>
    <w:rsid w:val="00A0692D"/>
    <w:rsid w:val="00A0693B"/>
    <w:rsid w:val="00A06BBF"/>
    <w:rsid w:val="00A06FFD"/>
    <w:rsid w:val="00A070DF"/>
    <w:rsid w:val="00A074CA"/>
    <w:rsid w:val="00A07606"/>
    <w:rsid w:val="00A077FC"/>
    <w:rsid w:val="00A0781D"/>
    <w:rsid w:val="00A078DB"/>
    <w:rsid w:val="00A0792A"/>
    <w:rsid w:val="00A10372"/>
    <w:rsid w:val="00A1042F"/>
    <w:rsid w:val="00A104E1"/>
    <w:rsid w:val="00A107FB"/>
    <w:rsid w:val="00A10AA1"/>
    <w:rsid w:val="00A10F6B"/>
    <w:rsid w:val="00A114BC"/>
    <w:rsid w:val="00A11631"/>
    <w:rsid w:val="00A11CF6"/>
    <w:rsid w:val="00A11D5C"/>
    <w:rsid w:val="00A11F3A"/>
    <w:rsid w:val="00A120B0"/>
    <w:rsid w:val="00A12144"/>
    <w:rsid w:val="00A12343"/>
    <w:rsid w:val="00A12347"/>
    <w:rsid w:val="00A1241E"/>
    <w:rsid w:val="00A1249F"/>
    <w:rsid w:val="00A125D6"/>
    <w:rsid w:val="00A12632"/>
    <w:rsid w:val="00A126ED"/>
    <w:rsid w:val="00A12AC4"/>
    <w:rsid w:val="00A130BD"/>
    <w:rsid w:val="00A13735"/>
    <w:rsid w:val="00A13789"/>
    <w:rsid w:val="00A1390E"/>
    <w:rsid w:val="00A13CA6"/>
    <w:rsid w:val="00A14152"/>
    <w:rsid w:val="00A142A4"/>
    <w:rsid w:val="00A144C4"/>
    <w:rsid w:val="00A14544"/>
    <w:rsid w:val="00A14657"/>
    <w:rsid w:val="00A14692"/>
    <w:rsid w:val="00A14726"/>
    <w:rsid w:val="00A1486F"/>
    <w:rsid w:val="00A14AFC"/>
    <w:rsid w:val="00A14B50"/>
    <w:rsid w:val="00A14B93"/>
    <w:rsid w:val="00A14D2A"/>
    <w:rsid w:val="00A14E2D"/>
    <w:rsid w:val="00A14EEB"/>
    <w:rsid w:val="00A14EFB"/>
    <w:rsid w:val="00A155DA"/>
    <w:rsid w:val="00A15622"/>
    <w:rsid w:val="00A1568E"/>
    <w:rsid w:val="00A15A34"/>
    <w:rsid w:val="00A15A5E"/>
    <w:rsid w:val="00A15DDF"/>
    <w:rsid w:val="00A15F51"/>
    <w:rsid w:val="00A162FF"/>
    <w:rsid w:val="00A16BA4"/>
    <w:rsid w:val="00A171A2"/>
    <w:rsid w:val="00A173F6"/>
    <w:rsid w:val="00A177ED"/>
    <w:rsid w:val="00A177FA"/>
    <w:rsid w:val="00A17805"/>
    <w:rsid w:val="00A1786E"/>
    <w:rsid w:val="00A17B53"/>
    <w:rsid w:val="00A17D0D"/>
    <w:rsid w:val="00A17E58"/>
    <w:rsid w:val="00A17F2F"/>
    <w:rsid w:val="00A17F52"/>
    <w:rsid w:val="00A2019C"/>
    <w:rsid w:val="00A201C8"/>
    <w:rsid w:val="00A2034A"/>
    <w:rsid w:val="00A2091E"/>
    <w:rsid w:val="00A20AB4"/>
    <w:rsid w:val="00A20E4E"/>
    <w:rsid w:val="00A21123"/>
    <w:rsid w:val="00A2124A"/>
    <w:rsid w:val="00A2143F"/>
    <w:rsid w:val="00A21450"/>
    <w:rsid w:val="00A21558"/>
    <w:rsid w:val="00A215C7"/>
    <w:rsid w:val="00A21B9B"/>
    <w:rsid w:val="00A21C5D"/>
    <w:rsid w:val="00A21DC4"/>
    <w:rsid w:val="00A21EB4"/>
    <w:rsid w:val="00A22185"/>
    <w:rsid w:val="00A222EF"/>
    <w:rsid w:val="00A223EC"/>
    <w:rsid w:val="00A22517"/>
    <w:rsid w:val="00A2265D"/>
    <w:rsid w:val="00A22CF5"/>
    <w:rsid w:val="00A22E92"/>
    <w:rsid w:val="00A2314F"/>
    <w:rsid w:val="00A2321A"/>
    <w:rsid w:val="00A23368"/>
    <w:rsid w:val="00A23769"/>
    <w:rsid w:val="00A239F8"/>
    <w:rsid w:val="00A23D6D"/>
    <w:rsid w:val="00A23DE7"/>
    <w:rsid w:val="00A23E55"/>
    <w:rsid w:val="00A2428B"/>
    <w:rsid w:val="00A24458"/>
    <w:rsid w:val="00A24DA1"/>
    <w:rsid w:val="00A25061"/>
    <w:rsid w:val="00A25209"/>
    <w:rsid w:val="00A25469"/>
    <w:rsid w:val="00A25476"/>
    <w:rsid w:val="00A2563C"/>
    <w:rsid w:val="00A25671"/>
    <w:rsid w:val="00A25696"/>
    <w:rsid w:val="00A25899"/>
    <w:rsid w:val="00A25C15"/>
    <w:rsid w:val="00A25C2C"/>
    <w:rsid w:val="00A25D54"/>
    <w:rsid w:val="00A26424"/>
    <w:rsid w:val="00A26528"/>
    <w:rsid w:val="00A265B6"/>
    <w:rsid w:val="00A26629"/>
    <w:rsid w:val="00A26946"/>
    <w:rsid w:val="00A269AA"/>
    <w:rsid w:val="00A26BFE"/>
    <w:rsid w:val="00A26D4A"/>
    <w:rsid w:val="00A2707A"/>
    <w:rsid w:val="00A272AE"/>
    <w:rsid w:val="00A277B6"/>
    <w:rsid w:val="00A27CDA"/>
    <w:rsid w:val="00A27EE4"/>
    <w:rsid w:val="00A2F75B"/>
    <w:rsid w:val="00A302CA"/>
    <w:rsid w:val="00A30499"/>
    <w:rsid w:val="00A30602"/>
    <w:rsid w:val="00A30662"/>
    <w:rsid w:val="00A3073D"/>
    <w:rsid w:val="00A30B42"/>
    <w:rsid w:val="00A30D33"/>
    <w:rsid w:val="00A30F04"/>
    <w:rsid w:val="00A30FD9"/>
    <w:rsid w:val="00A3118D"/>
    <w:rsid w:val="00A31375"/>
    <w:rsid w:val="00A31982"/>
    <w:rsid w:val="00A319A5"/>
    <w:rsid w:val="00A31BC4"/>
    <w:rsid w:val="00A31C96"/>
    <w:rsid w:val="00A31EF7"/>
    <w:rsid w:val="00A32034"/>
    <w:rsid w:val="00A3208C"/>
    <w:rsid w:val="00A32116"/>
    <w:rsid w:val="00A321DB"/>
    <w:rsid w:val="00A32397"/>
    <w:rsid w:val="00A323C4"/>
    <w:rsid w:val="00A32518"/>
    <w:rsid w:val="00A32603"/>
    <w:rsid w:val="00A3270B"/>
    <w:rsid w:val="00A32965"/>
    <w:rsid w:val="00A329BE"/>
    <w:rsid w:val="00A32DF1"/>
    <w:rsid w:val="00A3367B"/>
    <w:rsid w:val="00A337C7"/>
    <w:rsid w:val="00A3395F"/>
    <w:rsid w:val="00A33C56"/>
    <w:rsid w:val="00A33F53"/>
    <w:rsid w:val="00A343F2"/>
    <w:rsid w:val="00A34719"/>
    <w:rsid w:val="00A34836"/>
    <w:rsid w:val="00A34B6C"/>
    <w:rsid w:val="00A34C3A"/>
    <w:rsid w:val="00A34F2D"/>
    <w:rsid w:val="00A3523F"/>
    <w:rsid w:val="00A3555A"/>
    <w:rsid w:val="00A3578A"/>
    <w:rsid w:val="00A3590F"/>
    <w:rsid w:val="00A35DBB"/>
    <w:rsid w:val="00A35EF5"/>
    <w:rsid w:val="00A35F79"/>
    <w:rsid w:val="00A35FE4"/>
    <w:rsid w:val="00A3601A"/>
    <w:rsid w:val="00A3608C"/>
    <w:rsid w:val="00A361F8"/>
    <w:rsid w:val="00A36305"/>
    <w:rsid w:val="00A3652E"/>
    <w:rsid w:val="00A36702"/>
    <w:rsid w:val="00A36713"/>
    <w:rsid w:val="00A3681C"/>
    <w:rsid w:val="00A368AC"/>
    <w:rsid w:val="00A369C3"/>
    <w:rsid w:val="00A36C35"/>
    <w:rsid w:val="00A36C83"/>
    <w:rsid w:val="00A36DAE"/>
    <w:rsid w:val="00A36E8C"/>
    <w:rsid w:val="00A373DE"/>
    <w:rsid w:val="00A374BE"/>
    <w:rsid w:val="00A374DF"/>
    <w:rsid w:val="00A37A21"/>
    <w:rsid w:val="00A37AAE"/>
    <w:rsid w:val="00A4006B"/>
    <w:rsid w:val="00A401EA"/>
    <w:rsid w:val="00A4039C"/>
    <w:rsid w:val="00A4044C"/>
    <w:rsid w:val="00A40523"/>
    <w:rsid w:val="00A406FD"/>
    <w:rsid w:val="00A40874"/>
    <w:rsid w:val="00A40942"/>
    <w:rsid w:val="00A40995"/>
    <w:rsid w:val="00A40D6B"/>
    <w:rsid w:val="00A40D99"/>
    <w:rsid w:val="00A40EAC"/>
    <w:rsid w:val="00A410CE"/>
    <w:rsid w:val="00A413F1"/>
    <w:rsid w:val="00A41483"/>
    <w:rsid w:val="00A415EC"/>
    <w:rsid w:val="00A419BB"/>
    <w:rsid w:val="00A41E14"/>
    <w:rsid w:val="00A422A6"/>
    <w:rsid w:val="00A4260A"/>
    <w:rsid w:val="00A426DF"/>
    <w:rsid w:val="00A429A9"/>
    <w:rsid w:val="00A42A98"/>
    <w:rsid w:val="00A42ACF"/>
    <w:rsid w:val="00A42EB6"/>
    <w:rsid w:val="00A43253"/>
    <w:rsid w:val="00A432AA"/>
    <w:rsid w:val="00A43729"/>
    <w:rsid w:val="00A4388F"/>
    <w:rsid w:val="00A4391A"/>
    <w:rsid w:val="00A43A03"/>
    <w:rsid w:val="00A43AAF"/>
    <w:rsid w:val="00A43CAC"/>
    <w:rsid w:val="00A44198"/>
    <w:rsid w:val="00A4429D"/>
    <w:rsid w:val="00A44557"/>
    <w:rsid w:val="00A4475E"/>
    <w:rsid w:val="00A44770"/>
    <w:rsid w:val="00A449B4"/>
    <w:rsid w:val="00A44B4F"/>
    <w:rsid w:val="00A44DA9"/>
    <w:rsid w:val="00A45775"/>
    <w:rsid w:val="00A45B30"/>
    <w:rsid w:val="00A45B33"/>
    <w:rsid w:val="00A45C14"/>
    <w:rsid w:val="00A45C7D"/>
    <w:rsid w:val="00A45D68"/>
    <w:rsid w:val="00A45E59"/>
    <w:rsid w:val="00A460F8"/>
    <w:rsid w:val="00A466FB"/>
    <w:rsid w:val="00A4673C"/>
    <w:rsid w:val="00A468EC"/>
    <w:rsid w:val="00A46957"/>
    <w:rsid w:val="00A46B32"/>
    <w:rsid w:val="00A46BB5"/>
    <w:rsid w:val="00A46DAC"/>
    <w:rsid w:val="00A46E8C"/>
    <w:rsid w:val="00A47986"/>
    <w:rsid w:val="00A47E93"/>
    <w:rsid w:val="00A48F72"/>
    <w:rsid w:val="00A4B5D0"/>
    <w:rsid w:val="00A5015E"/>
    <w:rsid w:val="00A5063D"/>
    <w:rsid w:val="00A50A1E"/>
    <w:rsid w:val="00A50E42"/>
    <w:rsid w:val="00A51216"/>
    <w:rsid w:val="00A5141B"/>
    <w:rsid w:val="00A518DD"/>
    <w:rsid w:val="00A51BD1"/>
    <w:rsid w:val="00A51C63"/>
    <w:rsid w:val="00A51C89"/>
    <w:rsid w:val="00A51E70"/>
    <w:rsid w:val="00A52109"/>
    <w:rsid w:val="00A52181"/>
    <w:rsid w:val="00A5224B"/>
    <w:rsid w:val="00A5225E"/>
    <w:rsid w:val="00A522F2"/>
    <w:rsid w:val="00A5256E"/>
    <w:rsid w:val="00A52786"/>
    <w:rsid w:val="00A52A9E"/>
    <w:rsid w:val="00A52ECD"/>
    <w:rsid w:val="00A52F42"/>
    <w:rsid w:val="00A53017"/>
    <w:rsid w:val="00A531E1"/>
    <w:rsid w:val="00A534C2"/>
    <w:rsid w:val="00A536BE"/>
    <w:rsid w:val="00A538E4"/>
    <w:rsid w:val="00A53B38"/>
    <w:rsid w:val="00A53CFC"/>
    <w:rsid w:val="00A53F7F"/>
    <w:rsid w:val="00A54076"/>
    <w:rsid w:val="00A5473D"/>
    <w:rsid w:val="00A5485B"/>
    <w:rsid w:val="00A54885"/>
    <w:rsid w:val="00A54C0B"/>
    <w:rsid w:val="00A54D50"/>
    <w:rsid w:val="00A54F4C"/>
    <w:rsid w:val="00A551BA"/>
    <w:rsid w:val="00A552EF"/>
    <w:rsid w:val="00A558BB"/>
    <w:rsid w:val="00A55AAA"/>
    <w:rsid w:val="00A55EE6"/>
    <w:rsid w:val="00A56032"/>
    <w:rsid w:val="00A5632D"/>
    <w:rsid w:val="00A56870"/>
    <w:rsid w:val="00A56964"/>
    <w:rsid w:val="00A56B6D"/>
    <w:rsid w:val="00A56F0A"/>
    <w:rsid w:val="00A5735A"/>
    <w:rsid w:val="00A573A9"/>
    <w:rsid w:val="00A573D5"/>
    <w:rsid w:val="00A574AB"/>
    <w:rsid w:val="00A57589"/>
    <w:rsid w:val="00A60080"/>
    <w:rsid w:val="00A60253"/>
    <w:rsid w:val="00A603CD"/>
    <w:rsid w:val="00A607F9"/>
    <w:rsid w:val="00A609C7"/>
    <w:rsid w:val="00A60C1D"/>
    <w:rsid w:val="00A60C6F"/>
    <w:rsid w:val="00A60ED2"/>
    <w:rsid w:val="00A60FA8"/>
    <w:rsid w:val="00A61141"/>
    <w:rsid w:val="00A613D4"/>
    <w:rsid w:val="00A61426"/>
    <w:rsid w:val="00A6162C"/>
    <w:rsid w:val="00A61994"/>
    <w:rsid w:val="00A61C01"/>
    <w:rsid w:val="00A61D1A"/>
    <w:rsid w:val="00A61D3F"/>
    <w:rsid w:val="00A61DBC"/>
    <w:rsid w:val="00A61DBE"/>
    <w:rsid w:val="00A61E6C"/>
    <w:rsid w:val="00A61F58"/>
    <w:rsid w:val="00A61FB3"/>
    <w:rsid w:val="00A62258"/>
    <w:rsid w:val="00A62628"/>
    <w:rsid w:val="00A62A14"/>
    <w:rsid w:val="00A62B9E"/>
    <w:rsid w:val="00A62C11"/>
    <w:rsid w:val="00A62C71"/>
    <w:rsid w:val="00A62D33"/>
    <w:rsid w:val="00A62E0E"/>
    <w:rsid w:val="00A62E4B"/>
    <w:rsid w:val="00A62EBA"/>
    <w:rsid w:val="00A630FD"/>
    <w:rsid w:val="00A632EE"/>
    <w:rsid w:val="00A63419"/>
    <w:rsid w:val="00A63456"/>
    <w:rsid w:val="00A634C1"/>
    <w:rsid w:val="00A63614"/>
    <w:rsid w:val="00A6364B"/>
    <w:rsid w:val="00A63699"/>
    <w:rsid w:val="00A63B45"/>
    <w:rsid w:val="00A63BE1"/>
    <w:rsid w:val="00A63D10"/>
    <w:rsid w:val="00A64713"/>
    <w:rsid w:val="00A64A44"/>
    <w:rsid w:val="00A64F72"/>
    <w:rsid w:val="00A64FE4"/>
    <w:rsid w:val="00A64FFE"/>
    <w:rsid w:val="00A65A7F"/>
    <w:rsid w:val="00A65C24"/>
    <w:rsid w:val="00A65F2C"/>
    <w:rsid w:val="00A6619A"/>
    <w:rsid w:val="00A661CB"/>
    <w:rsid w:val="00A661F1"/>
    <w:rsid w:val="00A667A4"/>
    <w:rsid w:val="00A66825"/>
    <w:rsid w:val="00A66954"/>
    <w:rsid w:val="00A66BC9"/>
    <w:rsid w:val="00A66C03"/>
    <w:rsid w:val="00A66E6F"/>
    <w:rsid w:val="00A67130"/>
    <w:rsid w:val="00A67452"/>
    <w:rsid w:val="00A6760B"/>
    <w:rsid w:val="00A6763F"/>
    <w:rsid w:val="00A6777F"/>
    <w:rsid w:val="00A67D20"/>
    <w:rsid w:val="00A67DC3"/>
    <w:rsid w:val="00A67E71"/>
    <w:rsid w:val="00A70415"/>
    <w:rsid w:val="00A706FF"/>
    <w:rsid w:val="00A70793"/>
    <w:rsid w:val="00A70CD5"/>
    <w:rsid w:val="00A70DCD"/>
    <w:rsid w:val="00A70ECB"/>
    <w:rsid w:val="00A71236"/>
    <w:rsid w:val="00A71498"/>
    <w:rsid w:val="00A71695"/>
    <w:rsid w:val="00A71882"/>
    <w:rsid w:val="00A7189B"/>
    <w:rsid w:val="00A71AB6"/>
    <w:rsid w:val="00A71C9F"/>
    <w:rsid w:val="00A71D3B"/>
    <w:rsid w:val="00A71FAD"/>
    <w:rsid w:val="00A7271E"/>
    <w:rsid w:val="00A72A9D"/>
    <w:rsid w:val="00A72D08"/>
    <w:rsid w:val="00A72ECE"/>
    <w:rsid w:val="00A72F5B"/>
    <w:rsid w:val="00A73137"/>
    <w:rsid w:val="00A732C2"/>
    <w:rsid w:val="00A73BCF"/>
    <w:rsid w:val="00A73CA8"/>
    <w:rsid w:val="00A73CF4"/>
    <w:rsid w:val="00A73E7C"/>
    <w:rsid w:val="00A7407F"/>
    <w:rsid w:val="00A74370"/>
    <w:rsid w:val="00A74425"/>
    <w:rsid w:val="00A7455D"/>
    <w:rsid w:val="00A7490B"/>
    <w:rsid w:val="00A74921"/>
    <w:rsid w:val="00A749EB"/>
    <w:rsid w:val="00A74C38"/>
    <w:rsid w:val="00A74D16"/>
    <w:rsid w:val="00A75307"/>
    <w:rsid w:val="00A75463"/>
    <w:rsid w:val="00A75D9D"/>
    <w:rsid w:val="00A767BF"/>
    <w:rsid w:val="00A76D12"/>
    <w:rsid w:val="00A76F30"/>
    <w:rsid w:val="00A76F4C"/>
    <w:rsid w:val="00A77BB5"/>
    <w:rsid w:val="00A77C94"/>
    <w:rsid w:val="00A77DFF"/>
    <w:rsid w:val="00A80388"/>
    <w:rsid w:val="00A80572"/>
    <w:rsid w:val="00A805C3"/>
    <w:rsid w:val="00A805E5"/>
    <w:rsid w:val="00A8076D"/>
    <w:rsid w:val="00A809A5"/>
    <w:rsid w:val="00A80E19"/>
    <w:rsid w:val="00A80F66"/>
    <w:rsid w:val="00A8123B"/>
    <w:rsid w:val="00A81620"/>
    <w:rsid w:val="00A8170C"/>
    <w:rsid w:val="00A81C01"/>
    <w:rsid w:val="00A81E05"/>
    <w:rsid w:val="00A81EA7"/>
    <w:rsid w:val="00A81ECC"/>
    <w:rsid w:val="00A82003"/>
    <w:rsid w:val="00A82128"/>
    <w:rsid w:val="00A821E4"/>
    <w:rsid w:val="00A824E8"/>
    <w:rsid w:val="00A826EF"/>
    <w:rsid w:val="00A8281C"/>
    <w:rsid w:val="00A82907"/>
    <w:rsid w:val="00A829CC"/>
    <w:rsid w:val="00A82A5A"/>
    <w:rsid w:val="00A82B0D"/>
    <w:rsid w:val="00A82B2C"/>
    <w:rsid w:val="00A82B43"/>
    <w:rsid w:val="00A82BC1"/>
    <w:rsid w:val="00A82CF1"/>
    <w:rsid w:val="00A82E01"/>
    <w:rsid w:val="00A8304F"/>
    <w:rsid w:val="00A834B6"/>
    <w:rsid w:val="00A83815"/>
    <w:rsid w:val="00A83895"/>
    <w:rsid w:val="00A838C5"/>
    <w:rsid w:val="00A83AD2"/>
    <w:rsid w:val="00A83D78"/>
    <w:rsid w:val="00A83ED3"/>
    <w:rsid w:val="00A83EE0"/>
    <w:rsid w:val="00A8428B"/>
    <w:rsid w:val="00A847B8"/>
    <w:rsid w:val="00A84A56"/>
    <w:rsid w:val="00A84CD5"/>
    <w:rsid w:val="00A84D1D"/>
    <w:rsid w:val="00A84DBB"/>
    <w:rsid w:val="00A850AE"/>
    <w:rsid w:val="00A856E0"/>
    <w:rsid w:val="00A856FA"/>
    <w:rsid w:val="00A85A0F"/>
    <w:rsid w:val="00A85AB7"/>
    <w:rsid w:val="00A85E9B"/>
    <w:rsid w:val="00A85F28"/>
    <w:rsid w:val="00A85FAD"/>
    <w:rsid w:val="00A8600B"/>
    <w:rsid w:val="00A86496"/>
    <w:rsid w:val="00A86A9C"/>
    <w:rsid w:val="00A86D99"/>
    <w:rsid w:val="00A879EF"/>
    <w:rsid w:val="00A87B45"/>
    <w:rsid w:val="00A87FC0"/>
    <w:rsid w:val="00A90182"/>
    <w:rsid w:val="00A91258"/>
    <w:rsid w:val="00A91657"/>
    <w:rsid w:val="00A91709"/>
    <w:rsid w:val="00A9170F"/>
    <w:rsid w:val="00A9196E"/>
    <w:rsid w:val="00A91A02"/>
    <w:rsid w:val="00A91C61"/>
    <w:rsid w:val="00A92125"/>
    <w:rsid w:val="00A9218E"/>
    <w:rsid w:val="00A9295A"/>
    <w:rsid w:val="00A92DCD"/>
    <w:rsid w:val="00A92FD7"/>
    <w:rsid w:val="00A931AE"/>
    <w:rsid w:val="00A93812"/>
    <w:rsid w:val="00A9399A"/>
    <w:rsid w:val="00A93C7E"/>
    <w:rsid w:val="00A941FA"/>
    <w:rsid w:val="00A94284"/>
    <w:rsid w:val="00A942E0"/>
    <w:rsid w:val="00A942EF"/>
    <w:rsid w:val="00A943B2"/>
    <w:rsid w:val="00A94425"/>
    <w:rsid w:val="00A94426"/>
    <w:rsid w:val="00A94513"/>
    <w:rsid w:val="00A9473A"/>
    <w:rsid w:val="00A9484B"/>
    <w:rsid w:val="00A9498C"/>
    <w:rsid w:val="00A94AB5"/>
    <w:rsid w:val="00A94C54"/>
    <w:rsid w:val="00A94CA3"/>
    <w:rsid w:val="00A94F14"/>
    <w:rsid w:val="00A94F73"/>
    <w:rsid w:val="00A95015"/>
    <w:rsid w:val="00A95071"/>
    <w:rsid w:val="00A950E0"/>
    <w:rsid w:val="00A9555E"/>
    <w:rsid w:val="00A9582D"/>
    <w:rsid w:val="00A95B24"/>
    <w:rsid w:val="00A95C40"/>
    <w:rsid w:val="00A95CDE"/>
    <w:rsid w:val="00A96062"/>
    <w:rsid w:val="00A96412"/>
    <w:rsid w:val="00A96975"/>
    <w:rsid w:val="00A96B35"/>
    <w:rsid w:val="00A96B3B"/>
    <w:rsid w:val="00A96B8B"/>
    <w:rsid w:val="00A96ED8"/>
    <w:rsid w:val="00A97242"/>
    <w:rsid w:val="00A97261"/>
    <w:rsid w:val="00A97293"/>
    <w:rsid w:val="00A97779"/>
    <w:rsid w:val="00A97843"/>
    <w:rsid w:val="00A979C8"/>
    <w:rsid w:val="00A97FBC"/>
    <w:rsid w:val="00AA03F6"/>
    <w:rsid w:val="00AA048A"/>
    <w:rsid w:val="00AA067A"/>
    <w:rsid w:val="00AA081B"/>
    <w:rsid w:val="00AA0875"/>
    <w:rsid w:val="00AA097B"/>
    <w:rsid w:val="00AA1428"/>
    <w:rsid w:val="00AA1550"/>
    <w:rsid w:val="00AA16D8"/>
    <w:rsid w:val="00AA1799"/>
    <w:rsid w:val="00AA17C2"/>
    <w:rsid w:val="00AA1817"/>
    <w:rsid w:val="00AA1E36"/>
    <w:rsid w:val="00AA1F54"/>
    <w:rsid w:val="00AA20A8"/>
    <w:rsid w:val="00AA212A"/>
    <w:rsid w:val="00AA295A"/>
    <w:rsid w:val="00AA2AA6"/>
    <w:rsid w:val="00AA2D26"/>
    <w:rsid w:val="00AA2D5F"/>
    <w:rsid w:val="00AA3060"/>
    <w:rsid w:val="00AA30AE"/>
    <w:rsid w:val="00AA30E7"/>
    <w:rsid w:val="00AA3257"/>
    <w:rsid w:val="00AA335E"/>
    <w:rsid w:val="00AA341D"/>
    <w:rsid w:val="00AA3492"/>
    <w:rsid w:val="00AA37CB"/>
    <w:rsid w:val="00AA39AC"/>
    <w:rsid w:val="00AA3F93"/>
    <w:rsid w:val="00AA3FDB"/>
    <w:rsid w:val="00AA42ED"/>
    <w:rsid w:val="00AA430C"/>
    <w:rsid w:val="00AA45AB"/>
    <w:rsid w:val="00AA45E4"/>
    <w:rsid w:val="00AA4939"/>
    <w:rsid w:val="00AA4A37"/>
    <w:rsid w:val="00AA4ACB"/>
    <w:rsid w:val="00AA4BEC"/>
    <w:rsid w:val="00AA4DDE"/>
    <w:rsid w:val="00AA4EDF"/>
    <w:rsid w:val="00AA4EEF"/>
    <w:rsid w:val="00AA534E"/>
    <w:rsid w:val="00AA5391"/>
    <w:rsid w:val="00AA5803"/>
    <w:rsid w:val="00AA5C2C"/>
    <w:rsid w:val="00AA5F01"/>
    <w:rsid w:val="00AA6035"/>
    <w:rsid w:val="00AA6091"/>
    <w:rsid w:val="00AA60A3"/>
    <w:rsid w:val="00AA6517"/>
    <w:rsid w:val="00AA673E"/>
    <w:rsid w:val="00AA6B45"/>
    <w:rsid w:val="00AA7198"/>
    <w:rsid w:val="00AA761F"/>
    <w:rsid w:val="00AA7787"/>
    <w:rsid w:val="00AA7B66"/>
    <w:rsid w:val="00AA7D4C"/>
    <w:rsid w:val="00AA7ECC"/>
    <w:rsid w:val="00AB00D7"/>
    <w:rsid w:val="00AB0144"/>
    <w:rsid w:val="00AB024E"/>
    <w:rsid w:val="00AB02A1"/>
    <w:rsid w:val="00AB04A4"/>
    <w:rsid w:val="00AB0711"/>
    <w:rsid w:val="00AB07EB"/>
    <w:rsid w:val="00AB09DD"/>
    <w:rsid w:val="00AB0D9E"/>
    <w:rsid w:val="00AB10D7"/>
    <w:rsid w:val="00AB124D"/>
    <w:rsid w:val="00AB13F2"/>
    <w:rsid w:val="00AB158B"/>
    <w:rsid w:val="00AB1858"/>
    <w:rsid w:val="00AB199E"/>
    <w:rsid w:val="00AB1BB1"/>
    <w:rsid w:val="00AB1BE6"/>
    <w:rsid w:val="00AB24D2"/>
    <w:rsid w:val="00AB250D"/>
    <w:rsid w:val="00AB269D"/>
    <w:rsid w:val="00AB26B0"/>
    <w:rsid w:val="00AB2744"/>
    <w:rsid w:val="00AB2746"/>
    <w:rsid w:val="00AB2A56"/>
    <w:rsid w:val="00AB2BED"/>
    <w:rsid w:val="00AB3031"/>
    <w:rsid w:val="00AB325D"/>
    <w:rsid w:val="00AB3483"/>
    <w:rsid w:val="00AB35EB"/>
    <w:rsid w:val="00AB37FF"/>
    <w:rsid w:val="00AB3DDF"/>
    <w:rsid w:val="00AB4155"/>
    <w:rsid w:val="00AB43EC"/>
    <w:rsid w:val="00AB459F"/>
    <w:rsid w:val="00AB4819"/>
    <w:rsid w:val="00AB4AF3"/>
    <w:rsid w:val="00AB4C24"/>
    <w:rsid w:val="00AB4D76"/>
    <w:rsid w:val="00AB4EB2"/>
    <w:rsid w:val="00AB59B5"/>
    <w:rsid w:val="00AB5F1C"/>
    <w:rsid w:val="00AB60E6"/>
    <w:rsid w:val="00AB610A"/>
    <w:rsid w:val="00AB618E"/>
    <w:rsid w:val="00AB6205"/>
    <w:rsid w:val="00AB6284"/>
    <w:rsid w:val="00AB64BB"/>
    <w:rsid w:val="00AB6642"/>
    <w:rsid w:val="00AB6728"/>
    <w:rsid w:val="00AB6905"/>
    <w:rsid w:val="00AB6B2F"/>
    <w:rsid w:val="00AB6DCA"/>
    <w:rsid w:val="00AB6E9A"/>
    <w:rsid w:val="00AB6FB7"/>
    <w:rsid w:val="00AB737C"/>
    <w:rsid w:val="00AB7754"/>
    <w:rsid w:val="00AB7773"/>
    <w:rsid w:val="00AB77A3"/>
    <w:rsid w:val="00AB7943"/>
    <w:rsid w:val="00AB79B5"/>
    <w:rsid w:val="00AB7B39"/>
    <w:rsid w:val="00AB7CA4"/>
    <w:rsid w:val="00AB7D7F"/>
    <w:rsid w:val="00AC0015"/>
    <w:rsid w:val="00AC01C3"/>
    <w:rsid w:val="00AC03BF"/>
    <w:rsid w:val="00AC06A1"/>
    <w:rsid w:val="00AC073C"/>
    <w:rsid w:val="00AC0A16"/>
    <w:rsid w:val="00AC0B8D"/>
    <w:rsid w:val="00AC0E31"/>
    <w:rsid w:val="00AC179A"/>
    <w:rsid w:val="00AC1875"/>
    <w:rsid w:val="00AC1997"/>
    <w:rsid w:val="00AC2106"/>
    <w:rsid w:val="00AC2340"/>
    <w:rsid w:val="00AC2532"/>
    <w:rsid w:val="00AC257D"/>
    <w:rsid w:val="00AC2A21"/>
    <w:rsid w:val="00AC2A9C"/>
    <w:rsid w:val="00AC2ABB"/>
    <w:rsid w:val="00AC30C1"/>
    <w:rsid w:val="00AC3780"/>
    <w:rsid w:val="00AC3B52"/>
    <w:rsid w:val="00AC3B80"/>
    <w:rsid w:val="00AC407C"/>
    <w:rsid w:val="00AC40D7"/>
    <w:rsid w:val="00AC42C0"/>
    <w:rsid w:val="00AC44C9"/>
    <w:rsid w:val="00AC48A9"/>
    <w:rsid w:val="00AC4A65"/>
    <w:rsid w:val="00AC4B4C"/>
    <w:rsid w:val="00AC4C53"/>
    <w:rsid w:val="00AC4F63"/>
    <w:rsid w:val="00AC5008"/>
    <w:rsid w:val="00AC5406"/>
    <w:rsid w:val="00AC5652"/>
    <w:rsid w:val="00AC5A27"/>
    <w:rsid w:val="00AC5C31"/>
    <w:rsid w:val="00AC5CD9"/>
    <w:rsid w:val="00AC5ED1"/>
    <w:rsid w:val="00AC6106"/>
    <w:rsid w:val="00AC620D"/>
    <w:rsid w:val="00AC6384"/>
    <w:rsid w:val="00AC6E9B"/>
    <w:rsid w:val="00AC7265"/>
    <w:rsid w:val="00AC7295"/>
    <w:rsid w:val="00AC72DE"/>
    <w:rsid w:val="00AC7317"/>
    <w:rsid w:val="00AC78C6"/>
    <w:rsid w:val="00AC793E"/>
    <w:rsid w:val="00AC7B6D"/>
    <w:rsid w:val="00AC7C07"/>
    <w:rsid w:val="00AC7C09"/>
    <w:rsid w:val="00AC7C16"/>
    <w:rsid w:val="00AC7D22"/>
    <w:rsid w:val="00AC7D54"/>
    <w:rsid w:val="00AC7F3A"/>
    <w:rsid w:val="00AC7F40"/>
    <w:rsid w:val="00AD04C5"/>
    <w:rsid w:val="00AD0628"/>
    <w:rsid w:val="00AD069A"/>
    <w:rsid w:val="00AD0741"/>
    <w:rsid w:val="00AD0F73"/>
    <w:rsid w:val="00AD13C3"/>
    <w:rsid w:val="00AD13F8"/>
    <w:rsid w:val="00AD154F"/>
    <w:rsid w:val="00AD1559"/>
    <w:rsid w:val="00AD15EC"/>
    <w:rsid w:val="00AD15F1"/>
    <w:rsid w:val="00AD19BB"/>
    <w:rsid w:val="00AD1BD5"/>
    <w:rsid w:val="00AD1C16"/>
    <w:rsid w:val="00AD1CB8"/>
    <w:rsid w:val="00AD1D3D"/>
    <w:rsid w:val="00AD1EBF"/>
    <w:rsid w:val="00AD1F39"/>
    <w:rsid w:val="00AD248D"/>
    <w:rsid w:val="00AD258F"/>
    <w:rsid w:val="00AD26DB"/>
    <w:rsid w:val="00AD2B89"/>
    <w:rsid w:val="00AD2BD6"/>
    <w:rsid w:val="00AD3139"/>
    <w:rsid w:val="00AD3256"/>
    <w:rsid w:val="00AD3BE6"/>
    <w:rsid w:val="00AD3E14"/>
    <w:rsid w:val="00AD3F7C"/>
    <w:rsid w:val="00AD41F0"/>
    <w:rsid w:val="00AD424D"/>
    <w:rsid w:val="00AD46ED"/>
    <w:rsid w:val="00AD477E"/>
    <w:rsid w:val="00AD4874"/>
    <w:rsid w:val="00AD4C43"/>
    <w:rsid w:val="00AD4EA5"/>
    <w:rsid w:val="00AD4FD7"/>
    <w:rsid w:val="00AD5096"/>
    <w:rsid w:val="00AD50A2"/>
    <w:rsid w:val="00AD519F"/>
    <w:rsid w:val="00AD53DD"/>
    <w:rsid w:val="00AD581B"/>
    <w:rsid w:val="00AD58A6"/>
    <w:rsid w:val="00AD5E2D"/>
    <w:rsid w:val="00AD5F14"/>
    <w:rsid w:val="00AD5F5F"/>
    <w:rsid w:val="00AD5FBC"/>
    <w:rsid w:val="00AD600C"/>
    <w:rsid w:val="00AD6C11"/>
    <w:rsid w:val="00AD7113"/>
    <w:rsid w:val="00AD72DD"/>
    <w:rsid w:val="00AD7788"/>
    <w:rsid w:val="00AD77CE"/>
    <w:rsid w:val="00AD7931"/>
    <w:rsid w:val="00AD7B7B"/>
    <w:rsid w:val="00AD7C73"/>
    <w:rsid w:val="00AE022D"/>
    <w:rsid w:val="00AE0539"/>
    <w:rsid w:val="00AE0648"/>
    <w:rsid w:val="00AE06C1"/>
    <w:rsid w:val="00AE0A85"/>
    <w:rsid w:val="00AE0D08"/>
    <w:rsid w:val="00AE0D37"/>
    <w:rsid w:val="00AE0E35"/>
    <w:rsid w:val="00AE0E76"/>
    <w:rsid w:val="00AE1CEB"/>
    <w:rsid w:val="00AE1CF2"/>
    <w:rsid w:val="00AE2146"/>
    <w:rsid w:val="00AE242D"/>
    <w:rsid w:val="00AE265B"/>
    <w:rsid w:val="00AE28A0"/>
    <w:rsid w:val="00AE2FD8"/>
    <w:rsid w:val="00AE326F"/>
    <w:rsid w:val="00AE3373"/>
    <w:rsid w:val="00AE3660"/>
    <w:rsid w:val="00AE3679"/>
    <w:rsid w:val="00AE39D9"/>
    <w:rsid w:val="00AE3C2D"/>
    <w:rsid w:val="00AE3D7E"/>
    <w:rsid w:val="00AE3FCF"/>
    <w:rsid w:val="00AE4594"/>
    <w:rsid w:val="00AE467E"/>
    <w:rsid w:val="00AE475F"/>
    <w:rsid w:val="00AE48E4"/>
    <w:rsid w:val="00AE4DDC"/>
    <w:rsid w:val="00AE4F57"/>
    <w:rsid w:val="00AE5373"/>
    <w:rsid w:val="00AE55B5"/>
    <w:rsid w:val="00AE5690"/>
    <w:rsid w:val="00AE5950"/>
    <w:rsid w:val="00AE596C"/>
    <w:rsid w:val="00AE5E50"/>
    <w:rsid w:val="00AE5F0A"/>
    <w:rsid w:val="00AE674F"/>
    <w:rsid w:val="00AE6FE4"/>
    <w:rsid w:val="00AE7173"/>
    <w:rsid w:val="00AE7242"/>
    <w:rsid w:val="00AE755F"/>
    <w:rsid w:val="00AE77F8"/>
    <w:rsid w:val="00AE7877"/>
    <w:rsid w:val="00AE7942"/>
    <w:rsid w:val="00AE79CE"/>
    <w:rsid w:val="00AE7CBF"/>
    <w:rsid w:val="00AEFEE3"/>
    <w:rsid w:val="00AF0095"/>
    <w:rsid w:val="00AF0530"/>
    <w:rsid w:val="00AF0994"/>
    <w:rsid w:val="00AF0B31"/>
    <w:rsid w:val="00AF0EB7"/>
    <w:rsid w:val="00AF10BD"/>
    <w:rsid w:val="00AF11D4"/>
    <w:rsid w:val="00AF1302"/>
    <w:rsid w:val="00AF1A72"/>
    <w:rsid w:val="00AF1D61"/>
    <w:rsid w:val="00AF1D76"/>
    <w:rsid w:val="00AF1F04"/>
    <w:rsid w:val="00AF20AC"/>
    <w:rsid w:val="00AF2230"/>
    <w:rsid w:val="00AF247B"/>
    <w:rsid w:val="00AF2E23"/>
    <w:rsid w:val="00AF2EAD"/>
    <w:rsid w:val="00AF2F4F"/>
    <w:rsid w:val="00AF2F66"/>
    <w:rsid w:val="00AF2FD7"/>
    <w:rsid w:val="00AF310A"/>
    <w:rsid w:val="00AF3333"/>
    <w:rsid w:val="00AF33B4"/>
    <w:rsid w:val="00AF340B"/>
    <w:rsid w:val="00AF361D"/>
    <w:rsid w:val="00AF3745"/>
    <w:rsid w:val="00AF3874"/>
    <w:rsid w:val="00AF3A20"/>
    <w:rsid w:val="00AF3C5E"/>
    <w:rsid w:val="00AF3DD3"/>
    <w:rsid w:val="00AF4142"/>
    <w:rsid w:val="00AF42A5"/>
    <w:rsid w:val="00AF449D"/>
    <w:rsid w:val="00AF45E6"/>
    <w:rsid w:val="00AF4722"/>
    <w:rsid w:val="00AF4CB9"/>
    <w:rsid w:val="00AF4F4A"/>
    <w:rsid w:val="00AF53A7"/>
    <w:rsid w:val="00AF546D"/>
    <w:rsid w:val="00AF56F5"/>
    <w:rsid w:val="00AF580D"/>
    <w:rsid w:val="00AF5CAA"/>
    <w:rsid w:val="00AF61A3"/>
    <w:rsid w:val="00AF62D0"/>
    <w:rsid w:val="00AF6713"/>
    <w:rsid w:val="00AF67BC"/>
    <w:rsid w:val="00AF68ED"/>
    <w:rsid w:val="00AF694D"/>
    <w:rsid w:val="00AF6C25"/>
    <w:rsid w:val="00AF6D57"/>
    <w:rsid w:val="00AF6E5D"/>
    <w:rsid w:val="00AF7334"/>
    <w:rsid w:val="00AF73B6"/>
    <w:rsid w:val="00AF73F9"/>
    <w:rsid w:val="00AF7474"/>
    <w:rsid w:val="00AF78EA"/>
    <w:rsid w:val="00AF7A29"/>
    <w:rsid w:val="00AF7B44"/>
    <w:rsid w:val="00AF7B92"/>
    <w:rsid w:val="00AF7CB7"/>
    <w:rsid w:val="00AF7DDF"/>
    <w:rsid w:val="00AF7FE5"/>
    <w:rsid w:val="00B0001E"/>
    <w:rsid w:val="00B000A2"/>
    <w:rsid w:val="00B00102"/>
    <w:rsid w:val="00B0060F"/>
    <w:rsid w:val="00B00A7F"/>
    <w:rsid w:val="00B00A9A"/>
    <w:rsid w:val="00B00B56"/>
    <w:rsid w:val="00B00CD6"/>
    <w:rsid w:val="00B00DE1"/>
    <w:rsid w:val="00B00F93"/>
    <w:rsid w:val="00B01153"/>
    <w:rsid w:val="00B012E2"/>
    <w:rsid w:val="00B014B8"/>
    <w:rsid w:val="00B01780"/>
    <w:rsid w:val="00B0196D"/>
    <w:rsid w:val="00B01A28"/>
    <w:rsid w:val="00B01B07"/>
    <w:rsid w:val="00B021C7"/>
    <w:rsid w:val="00B0224B"/>
    <w:rsid w:val="00B02436"/>
    <w:rsid w:val="00B026A5"/>
    <w:rsid w:val="00B0280C"/>
    <w:rsid w:val="00B029D1"/>
    <w:rsid w:val="00B02C35"/>
    <w:rsid w:val="00B02D84"/>
    <w:rsid w:val="00B02DFB"/>
    <w:rsid w:val="00B02E7B"/>
    <w:rsid w:val="00B03382"/>
    <w:rsid w:val="00B033A1"/>
    <w:rsid w:val="00B03579"/>
    <w:rsid w:val="00B03886"/>
    <w:rsid w:val="00B038D5"/>
    <w:rsid w:val="00B039CF"/>
    <w:rsid w:val="00B03BD3"/>
    <w:rsid w:val="00B03CEF"/>
    <w:rsid w:val="00B03E0C"/>
    <w:rsid w:val="00B040F8"/>
    <w:rsid w:val="00B045E2"/>
    <w:rsid w:val="00B04B14"/>
    <w:rsid w:val="00B04B80"/>
    <w:rsid w:val="00B0517A"/>
    <w:rsid w:val="00B052D7"/>
    <w:rsid w:val="00B05B30"/>
    <w:rsid w:val="00B063A9"/>
    <w:rsid w:val="00B06411"/>
    <w:rsid w:val="00B06428"/>
    <w:rsid w:val="00B064B3"/>
    <w:rsid w:val="00B06530"/>
    <w:rsid w:val="00B065CE"/>
    <w:rsid w:val="00B068F4"/>
    <w:rsid w:val="00B06ADF"/>
    <w:rsid w:val="00B06CB5"/>
    <w:rsid w:val="00B073AD"/>
    <w:rsid w:val="00B07400"/>
    <w:rsid w:val="00B0742E"/>
    <w:rsid w:val="00B07575"/>
    <w:rsid w:val="00B077BB"/>
    <w:rsid w:val="00B07E3E"/>
    <w:rsid w:val="00B07F63"/>
    <w:rsid w:val="00B1029F"/>
    <w:rsid w:val="00B10437"/>
    <w:rsid w:val="00B1053A"/>
    <w:rsid w:val="00B108F1"/>
    <w:rsid w:val="00B109F3"/>
    <w:rsid w:val="00B10F19"/>
    <w:rsid w:val="00B11248"/>
    <w:rsid w:val="00B1130A"/>
    <w:rsid w:val="00B116A4"/>
    <w:rsid w:val="00B11759"/>
    <w:rsid w:val="00B118A9"/>
    <w:rsid w:val="00B118E9"/>
    <w:rsid w:val="00B11A94"/>
    <w:rsid w:val="00B11B3A"/>
    <w:rsid w:val="00B11B62"/>
    <w:rsid w:val="00B11D4F"/>
    <w:rsid w:val="00B11DDD"/>
    <w:rsid w:val="00B11E55"/>
    <w:rsid w:val="00B11F49"/>
    <w:rsid w:val="00B12022"/>
    <w:rsid w:val="00B1212A"/>
    <w:rsid w:val="00B12154"/>
    <w:rsid w:val="00B12408"/>
    <w:rsid w:val="00B12511"/>
    <w:rsid w:val="00B1254F"/>
    <w:rsid w:val="00B12554"/>
    <w:rsid w:val="00B126E2"/>
    <w:rsid w:val="00B126EE"/>
    <w:rsid w:val="00B12BC0"/>
    <w:rsid w:val="00B13024"/>
    <w:rsid w:val="00B132E2"/>
    <w:rsid w:val="00B135F4"/>
    <w:rsid w:val="00B1386F"/>
    <w:rsid w:val="00B13AA4"/>
    <w:rsid w:val="00B13ADC"/>
    <w:rsid w:val="00B13BDF"/>
    <w:rsid w:val="00B13CC6"/>
    <w:rsid w:val="00B13E5F"/>
    <w:rsid w:val="00B13F8E"/>
    <w:rsid w:val="00B14773"/>
    <w:rsid w:val="00B14892"/>
    <w:rsid w:val="00B148C0"/>
    <w:rsid w:val="00B148D9"/>
    <w:rsid w:val="00B14AAE"/>
    <w:rsid w:val="00B14BD7"/>
    <w:rsid w:val="00B14DBB"/>
    <w:rsid w:val="00B14EA6"/>
    <w:rsid w:val="00B14FB7"/>
    <w:rsid w:val="00B15327"/>
    <w:rsid w:val="00B155D0"/>
    <w:rsid w:val="00B15A17"/>
    <w:rsid w:val="00B15A72"/>
    <w:rsid w:val="00B15BCE"/>
    <w:rsid w:val="00B15C1C"/>
    <w:rsid w:val="00B15C33"/>
    <w:rsid w:val="00B15E2F"/>
    <w:rsid w:val="00B16151"/>
    <w:rsid w:val="00B16570"/>
    <w:rsid w:val="00B16961"/>
    <w:rsid w:val="00B16B22"/>
    <w:rsid w:val="00B16BC1"/>
    <w:rsid w:val="00B16C12"/>
    <w:rsid w:val="00B16CDE"/>
    <w:rsid w:val="00B16E07"/>
    <w:rsid w:val="00B17835"/>
    <w:rsid w:val="00B20452"/>
    <w:rsid w:val="00B204F0"/>
    <w:rsid w:val="00B20746"/>
    <w:rsid w:val="00B20B19"/>
    <w:rsid w:val="00B20D2E"/>
    <w:rsid w:val="00B20E04"/>
    <w:rsid w:val="00B21261"/>
    <w:rsid w:val="00B2130D"/>
    <w:rsid w:val="00B21398"/>
    <w:rsid w:val="00B2139E"/>
    <w:rsid w:val="00B21518"/>
    <w:rsid w:val="00B21A32"/>
    <w:rsid w:val="00B21BC6"/>
    <w:rsid w:val="00B21C0A"/>
    <w:rsid w:val="00B2219D"/>
    <w:rsid w:val="00B22463"/>
    <w:rsid w:val="00B226D0"/>
    <w:rsid w:val="00B228CA"/>
    <w:rsid w:val="00B2304A"/>
    <w:rsid w:val="00B231B2"/>
    <w:rsid w:val="00B23359"/>
    <w:rsid w:val="00B233B4"/>
    <w:rsid w:val="00B23728"/>
    <w:rsid w:val="00B23874"/>
    <w:rsid w:val="00B23B1E"/>
    <w:rsid w:val="00B23BD6"/>
    <w:rsid w:val="00B23DCC"/>
    <w:rsid w:val="00B244F2"/>
    <w:rsid w:val="00B24511"/>
    <w:rsid w:val="00B24794"/>
    <w:rsid w:val="00B2483D"/>
    <w:rsid w:val="00B24ED3"/>
    <w:rsid w:val="00B24F38"/>
    <w:rsid w:val="00B25391"/>
    <w:rsid w:val="00B253DC"/>
    <w:rsid w:val="00B254D9"/>
    <w:rsid w:val="00B25652"/>
    <w:rsid w:val="00B25803"/>
    <w:rsid w:val="00B25B13"/>
    <w:rsid w:val="00B25C8C"/>
    <w:rsid w:val="00B2628A"/>
    <w:rsid w:val="00B262FF"/>
    <w:rsid w:val="00B2662D"/>
    <w:rsid w:val="00B2697B"/>
    <w:rsid w:val="00B2698B"/>
    <w:rsid w:val="00B26B19"/>
    <w:rsid w:val="00B26D74"/>
    <w:rsid w:val="00B26F3E"/>
    <w:rsid w:val="00B26F44"/>
    <w:rsid w:val="00B271BD"/>
    <w:rsid w:val="00B27220"/>
    <w:rsid w:val="00B2772B"/>
    <w:rsid w:val="00B27E54"/>
    <w:rsid w:val="00B27E80"/>
    <w:rsid w:val="00B27EC0"/>
    <w:rsid w:val="00B30588"/>
    <w:rsid w:val="00B30640"/>
    <w:rsid w:val="00B30911"/>
    <w:rsid w:val="00B309E1"/>
    <w:rsid w:val="00B30A93"/>
    <w:rsid w:val="00B30C13"/>
    <w:rsid w:val="00B31CFA"/>
    <w:rsid w:val="00B31EDB"/>
    <w:rsid w:val="00B32301"/>
    <w:rsid w:val="00B3234F"/>
    <w:rsid w:val="00B32689"/>
    <w:rsid w:val="00B326F1"/>
    <w:rsid w:val="00B328B0"/>
    <w:rsid w:val="00B332AF"/>
    <w:rsid w:val="00B333EF"/>
    <w:rsid w:val="00B33577"/>
    <w:rsid w:val="00B3368B"/>
    <w:rsid w:val="00B339AB"/>
    <w:rsid w:val="00B33F3B"/>
    <w:rsid w:val="00B3404E"/>
    <w:rsid w:val="00B3446C"/>
    <w:rsid w:val="00B346BC"/>
    <w:rsid w:val="00B34A0B"/>
    <w:rsid w:val="00B34BB0"/>
    <w:rsid w:val="00B34D32"/>
    <w:rsid w:val="00B34D48"/>
    <w:rsid w:val="00B34D98"/>
    <w:rsid w:val="00B34E51"/>
    <w:rsid w:val="00B34FE6"/>
    <w:rsid w:val="00B35307"/>
    <w:rsid w:val="00B35428"/>
    <w:rsid w:val="00B355E5"/>
    <w:rsid w:val="00B35625"/>
    <w:rsid w:val="00B35637"/>
    <w:rsid w:val="00B3563E"/>
    <w:rsid w:val="00B36919"/>
    <w:rsid w:val="00B36B5C"/>
    <w:rsid w:val="00B36B73"/>
    <w:rsid w:val="00B36DC8"/>
    <w:rsid w:val="00B36EF3"/>
    <w:rsid w:val="00B36F3C"/>
    <w:rsid w:val="00B37116"/>
    <w:rsid w:val="00B37233"/>
    <w:rsid w:val="00B3743F"/>
    <w:rsid w:val="00B3768B"/>
    <w:rsid w:val="00B376F7"/>
    <w:rsid w:val="00B37720"/>
    <w:rsid w:val="00B37817"/>
    <w:rsid w:val="00B37AF9"/>
    <w:rsid w:val="00B37EDA"/>
    <w:rsid w:val="00B37EE5"/>
    <w:rsid w:val="00B40071"/>
    <w:rsid w:val="00B40148"/>
    <w:rsid w:val="00B4016F"/>
    <w:rsid w:val="00B40242"/>
    <w:rsid w:val="00B40522"/>
    <w:rsid w:val="00B40824"/>
    <w:rsid w:val="00B4096C"/>
    <w:rsid w:val="00B409E4"/>
    <w:rsid w:val="00B40D67"/>
    <w:rsid w:val="00B40EE3"/>
    <w:rsid w:val="00B40F94"/>
    <w:rsid w:val="00B410DB"/>
    <w:rsid w:val="00B4111A"/>
    <w:rsid w:val="00B41424"/>
    <w:rsid w:val="00B4147B"/>
    <w:rsid w:val="00B41767"/>
    <w:rsid w:val="00B41890"/>
    <w:rsid w:val="00B419F8"/>
    <w:rsid w:val="00B41A35"/>
    <w:rsid w:val="00B41C73"/>
    <w:rsid w:val="00B41DEB"/>
    <w:rsid w:val="00B4216A"/>
    <w:rsid w:val="00B421BC"/>
    <w:rsid w:val="00B42363"/>
    <w:rsid w:val="00B42648"/>
    <w:rsid w:val="00B4270C"/>
    <w:rsid w:val="00B42874"/>
    <w:rsid w:val="00B42936"/>
    <w:rsid w:val="00B42A1B"/>
    <w:rsid w:val="00B42A3B"/>
    <w:rsid w:val="00B43470"/>
    <w:rsid w:val="00B43606"/>
    <w:rsid w:val="00B43642"/>
    <w:rsid w:val="00B438BB"/>
    <w:rsid w:val="00B43B83"/>
    <w:rsid w:val="00B43BAC"/>
    <w:rsid w:val="00B43D47"/>
    <w:rsid w:val="00B44482"/>
    <w:rsid w:val="00B4462B"/>
    <w:rsid w:val="00B446A3"/>
    <w:rsid w:val="00B4490F"/>
    <w:rsid w:val="00B449A3"/>
    <w:rsid w:val="00B449DE"/>
    <w:rsid w:val="00B44EC1"/>
    <w:rsid w:val="00B451BB"/>
    <w:rsid w:val="00B45289"/>
    <w:rsid w:val="00B452EB"/>
    <w:rsid w:val="00B45315"/>
    <w:rsid w:val="00B45640"/>
    <w:rsid w:val="00B45699"/>
    <w:rsid w:val="00B45722"/>
    <w:rsid w:val="00B4575C"/>
    <w:rsid w:val="00B457EA"/>
    <w:rsid w:val="00B458CD"/>
    <w:rsid w:val="00B45912"/>
    <w:rsid w:val="00B45BEB"/>
    <w:rsid w:val="00B45C25"/>
    <w:rsid w:val="00B45E51"/>
    <w:rsid w:val="00B45EB3"/>
    <w:rsid w:val="00B46713"/>
    <w:rsid w:val="00B46822"/>
    <w:rsid w:val="00B468FF"/>
    <w:rsid w:val="00B47073"/>
    <w:rsid w:val="00B47266"/>
    <w:rsid w:val="00B4728C"/>
    <w:rsid w:val="00B47316"/>
    <w:rsid w:val="00B474E2"/>
    <w:rsid w:val="00B474FB"/>
    <w:rsid w:val="00B474FF"/>
    <w:rsid w:val="00B477DF"/>
    <w:rsid w:val="00B479FE"/>
    <w:rsid w:val="00B47EFD"/>
    <w:rsid w:val="00B47F32"/>
    <w:rsid w:val="00B502F5"/>
    <w:rsid w:val="00B50414"/>
    <w:rsid w:val="00B50917"/>
    <w:rsid w:val="00B50B07"/>
    <w:rsid w:val="00B50CC9"/>
    <w:rsid w:val="00B510CE"/>
    <w:rsid w:val="00B517C0"/>
    <w:rsid w:val="00B51827"/>
    <w:rsid w:val="00B51878"/>
    <w:rsid w:val="00B519CF"/>
    <w:rsid w:val="00B51EA0"/>
    <w:rsid w:val="00B522E5"/>
    <w:rsid w:val="00B5262D"/>
    <w:rsid w:val="00B52755"/>
    <w:rsid w:val="00B527F4"/>
    <w:rsid w:val="00B52A16"/>
    <w:rsid w:val="00B52BB4"/>
    <w:rsid w:val="00B52CC7"/>
    <w:rsid w:val="00B52F1D"/>
    <w:rsid w:val="00B52F46"/>
    <w:rsid w:val="00B52F71"/>
    <w:rsid w:val="00B5307C"/>
    <w:rsid w:val="00B5308E"/>
    <w:rsid w:val="00B53180"/>
    <w:rsid w:val="00B5333E"/>
    <w:rsid w:val="00B536EB"/>
    <w:rsid w:val="00B5375C"/>
    <w:rsid w:val="00B53FFD"/>
    <w:rsid w:val="00B5424A"/>
    <w:rsid w:val="00B54B22"/>
    <w:rsid w:val="00B54B28"/>
    <w:rsid w:val="00B54E87"/>
    <w:rsid w:val="00B55297"/>
    <w:rsid w:val="00B557CB"/>
    <w:rsid w:val="00B55B57"/>
    <w:rsid w:val="00B55F07"/>
    <w:rsid w:val="00B55F3C"/>
    <w:rsid w:val="00B55F4E"/>
    <w:rsid w:val="00B56085"/>
    <w:rsid w:val="00B56109"/>
    <w:rsid w:val="00B56458"/>
    <w:rsid w:val="00B56562"/>
    <w:rsid w:val="00B5658F"/>
    <w:rsid w:val="00B5663E"/>
    <w:rsid w:val="00B566B9"/>
    <w:rsid w:val="00B56E38"/>
    <w:rsid w:val="00B56E6B"/>
    <w:rsid w:val="00B57422"/>
    <w:rsid w:val="00B5754B"/>
    <w:rsid w:val="00B57658"/>
    <w:rsid w:val="00B5782E"/>
    <w:rsid w:val="00B57942"/>
    <w:rsid w:val="00B57EE2"/>
    <w:rsid w:val="00B601FE"/>
    <w:rsid w:val="00B60287"/>
    <w:rsid w:val="00B60348"/>
    <w:rsid w:val="00B604CB"/>
    <w:rsid w:val="00B604CF"/>
    <w:rsid w:val="00B6056E"/>
    <w:rsid w:val="00B60D54"/>
    <w:rsid w:val="00B60D59"/>
    <w:rsid w:val="00B614D6"/>
    <w:rsid w:val="00B614EB"/>
    <w:rsid w:val="00B6156A"/>
    <w:rsid w:val="00B61B81"/>
    <w:rsid w:val="00B61BF5"/>
    <w:rsid w:val="00B620EE"/>
    <w:rsid w:val="00B628B7"/>
    <w:rsid w:val="00B62C46"/>
    <w:rsid w:val="00B62CC4"/>
    <w:rsid w:val="00B63166"/>
    <w:rsid w:val="00B63633"/>
    <w:rsid w:val="00B63690"/>
    <w:rsid w:val="00B63B77"/>
    <w:rsid w:val="00B63C40"/>
    <w:rsid w:val="00B63E05"/>
    <w:rsid w:val="00B63FF5"/>
    <w:rsid w:val="00B64051"/>
    <w:rsid w:val="00B640B2"/>
    <w:rsid w:val="00B645E6"/>
    <w:rsid w:val="00B64835"/>
    <w:rsid w:val="00B64B44"/>
    <w:rsid w:val="00B64D48"/>
    <w:rsid w:val="00B64F77"/>
    <w:rsid w:val="00B6515F"/>
    <w:rsid w:val="00B652A9"/>
    <w:rsid w:val="00B6549B"/>
    <w:rsid w:val="00B65905"/>
    <w:rsid w:val="00B65971"/>
    <w:rsid w:val="00B65C5A"/>
    <w:rsid w:val="00B65DD3"/>
    <w:rsid w:val="00B6634D"/>
    <w:rsid w:val="00B6673A"/>
    <w:rsid w:val="00B66C9B"/>
    <w:rsid w:val="00B66F9D"/>
    <w:rsid w:val="00B6713C"/>
    <w:rsid w:val="00B671F0"/>
    <w:rsid w:val="00B675AE"/>
    <w:rsid w:val="00B6765E"/>
    <w:rsid w:val="00B6783A"/>
    <w:rsid w:val="00B67E65"/>
    <w:rsid w:val="00B67E91"/>
    <w:rsid w:val="00B70321"/>
    <w:rsid w:val="00B70425"/>
    <w:rsid w:val="00B70AA4"/>
    <w:rsid w:val="00B70BB1"/>
    <w:rsid w:val="00B70C6D"/>
    <w:rsid w:val="00B70D82"/>
    <w:rsid w:val="00B712FC"/>
    <w:rsid w:val="00B71611"/>
    <w:rsid w:val="00B717A9"/>
    <w:rsid w:val="00B717B6"/>
    <w:rsid w:val="00B717E2"/>
    <w:rsid w:val="00B7198F"/>
    <w:rsid w:val="00B71B36"/>
    <w:rsid w:val="00B71E99"/>
    <w:rsid w:val="00B72185"/>
    <w:rsid w:val="00B72249"/>
    <w:rsid w:val="00B72272"/>
    <w:rsid w:val="00B722B7"/>
    <w:rsid w:val="00B72964"/>
    <w:rsid w:val="00B72A4C"/>
    <w:rsid w:val="00B72F4C"/>
    <w:rsid w:val="00B7383B"/>
    <w:rsid w:val="00B7383E"/>
    <w:rsid w:val="00B73889"/>
    <w:rsid w:val="00B73900"/>
    <w:rsid w:val="00B742A8"/>
    <w:rsid w:val="00B7446D"/>
    <w:rsid w:val="00B74B18"/>
    <w:rsid w:val="00B74B27"/>
    <w:rsid w:val="00B751D4"/>
    <w:rsid w:val="00B7559F"/>
    <w:rsid w:val="00B756A7"/>
    <w:rsid w:val="00B75C7D"/>
    <w:rsid w:val="00B75D16"/>
    <w:rsid w:val="00B75EA4"/>
    <w:rsid w:val="00B75FCA"/>
    <w:rsid w:val="00B760BA"/>
    <w:rsid w:val="00B760F0"/>
    <w:rsid w:val="00B7658A"/>
    <w:rsid w:val="00B76C20"/>
    <w:rsid w:val="00B76DDC"/>
    <w:rsid w:val="00B76FDC"/>
    <w:rsid w:val="00B773C4"/>
    <w:rsid w:val="00B7746F"/>
    <w:rsid w:val="00B77549"/>
    <w:rsid w:val="00B7771D"/>
    <w:rsid w:val="00B77790"/>
    <w:rsid w:val="00B77F22"/>
    <w:rsid w:val="00B80799"/>
    <w:rsid w:val="00B80941"/>
    <w:rsid w:val="00B80A33"/>
    <w:rsid w:val="00B80F92"/>
    <w:rsid w:val="00B8172A"/>
    <w:rsid w:val="00B81857"/>
    <w:rsid w:val="00B81C80"/>
    <w:rsid w:val="00B81D78"/>
    <w:rsid w:val="00B81F77"/>
    <w:rsid w:val="00B82203"/>
    <w:rsid w:val="00B8279C"/>
    <w:rsid w:val="00B82942"/>
    <w:rsid w:val="00B82948"/>
    <w:rsid w:val="00B82CBF"/>
    <w:rsid w:val="00B830B0"/>
    <w:rsid w:val="00B831B3"/>
    <w:rsid w:val="00B83303"/>
    <w:rsid w:val="00B834A5"/>
    <w:rsid w:val="00B834AC"/>
    <w:rsid w:val="00B83569"/>
    <w:rsid w:val="00B8359D"/>
    <w:rsid w:val="00B83660"/>
    <w:rsid w:val="00B83683"/>
    <w:rsid w:val="00B838C2"/>
    <w:rsid w:val="00B83C1B"/>
    <w:rsid w:val="00B83D5F"/>
    <w:rsid w:val="00B83DB5"/>
    <w:rsid w:val="00B83DC7"/>
    <w:rsid w:val="00B83E61"/>
    <w:rsid w:val="00B83EA9"/>
    <w:rsid w:val="00B83EE6"/>
    <w:rsid w:val="00B83F8B"/>
    <w:rsid w:val="00B83FA2"/>
    <w:rsid w:val="00B84268"/>
    <w:rsid w:val="00B8445A"/>
    <w:rsid w:val="00B848AC"/>
    <w:rsid w:val="00B84B11"/>
    <w:rsid w:val="00B84C17"/>
    <w:rsid w:val="00B84CC4"/>
    <w:rsid w:val="00B84E5C"/>
    <w:rsid w:val="00B84EAC"/>
    <w:rsid w:val="00B851BF"/>
    <w:rsid w:val="00B85248"/>
    <w:rsid w:val="00B852A1"/>
    <w:rsid w:val="00B854F8"/>
    <w:rsid w:val="00B85518"/>
    <w:rsid w:val="00B85760"/>
    <w:rsid w:val="00B85828"/>
    <w:rsid w:val="00B85D91"/>
    <w:rsid w:val="00B85DDC"/>
    <w:rsid w:val="00B85F19"/>
    <w:rsid w:val="00B861AF"/>
    <w:rsid w:val="00B86BFB"/>
    <w:rsid w:val="00B86C20"/>
    <w:rsid w:val="00B8714E"/>
    <w:rsid w:val="00B8733E"/>
    <w:rsid w:val="00B8757C"/>
    <w:rsid w:val="00B876DA"/>
    <w:rsid w:val="00B877CE"/>
    <w:rsid w:val="00B87A41"/>
    <w:rsid w:val="00B87D0A"/>
    <w:rsid w:val="00B87E36"/>
    <w:rsid w:val="00B901DE"/>
    <w:rsid w:val="00B903BD"/>
    <w:rsid w:val="00B9074B"/>
    <w:rsid w:val="00B9075D"/>
    <w:rsid w:val="00B90A28"/>
    <w:rsid w:val="00B90C69"/>
    <w:rsid w:val="00B90E1C"/>
    <w:rsid w:val="00B914B7"/>
    <w:rsid w:val="00B914FD"/>
    <w:rsid w:val="00B91544"/>
    <w:rsid w:val="00B91902"/>
    <w:rsid w:val="00B91ACD"/>
    <w:rsid w:val="00B91CB8"/>
    <w:rsid w:val="00B9219E"/>
    <w:rsid w:val="00B9250E"/>
    <w:rsid w:val="00B9289D"/>
    <w:rsid w:val="00B92940"/>
    <w:rsid w:val="00B935E3"/>
    <w:rsid w:val="00B93735"/>
    <w:rsid w:val="00B93807"/>
    <w:rsid w:val="00B93C59"/>
    <w:rsid w:val="00B93EEA"/>
    <w:rsid w:val="00B93F27"/>
    <w:rsid w:val="00B93F33"/>
    <w:rsid w:val="00B94037"/>
    <w:rsid w:val="00B9404D"/>
    <w:rsid w:val="00B94467"/>
    <w:rsid w:val="00B94BA6"/>
    <w:rsid w:val="00B94D8D"/>
    <w:rsid w:val="00B94DCF"/>
    <w:rsid w:val="00B94F34"/>
    <w:rsid w:val="00B9534F"/>
    <w:rsid w:val="00B95477"/>
    <w:rsid w:val="00B9552D"/>
    <w:rsid w:val="00B95676"/>
    <w:rsid w:val="00B95A67"/>
    <w:rsid w:val="00B95A78"/>
    <w:rsid w:val="00B95D7A"/>
    <w:rsid w:val="00B95EE2"/>
    <w:rsid w:val="00B9603B"/>
    <w:rsid w:val="00B96372"/>
    <w:rsid w:val="00B96459"/>
    <w:rsid w:val="00B965CB"/>
    <w:rsid w:val="00B96C0C"/>
    <w:rsid w:val="00B96C30"/>
    <w:rsid w:val="00B96D57"/>
    <w:rsid w:val="00B96F4B"/>
    <w:rsid w:val="00B96FCF"/>
    <w:rsid w:val="00B97351"/>
    <w:rsid w:val="00B97538"/>
    <w:rsid w:val="00B9769A"/>
    <w:rsid w:val="00B97704"/>
    <w:rsid w:val="00B9772C"/>
    <w:rsid w:val="00B977B6"/>
    <w:rsid w:val="00B977F3"/>
    <w:rsid w:val="00B9780A"/>
    <w:rsid w:val="00B97EE6"/>
    <w:rsid w:val="00B97EF3"/>
    <w:rsid w:val="00BA0079"/>
    <w:rsid w:val="00BA0101"/>
    <w:rsid w:val="00BA0352"/>
    <w:rsid w:val="00BA082E"/>
    <w:rsid w:val="00BA0B9F"/>
    <w:rsid w:val="00BA0EE1"/>
    <w:rsid w:val="00BA128C"/>
    <w:rsid w:val="00BA149B"/>
    <w:rsid w:val="00BA15A0"/>
    <w:rsid w:val="00BA1D96"/>
    <w:rsid w:val="00BA1E0C"/>
    <w:rsid w:val="00BA1F56"/>
    <w:rsid w:val="00BA2050"/>
    <w:rsid w:val="00BA2211"/>
    <w:rsid w:val="00BA267A"/>
    <w:rsid w:val="00BA2D2F"/>
    <w:rsid w:val="00BA2D99"/>
    <w:rsid w:val="00BA2F68"/>
    <w:rsid w:val="00BA3380"/>
    <w:rsid w:val="00BA3446"/>
    <w:rsid w:val="00BA3A8A"/>
    <w:rsid w:val="00BA3C22"/>
    <w:rsid w:val="00BA4017"/>
    <w:rsid w:val="00BA4194"/>
    <w:rsid w:val="00BA4230"/>
    <w:rsid w:val="00BA438A"/>
    <w:rsid w:val="00BA4A76"/>
    <w:rsid w:val="00BA5126"/>
    <w:rsid w:val="00BA5551"/>
    <w:rsid w:val="00BA5775"/>
    <w:rsid w:val="00BA57AA"/>
    <w:rsid w:val="00BA5A69"/>
    <w:rsid w:val="00BA5B30"/>
    <w:rsid w:val="00BA5D72"/>
    <w:rsid w:val="00BA5DDA"/>
    <w:rsid w:val="00BA5E86"/>
    <w:rsid w:val="00BA60DE"/>
    <w:rsid w:val="00BA67FA"/>
    <w:rsid w:val="00BA6AE7"/>
    <w:rsid w:val="00BA6E83"/>
    <w:rsid w:val="00BA7072"/>
    <w:rsid w:val="00BA7304"/>
    <w:rsid w:val="00BA744A"/>
    <w:rsid w:val="00BA758E"/>
    <w:rsid w:val="00BA7EFD"/>
    <w:rsid w:val="00BA7FA1"/>
    <w:rsid w:val="00BB05BD"/>
    <w:rsid w:val="00BB0617"/>
    <w:rsid w:val="00BB07B9"/>
    <w:rsid w:val="00BB08DD"/>
    <w:rsid w:val="00BB0AFD"/>
    <w:rsid w:val="00BB0B6B"/>
    <w:rsid w:val="00BB0BFC"/>
    <w:rsid w:val="00BB0C28"/>
    <w:rsid w:val="00BB12B8"/>
    <w:rsid w:val="00BB1797"/>
    <w:rsid w:val="00BB17B7"/>
    <w:rsid w:val="00BB1985"/>
    <w:rsid w:val="00BB199A"/>
    <w:rsid w:val="00BB19D4"/>
    <w:rsid w:val="00BB1B23"/>
    <w:rsid w:val="00BB1CCA"/>
    <w:rsid w:val="00BB1F24"/>
    <w:rsid w:val="00BB20FF"/>
    <w:rsid w:val="00BB2142"/>
    <w:rsid w:val="00BB2227"/>
    <w:rsid w:val="00BB268E"/>
    <w:rsid w:val="00BB281B"/>
    <w:rsid w:val="00BB29C5"/>
    <w:rsid w:val="00BB2CCD"/>
    <w:rsid w:val="00BB30AE"/>
    <w:rsid w:val="00BB30C2"/>
    <w:rsid w:val="00BB3579"/>
    <w:rsid w:val="00BB363E"/>
    <w:rsid w:val="00BB380A"/>
    <w:rsid w:val="00BB3A59"/>
    <w:rsid w:val="00BB3FAE"/>
    <w:rsid w:val="00BB4085"/>
    <w:rsid w:val="00BB433C"/>
    <w:rsid w:val="00BB459E"/>
    <w:rsid w:val="00BB497F"/>
    <w:rsid w:val="00BB4C65"/>
    <w:rsid w:val="00BB4D22"/>
    <w:rsid w:val="00BB4F84"/>
    <w:rsid w:val="00BB5391"/>
    <w:rsid w:val="00BB53AC"/>
    <w:rsid w:val="00BB53BD"/>
    <w:rsid w:val="00BB5473"/>
    <w:rsid w:val="00BB560E"/>
    <w:rsid w:val="00BB5959"/>
    <w:rsid w:val="00BB5A59"/>
    <w:rsid w:val="00BB5D83"/>
    <w:rsid w:val="00BB5E8D"/>
    <w:rsid w:val="00BB61F6"/>
    <w:rsid w:val="00BB6231"/>
    <w:rsid w:val="00BB627B"/>
    <w:rsid w:val="00BB628A"/>
    <w:rsid w:val="00BB64CD"/>
    <w:rsid w:val="00BB6557"/>
    <w:rsid w:val="00BB665E"/>
    <w:rsid w:val="00BB6752"/>
    <w:rsid w:val="00BB680E"/>
    <w:rsid w:val="00BB68BB"/>
    <w:rsid w:val="00BB690D"/>
    <w:rsid w:val="00BB6948"/>
    <w:rsid w:val="00BB697E"/>
    <w:rsid w:val="00BB6B16"/>
    <w:rsid w:val="00BB7111"/>
    <w:rsid w:val="00BB72F2"/>
    <w:rsid w:val="00BB73BF"/>
    <w:rsid w:val="00BB74E2"/>
    <w:rsid w:val="00BB7789"/>
    <w:rsid w:val="00BB78F2"/>
    <w:rsid w:val="00BB7B0A"/>
    <w:rsid w:val="00BB7F53"/>
    <w:rsid w:val="00BB7F9B"/>
    <w:rsid w:val="00BC00EA"/>
    <w:rsid w:val="00BC0240"/>
    <w:rsid w:val="00BC02E1"/>
    <w:rsid w:val="00BC02F9"/>
    <w:rsid w:val="00BC032E"/>
    <w:rsid w:val="00BC04E3"/>
    <w:rsid w:val="00BC084B"/>
    <w:rsid w:val="00BC0AC5"/>
    <w:rsid w:val="00BC0F6B"/>
    <w:rsid w:val="00BC101B"/>
    <w:rsid w:val="00BC12F3"/>
    <w:rsid w:val="00BC15DA"/>
    <w:rsid w:val="00BC1BFE"/>
    <w:rsid w:val="00BC1DCA"/>
    <w:rsid w:val="00BC1EB5"/>
    <w:rsid w:val="00BC1F6A"/>
    <w:rsid w:val="00BC1FA0"/>
    <w:rsid w:val="00BC2A31"/>
    <w:rsid w:val="00BC2A70"/>
    <w:rsid w:val="00BC3178"/>
    <w:rsid w:val="00BC3232"/>
    <w:rsid w:val="00BC3363"/>
    <w:rsid w:val="00BC3B04"/>
    <w:rsid w:val="00BC4190"/>
    <w:rsid w:val="00BC444B"/>
    <w:rsid w:val="00BC465B"/>
    <w:rsid w:val="00BC46BF"/>
    <w:rsid w:val="00BC47F3"/>
    <w:rsid w:val="00BC52FC"/>
    <w:rsid w:val="00BC58F3"/>
    <w:rsid w:val="00BC5B1F"/>
    <w:rsid w:val="00BC5EE6"/>
    <w:rsid w:val="00BC626B"/>
    <w:rsid w:val="00BC62A2"/>
    <w:rsid w:val="00BC6304"/>
    <w:rsid w:val="00BC64EC"/>
    <w:rsid w:val="00BC6530"/>
    <w:rsid w:val="00BC654C"/>
    <w:rsid w:val="00BC6923"/>
    <w:rsid w:val="00BC6C51"/>
    <w:rsid w:val="00BC6C76"/>
    <w:rsid w:val="00BC6D48"/>
    <w:rsid w:val="00BC6E7A"/>
    <w:rsid w:val="00BC7126"/>
    <w:rsid w:val="00BC71E4"/>
    <w:rsid w:val="00BC7213"/>
    <w:rsid w:val="00BC74AE"/>
    <w:rsid w:val="00BC768C"/>
    <w:rsid w:val="00BC77E6"/>
    <w:rsid w:val="00BC77F6"/>
    <w:rsid w:val="00BC7F92"/>
    <w:rsid w:val="00BD01B1"/>
    <w:rsid w:val="00BD01F1"/>
    <w:rsid w:val="00BD06EB"/>
    <w:rsid w:val="00BD0780"/>
    <w:rsid w:val="00BD0D49"/>
    <w:rsid w:val="00BD0F03"/>
    <w:rsid w:val="00BD106C"/>
    <w:rsid w:val="00BD1239"/>
    <w:rsid w:val="00BD142B"/>
    <w:rsid w:val="00BD1723"/>
    <w:rsid w:val="00BD1BE0"/>
    <w:rsid w:val="00BD2025"/>
    <w:rsid w:val="00BD20E6"/>
    <w:rsid w:val="00BD221C"/>
    <w:rsid w:val="00BD24A5"/>
    <w:rsid w:val="00BD2628"/>
    <w:rsid w:val="00BD2721"/>
    <w:rsid w:val="00BD2B57"/>
    <w:rsid w:val="00BD2F50"/>
    <w:rsid w:val="00BD300B"/>
    <w:rsid w:val="00BD33D0"/>
    <w:rsid w:val="00BD34A7"/>
    <w:rsid w:val="00BD378F"/>
    <w:rsid w:val="00BD39E5"/>
    <w:rsid w:val="00BD3A5D"/>
    <w:rsid w:val="00BD3ADF"/>
    <w:rsid w:val="00BD3B68"/>
    <w:rsid w:val="00BD3E8F"/>
    <w:rsid w:val="00BD4017"/>
    <w:rsid w:val="00BD410E"/>
    <w:rsid w:val="00BD4186"/>
    <w:rsid w:val="00BD426A"/>
    <w:rsid w:val="00BD4435"/>
    <w:rsid w:val="00BD489C"/>
    <w:rsid w:val="00BD4CDB"/>
    <w:rsid w:val="00BD4EE5"/>
    <w:rsid w:val="00BD4FFA"/>
    <w:rsid w:val="00BD51FC"/>
    <w:rsid w:val="00BD52C6"/>
    <w:rsid w:val="00BD5314"/>
    <w:rsid w:val="00BD561D"/>
    <w:rsid w:val="00BD5CA6"/>
    <w:rsid w:val="00BD5D04"/>
    <w:rsid w:val="00BD5D33"/>
    <w:rsid w:val="00BD6057"/>
    <w:rsid w:val="00BD6670"/>
    <w:rsid w:val="00BD6908"/>
    <w:rsid w:val="00BD6A4D"/>
    <w:rsid w:val="00BD6C82"/>
    <w:rsid w:val="00BD6D7A"/>
    <w:rsid w:val="00BD71ED"/>
    <w:rsid w:val="00BD75C5"/>
    <w:rsid w:val="00BD7764"/>
    <w:rsid w:val="00BD77B8"/>
    <w:rsid w:val="00BD7CC0"/>
    <w:rsid w:val="00BD7CF6"/>
    <w:rsid w:val="00BDE91E"/>
    <w:rsid w:val="00BE02B9"/>
    <w:rsid w:val="00BE0510"/>
    <w:rsid w:val="00BE051F"/>
    <w:rsid w:val="00BE0658"/>
    <w:rsid w:val="00BE0678"/>
    <w:rsid w:val="00BE0B99"/>
    <w:rsid w:val="00BE0D61"/>
    <w:rsid w:val="00BE112D"/>
    <w:rsid w:val="00BE114F"/>
    <w:rsid w:val="00BE128D"/>
    <w:rsid w:val="00BE14AE"/>
    <w:rsid w:val="00BE1501"/>
    <w:rsid w:val="00BE175A"/>
    <w:rsid w:val="00BE1770"/>
    <w:rsid w:val="00BE18FE"/>
    <w:rsid w:val="00BE1A5A"/>
    <w:rsid w:val="00BE1CE7"/>
    <w:rsid w:val="00BE1EAB"/>
    <w:rsid w:val="00BE1F8B"/>
    <w:rsid w:val="00BE2209"/>
    <w:rsid w:val="00BE29D1"/>
    <w:rsid w:val="00BE2BE6"/>
    <w:rsid w:val="00BE2BF5"/>
    <w:rsid w:val="00BE306F"/>
    <w:rsid w:val="00BE320C"/>
    <w:rsid w:val="00BE349D"/>
    <w:rsid w:val="00BE381A"/>
    <w:rsid w:val="00BE3976"/>
    <w:rsid w:val="00BE3A96"/>
    <w:rsid w:val="00BE3F2D"/>
    <w:rsid w:val="00BE3F49"/>
    <w:rsid w:val="00BE4354"/>
    <w:rsid w:val="00BE4467"/>
    <w:rsid w:val="00BE4756"/>
    <w:rsid w:val="00BE4861"/>
    <w:rsid w:val="00BE488C"/>
    <w:rsid w:val="00BE4AF5"/>
    <w:rsid w:val="00BE4F76"/>
    <w:rsid w:val="00BE4FD7"/>
    <w:rsid w:val="00BE5237"/>
    <w:rsid w:val="00BE5400"/>
    <w:rsid w:val="00BE55CE"/>
    <w:rsid w:val="00BE5B07"/>
    <w:rsid w:val="00BE5C4D"/>
    <w:rsid w:val="00BE5D38"/>
    <w:rsid w:val="00BE6107"/>
    <w:rsid w:val="00BE6328"/>
    <w:rsid w:val="00BE6A04"/>
    <w:rsid w:val="00BE6ACB"/>
    <w:rsid w:val="00BE6B35"/>
    <w:rsid w:val="00BE6E3A"/>
    <w:rsid w:val="00BE6E52"/>
    <w:rsid w:val="00BE7269"/>
    <w:rsid w:val="00BE75A3"/>
    <w:rsid w:val="00BE7635"/>
    <w:rsid w:val="00BE7689"/>
    <w:rsid w:val="00BE7888"/>
    <w:rsid w:val="00BE798B"/>
    <w:rsid w:val="00BE7A18"/>
    <w:rsid w:val="00BE7A58"/>
    <w:rsid w:val="00BE7AF4"/>
    <w:rsid w:val="00BE7D5E"/>
    <w:rsid w:val="00BE7DF0"/>
    <w:rsid w:val="00BF0384"/>
    <w:rsid w:val="00BF0493"/>
    <w:rsid w:val="00BF0705"/>
    <w:rsid w:val="00BF0A51"/>
    <w:rsid w:val="00BF0C9B"/>
    <w:rsid w:val="00BF0FE1"/>
    <w:rsid w:val="00BF111C"/>
    <w:rsid w:val="00BF14CC"/>
    <w:rsid w:val="00BF2036"/>
    <w:rsid w:val="00BF22B8"/>
    <w:rsid w:val="00BF27A5"/>
    <w:rsid w:val="00BF29A5"/>
    <w:rsid w:val="00BF2E0A"/>
    <w:rsid w:val="00BF303C"/>
    <w:rsid w:val="00BF31AB"/>
    <w:rsid w:val="00BF339A"/>
    <w:rsid w:val="00BF3656"/>
    <w:rsid w:val="00BF3B14"/>
    <w:rsid w:val="00BF3B59"/>
    <w:rsid w:val="00BF3BB9"/>
    <w:rsid w:val="00BF3CDC"/>
    <w:rsid w:val="00BF3D46"/>
    <w:rsid w:val="00BF3DAD"/>
    <w:rsid w:val="00BF3E3F"/>
    <w:rsid w:val="00BF3E57"/>
    <w:rsid w:val="00BF44CC"/>
    <w:rsid w:val="00BF44DF"/>
    <w:rsid w:val="00BF4716"/>
    <w:rsid w:val="00BF4C0F"/>
    <w:rsid w:val="00BF4CC9"/>
    <w:rsid w:val="00BF4DF8"/>
    <w:rsid w:val="00BF4FD0"/>
    <w:rsid w:val="00BF5189"/>
    <w:rsid w:val="00BF51E5"/>
    <w:rsid w:val="00BF5586"/>
    <w:rsid w:val="00BF5CD0"/>
    <w:rsid w:val="00BF6018"/>
    <w:rsid w:val="00BF6160"/>
    <w:rsid w:val="00BF6372"/>
    <w:rsid w:val="00BF647B"/>
    <w:rsid w:val="00BF65D8"/>
    <w:rsid w:val="00BF6897"/>
    <w:rsid w:val="00BF6980"/>
    <w:rsid w:val="00BF6AEE"/>
    <w:rsid w:val="00BF6E2A"/>
    <w:rsid w:val="00BF6F14"/>
    <w:rsid w:val="00BF73E2"/>
    <w:rsid w:val="00BF780E"/>
    <w:rsid w:val="00BF78FA"/>
    <w:rsid w:val="00BF794C"/>
    <w:rsid w:val="00C0026F"/>
    <w:rsid w:val="00C00791"/>
    <w:rsid w:val="00C009F6"/>
    <w:rsid w:val="00C00F0D"/>
    <w:rsid w:val="00C00F63"/>
    <w:rsid w:val="00C00F92"/>
    <w:rsid w:val="00C013C3"/>
    <w:rsid w:val="00C0148E"/>
    <w:rsid w:val="00C014B5"/>
    <w:rsid w:val="00C01542"/>
    <w:rsid w:val="00C01A24"/>
    <w:rsid w:val="00C01CA2"/>
    <w:rsid w:val="00C01FE5"/>
    <w:rsid w:val="00C02265"/>
    <w:rsid w:val="00C02A85"/>
    <w:rsid w:val="00C02AA2"/>
    <w:rsid w:val="00C02CA6"/>
    <w:rsid w:val="00C02DB1"/>
    <w:rsid w:val="00C02F98"/>
    <w:rsid w:val="00C02FDF"/>
    <w:rsid w:val="00C03234"/>
    <w:rsid w:val="00C03456"/>
    <w:rsid w:val="00C0357E"/>
    <w:rsid w:val="00C037BF"/>
    <w:rsid w:val="00C0398A"/>
    <w:rsid w:val="00C039F2"/>
    <w:rsid w:val="00C03DD8"/>
    <w:rsid w:val="00C0409C"/>
    <w:rsid w:val="00C042AE"/>
    <w:rsid w:val="00C04440"/>
    <w:rsid w:val="00C045E4"/>
    <w:rsid w:val="00C0488A"/>
    <w:rsid w:val="00C04893"/>
    <w:rsid w:val="00C04BF8"/>
    <w:rsid w:val="00C04E80"/>
    <w:rsid w:val="00C04EEB"/>
    <w:rsid w:val="00C05011"/>
    <w:rsid w:val="00C05058"/>
    <w:rsid w:val="00C054FC"/>
    <w:rsid w:val="00C058DA"/>
    <w:rsid w:val="00C05AD7"/>
    <w:rsid w:val="00C05BA8"/>
    <w:rsid w:val="00C05E2B"/>
    <w:rsid w:val="00C05EBC"/>
    <w:rsid w:val="00C0607B"/>
    <w:rsid w:val="00C0624C"/>
    <w:rsid w:val="00C06492"/>
    <w:rsid w:val="00C0661E"/>
    <w:rsid w:val="00C06A1C"/>
    <w:rsid w:val="00C06D5B"/>
    <w:rsid w:val="00C06D5E"/>
    <w:rsid w:val="00C07061"/>
    <w:rsid w:val="00C07722"/>
    <w:rsid w:val="00C079AF"/>
    <w:rsid w:val="00C07B6D"/>
    <w:rsid w:val="00C088E8"/>
    <w:rsid w:val="00C1035E"/>
    <w:rsid w:val="00C10886"/>
    <w:rsid w:val="00C109F5"/>
    <w:rsid w:val="00C10BA7"/>
    <w:rsid w:val="00C10F12"/>
    <w:rsid w:val="00C112C1"/>
    <w:rsid w:val="00C116B2"/>
    <w:rsid w:val="00C116F6"/>
    <w:rsid w:val="00C1184D"/>
    <w:rsid w:val="00C11B02"/>
    <w:rsid w:val="00C11C2B"/>
    <w:rsid w:val="00C12067"/>
    <w:rsid w:val="00C12294"/>
    <w:rsid w:val="00C1262C"/>
    <w:rsid w:val="00C12D06"/>
    <w:rsid w:val="00C1300E"/>
    <w:rsid w:val="00C13022"/>
    <w:rsid w:val="00C13208"/>
    <w:rsid w:val="00C13919"/>
    <w:rsid w:val="00C139B1"/>
    <w:rsid w:val="00C13B05"/>
    <w:rsid w:val="00C13E00"/>
    <w:rsid w:val="00C140AB"/>
    <w:rsid w:val="00C140C6"/>
    <w:rsid w:val="00C147B9"/>
    <w:rsid w:val="00C148CB"/>
    <w:rsid w:val="00C1493F"/>
    <w:rsid w:val="00C14A4A"/>
    <w:rsid w:val="00C14AE4"/>
    <w:rsid w:val="00C14FEB"/>
    <w:rsid w:val="00C15145"/>
    <w:rsid w:val="00C155BA"/>
    <w:rsid w:val="00C15A64"/>
    <w:rsid w:val="00C15ADD"/>
    <w:rsid w:val="00C15C2D"/>
    <w:rsid w:val="00C1658C"/>
    <w:rsid w:val="00C167AC"/>
    <w:rsid w:val="00C167CE"/>
    <w:rsid w:val="00C16BB0"/>
    <w:rsid w:val="00C16C56"/>
    <w:rsid w:val="00C16D8E"/>
    <w:rsid w:val="00C16E9A"/>
    <w:rsid w:val="00C1718E"/>
    <w:rsid w:val="00C171CD"/>
    <w:rsid w:val="00C172CF"/>
    <w:rsid w:val="00C17300"/>
    <w:rsid w:val="00C17483"/>
    <w:rsid w:val="00C1769B"/>
    <w:rsid w:val="00C17A59"/>
    <w:rsid w:val="00C17B0A"/>
    <w:rsid w:val="00C17C3A"/>
    <w:rsid w:val="00C17CBF"/>
    <w:rsid w:val="00C2002A"/>
    <w:rsid w:val="00C20170"/>
    <w:rsid w:val="00C2042A"/>
    <w:rsid w:val="00C206AF"/>
    <w:rsid w:val="00C20955"/>
    <w:rsid w:val="00C20C0B"/>
    <w:rsid w:val="00C21237"/>
    <w:rsid w:val="00C2165A"/>
    <w:rsid w:val="00C21966"/>
    <w:rsid w:val="00C21C3C"/>
    <w:rsid w:val="00C21C8E"/>
    <w:rsid w:val="00C21CF1"/>
    <w:rsid w:val="00C21D88"/>
    <w:rsid w:val="00C21E22"/>
    <w:rsid w:val="00C2233D"/>
    <w:rsid w:val="00C22627"/>
    <w:rsid w:val="00C22697"/>
    <w:rsid w:val="00C22743"/>
    <w:rsid w:val="00C227B5"/>
    <w:rsid w:val="00C2285B"/>
    <w:rsid w:val="00C22BC7"/>
    <w:rsid w:val="00C22C36"/>
    <w:rsid w:val="00C22D27"/>
    <w:rsid w:val="00C22F79"/>
    <w:rsid w:val="00C23536"/>
    <w:rsid w:val="00C23546"/>
    <w:rsid w:val="00C23599"/>
    <w:rsid w:val="00C23660"/>
    <w:rsid w:val="00C23756"/>
    <w:rsid w:val="00C237FA"/>
    <w:rsid w:val="00C2394F"/>
    <w:rsid w:val="00C23A75"/>
    <w:rsid w:val="00C23B9E"/>
    <w:rsid w:val="00C23BDE"/>
    <w:rsid w:val="00C23ED6"/>
    <w:rsid w:val="00C23F70"/>
    <w:rsid w:val="00C24313"/>
    <w:rsid w:val="00C24967"/>
    <w:rsid w:val="00C24D69"/>
    <w:rsid w:val="00C250C6"/>
    <w:rsid w:val="00C25169"/>
    <w:rsid w:val="00C25325"/>
    <w:rsid w:val="00C257C0"/>
    <w:rsid w:val="00C25DA9"/>
    <w:rsid w:val="00C2625B"/>
    <w:rsid w:val="00C2640B"/>
    <w:rsid w:val="00C2643D"/>
    <w:rsid w:val="00C26539"/>
    <w:rsid w:val="00C2666B"/>
    <w:rsid w:val="00C26886"/>
    <w:rsid w:val="00C2729B"/>
    <w:rsid w:val="00C27C43"/>
    <w:rsid w:val="00C27C9E"/>
    <w:rsid w:val="00C27CF7"/>
    <w:rsid w:val="00C27D17"/>
    <w:rsid w:val="00C30192"/>
    <w:rsid w:val="00C304C5"/>
    <w:rsid w:val="00C30943"/>
    <w:rsid w:val="00C311B1"/>
    <w:rsid w:val="00C31394"/>
    <w:rsid w:val="00C31CCB"/>
    <w:rsid w:val="00C31DF9"/>
    <w:rsid w:val="00C31F91"/>
    <w:rsid w:val="00C32081"/>
    <w:rsid w:val="00C320FE"/>
    <w:rsid w:val="00C32331"/>
    <w:rsid w:val="00C32332"/>
    <w:rsid w:val="00C32396"/>
    <w:rsid w:val="00C324F6"/>
    <w:rsid w:val="00C325FC"/>
    <w:rsid w:val="00C32876"/>
    <w:rsid w:val="00C3293F"/>
    <w:rsid w:val="00C3299A"/>
    <w:rsid w:val="00C32A34"/>
    <w:rsid w:val="00C3308C"/>
    <w:rsid w:val="00C33159"/>
    <w:rsid w:val="00C33202"/>
    <w:rsid w:val="00C3337C"/>
    <w:rsid w:val="00C336EE"/>
    <w:rsid w:val="00C33C20"/>
    <w:rsid w:val="00C33F3E"/>
    <w:rsid w:val="00C342B1"/>
    <w:rsid w:val="00C3447B"/>
    <w:rsid w:val="00C345B5"/>
    <w:rsid w:val="00C3466C"/>
    <w:rsid w:val="00C34863"/>
    <w:rsid w:val="00C34B82"/>
    <w:rsid w:val="00C34D76"/>
    <w:rsid w:val="00C34E22"/>
    <w:rsid w:val="00C351A3"/>
    <w:rsid w:val="00C35537"/>
    <w:rsid w:val="00C358F9"/>
    <w:rsid w:val="00C35DC2"/>
    <w:rsid w:val="00C35F4D"/>
    <w:rsid w:val="00C3683F"/>
    <w:rsid w:val="00C36D39"/>
    <w:rsid w:val="00C370A1"/>
    <w:rsid w:val="00C371D9"/>
    <w:rsid w:val="00C37221"/>
    <w:rsid w:val="00C37253"/>
    <w:rsid w:val="00C372A5"/>
    <w:rsid w:val="00C37529"/>
    <w:rsid w:val="00C375DF"/>
    <w:rsid w:val="00C37D96"/>
    <w:rsid w:val="00C37E07"/>
    <w:rsid w:val="00C37E53"/>
    <w:rsid w:val="00C37EBE"/>
    <w:rsid w:val="00C37F85"/>
    <w:rsid w:val="00C4030E"/>
    <w:rsid w:val="00C40579"/>
    <w:rsid w:val="00C40732"/>
    <w:rsid w:val="00C40A81"/>
    <w:rsid w:val="00C40BEB"/>
    <w:rsid w:val="00C40D85"/>
    <w:rsid w:val="00C41000"/>
    <w:rsid w:val="00C4135A"/>
    <w:rsid w:val="00C413F4"/>
    <w:rsid w:val="00C414B2"/>
    <w:rsid w:val="00C41604"/>
    <w:rsid w:val="00C41691"/>
    <w:rsid w:val="00C4178E"/>
    <w:rsid w:val="00C41EA7"/>
    <w:rsid w:val="00C41F89"/>
    <w:rsid w:val="00C42214"/>
    <w:rsid w:val="00C42342"/>
    <w:rsid w:val="00C4237B"/>
    <w:rsid w:val="00C4244B"/>
    <w:rsid w:val="00C4251B"/>
    <w:rsid w:val="00C4278D"/>
    <w:rsid w:val="00C42A9F"/>
    <w:rsid w:val="00C42C5F"/>
    <w:rsid w:val="00C43453"/>
    <w:rsid w:val="00C436B3"/>
    <w:rsid w:val="00C438FD"/>
    <w:rsid w:val="00C43907"/>
    <w:rsid w:val="00C43912"/>
    <w:rsid w:val="00C43D54"/>
    <w:rsid w:val="00C4437B"/>
    <w:rsid w:val="00C447B2"/>
    <w:rsid w:val="00C44885"/>
    <w:rsid w:val="00C44893"/>
    <w:rsid w:val="00C448EC"/>
    <w:rsid w:val="00C44930"/>
    <w:rsid w:val="00C44AED"/>
    <w:rsid w:val="00C44C86"/>
    <w:rsid w:val="00C44D18"/>
    <w:rsid w:val="00C450CA"/>
    <w:rsid w:val="00C4570B"/>
    <w:rsid w:val="00C45746"/>
    <w:rsid w:val="00C4590F"/>
    <w:rsid w:val="00C45BFE"/>
    <w:rsid w:val="00C45CF9"/>
    <w:rsid w:val="00C460AC"/>
    <w:rsid w:val="00C460E4"/>
    <w:rsid w:val="00C46109"/>
    <w:rsid w:val="00C4617F"/>
    <w:rsid w:val="00C4654B"/>
    <w:rsid w:val="00C4654C"/>
    <w:rsid w:val="00C4654F"/>
    <w:rsid w:val="00C46AC3"/>
    <w:rsid w:val="00C46B86"/>
    <w:rsid w:val="00C476CD"/>
    <w:rsid w:val="00C4795E"/>
    <w:rsid w:val="00C47D5E"/>
    <w:rsid w:val="00C47D5F"/>
    <w:rsid w:val="00C50204"/>
    <w:rsid w:val="00C50374"/>
    <w:rsid w:val="00C50633"/>
    <w:rsid w:val="00C509B6"/>
    <w:rsid w:val="00C509BD"/>
    <w:rsid w:val="00C50B3A"/>
    <w:rsid w:val="00C50DA1"/>
    <w:rsid w:val="00C517D2"/>
    <w:rsid w:val="00C517E6"/>
    <w:rsid w:val="00C518C1"/>
    <w:rsid w:val="00C51EA3"/>
    <w:rsid w:val="00C5207C"/>
    <w:rsid w:val="00C52198"/>
    <w:rsid w:val="00C52245"/>
    <w:rsid w:val="00C522C2"/>
    <w:rsid w:val="00C52391"/>
    <w:rsid w:val="00C525E2"/>
    <w:rsid w:val="00C5270B"/>
    <w:rsid w:val="00C52C68"/>
    <w:rsid w:val="00C52CDF"/>
    <w:rsid w:val="00C52F4C"/>
    <w:rsid w:val="00C52F63"/>
    <w:rsid w:val="00C532DF"/>
    <w:rsid w:val="00C5351F"/>
    <w:rsid w:val="00C5395A"/>
    <w:rsid w:val="00C53C05"/>
    <w:rsid w:val="00C53CB7"/>
    <w:rsid w:val="00C53F56"/>
    <w:rsid w:val="00C541A0"/>
    <w:rsid w:val="00C541B6"/>
    <w:rsid w:val="00C54514"/>
    <w:rsid w:val="00C545D5"/>
    <w:rsid w:val="00C5466A"/>
    <w:rsid w:val="00C54D73"/>
    <w:rsid w:val="00C54F4D"/>
    <w:rsid w:val="00C552A1"/>
    <w:rsid w:val="00C5530C"/>
    <w:rsid w:val="00C55360"/>
    <w:rsid w:val="00C553DC"/>
    <w:rsid w:val="00C5548F"/>
    <w:rsid w:val="00C55593"/>
    <w:rsid w:val="00C55CC3"/>
    <w:rsid w:val="00C55D9A"/>
    <w:rsid w:val="00C55EE4"/>
    <w:rsid w:val="00C56049"/>
    <w:rsid w:val="00C56071"/>
    <w:rsid w:val="00C562A8"/>
    <w:rsid w:val="00C56482"/>
    <w:rsid w:val="00C5653E"/>
    <w:rsid w:val="00C565D8"/>
    <w:rsid w:val="00C5660A"/>
    <w:rsid w:val="00C56B37"/>
    <w:rsid w:val="00C56DDE"/>
    <w:rsid w:val="00C57200"/>
    <w:rsid w:val="00C574BC"/>
    <w:rsid w:val="00C5793B"/>
    <w:rsid w:val="00C57AC8"/>
    <w:rsid w:val="00C57C95"/>
    <w:rsid w:val="00C601AD"/>
    <w:rsid w:val="00C602E1"/>
    <w:rsid w:val="00C6066E"/>
    <w:rsid w:val="00C6078F"/>
    <w:rsid w:val="00C607CE"/>
    <w:rsid w:val="00C607D1"/>
    <w:rsid w:val="00C60930"/>
    <w:rsid w:val="00C60AB9"/>
    <w:rsid w:val="00C6119D"/>
    <w:rsid w:val="00C611B2"/>
    <w:rsid w:val="00C611C6"/>
    <w:rsid w:val="00C612CF"/>
    <w:rsid w:val="00C6136E"/>
    <w:rsid w:val="00C61B1D"/>
    <w:rsid w:val="00C61C45"/>
    <w:rsid w:val="00C61CB0"/>
    <w:rsid w:val="00C61D72"/>
    <w:rsid w:val="00C61F63"/>
    <w:rsid w:val="00C622F9"/>
    <w:rsid w:val="00C623A7"/>
    <w:rsid w:val="00C62771"/>
    <w:rsid w:val="00C62872"/>
    <w:rsid w:val="00C62A4E"/>
    <w:rsid w:val="00C62D5E"/>
    <w:rsid w:val="00C62DE9"/>
    <w:rsid w:val="00C62F4B"/>
    <w:rsid w:val="00C63256"/>
    <w:rsid w:val="00C63562"/>
    <w:rsid w:val="00C63573"/>
    <w:rsid w:val="00C63772"/>
    <w:rsid w:val="00C63868"/>
    <w:rsid w:val="00C63E9B"/>
    <w:rsid w:val="00C64671"/>
    <w:rsid w:val="00C6468C"/>
    <w:rsid w:val="00C64985"/>
    <w:rsid w:val="00C64AF3"/>
    <w:rsid w:val="00C64C47"/>
    <w:rsid w:val="00C64C7F"/>
    <w:rsid w:val="00C64D3E"/>
    <w:rsid w:val="00C65103"/>
    <w:rsid w:val="00C65541"/>
    <w:rsid w:val="00C6573F"/>
    <w:rsid w:val="00C65B80"/>
    <w:rsid w:val="00C65E3C"/>
    <w:rsid w:val="00C66563"/>
    <w:rsid w:val="00C66790"/>
    <w:rsid w:val="00C6694A"/>
    <w:rsid w:val="00C66DAD"/>
    <w:rsid w:val="00C66F29"/>
    <w:rsid w:val="00C6724F"/>
    <w:rsid w:val="00C67679"/>
    <w:rsid w:val="00C6789F"/>
    <w:rsid w:val="00C67964"/>
    <w:rsid w:val="00C67A4D"/>
    <w:rsid w:val="00C67C13"/>
    <w:rsid w:val="00C67CFF"/>
    <w:rsid w:val="00C67D76"/>
    <w:rsid w:val="00C6DB23"/>
    <w:rsid w:val="00C70395"/>
    <w:rsid w:val="00C70905"/>
    <w:rsid w:val="00C70A32"/>
    <w:rsid w:val="00C70D3C"/>
    <w:rsid w:val="00C71274"/>
    <w:rsid w:val="00C717F1"/>
    <w:rsid w:val="00C71848"/>
    <w:rsid w:val="00C718BD"/>
    <w:rsid w:val="00C71A1A"/>
    <w:rsid w:val="00C71A7C"/>
    <w:rsid w:val="00C71C24"/>
    <w:rsid w:val="00C71D85"/>
    <w:rsid w:val="00C71DAA"/>
    <w:rsid w:val="00C71F23"/>
    <w:rsid w:val="00C728C6"/>
    <w:rsid w:val="00C728F2"/>
    <w:rsid w:val="00C72AEA"/>
    <w:rsid w:val="00C72B40"/>
    <w:rsid w:val="00C72C62"/>
    <w:rsid w:val="00C72CE8"/>
    <w:rsid w:val="00C73021"/>
    <w:rsid w:val="00C730E0"/>
    <w:rsid w:val="00C735F1"/>
    <w:rsid w:val="00C73D6D"/>
    <w:rsid w:val="00C73DFD"/>
    <w:rsid w:val="00C73F33"/>
    <w:rsid w:val="00C73FBD"/>
    <w:rsid w:val="00C7421B"/>
    <w:rsid w:val="00C74473"/>
    <w:rsid w:val="00C74A6E"/>
    <w:rsid w:val="00C74D6E"/>
    <w:rsid w:val="00C74EC0"/>
    <w:rsid w:val="00C75725"/>
    <w:rsid w:val="00C75907"/>
    <w:rsid w:val="00C75A2D"/>
    <w:rsid w:val="00C75BBF"/>
    <w:rsid w:val="00C76175"/>
    <w:rsid w:val="00C7651E"/>
    <w:rsid w:val="00C765EC"/>
    <w:rsid w:val="00C767CA"/>
    <w:rsid w:val="00C76AA7"/>
    <w:rsid w:val="00C76C66"/>
    <w:rsid w:val="00C777BA"/>
    <w:rsid w:val="00C77801"/>
    <w:rsid w:val="00C779CB"/>
    <w:rsid w:val="00C779DE"/>
    <w:rsid w:val="00C77DF4"/>
    <w:rsid w:val="00C77F75"/>
    <w:rsid w:val="00C80500"/>
    <w:rsid w:val="00C808AE"/>
    <w:rsid w:val="00C808B6"/>
    <w:rsid w:val="00C80982"/>
    <w:rsid w:val="00C80B9C"/>
    <w:rsid w:val="00C80CCB"/>
    <w:rsid w:val="00C80EA4"/>
    <w:rsid w:val="00C8102B"/>
    <w:rsid w:val="00C810E4"/>
    <w:rsid w:val="00C811D8"/>
    <w:rsid w:val="00C818C0"/>
    <w:rsid w:val="00C81BB0"/>
    <w:rsid w:val="00C81D53"/>
    <w:rsid w:val="00C81D58"/>
    <w:rsid w:val="00C82222"/>
    <w:rsid w:val="00C825A2"/>
    <w:rsid w:val="00C8262E"/>
    <w:rsid w:val="00C82689"/>
    <w:rsid w:val="00C82840"/>
    <w:rsid w:val="00C82C9F"/>
    <w:rsid w:val="00C82D03"/>
    <w:rsid w:val="00C8313E"/>
    <w:rsid w:val="00C83605"/>
    <w:rsid w:val="00C8397A"/>
    <w:rsid w:val="00C8399E"/>
    <w:rsid w:val="00C839FA"/>
    <w:rsid w:val="00C83CB2"/>
    <w:rsid w:val="00C83D4A"/>
    <w:rsid w:val="00C83E73"/>
    <w:rsid w:val="00C83F0F"/>
    <w:rsid w:val="00C841A8"/>
    <w:rsid w:val="00C8432A"/>
    <w:rsid w:val="00C844B4"/>
    <w:rsid w:val="00C845EE"/>
    <w:rsid w:val="00C84856"/>
    <w:rsid w:val="00C84893"/>
    <w:rsid w:val="00C84DB3"/>
    <w:rsid w:val="00C84E8E"/>
    <w:rsid w:val="00C85307"/>
    <w:rsid w:val="00C85BD8"/>
    <w:rsid w:val="00C85C96"/>
    <w:rsid w:val="00C85E95"/>
    <w:rsid w:val="00C863EC"/>
    <w:rsid w:val="00C866A8"/>
    <w:rsid w:val="00C867A0"/>
    <w:rsid w:val="00C8695B"/>
    <w:rsid w:val="00C86AE6"/>
    <w:rsid w:val="00C86CE1"/>
    <w:rsid w:val="00C86D20"/>
    <w:rsid w:val="00C86DBF"/>
    <w:rsid w:val="00C86F8F"/>
    <w:rsid w:val="00C87023"/>
    <w:rsid w:val="00C87039"/>
    <w:rsid w:val="00C873B4"/>
    <w:rsid w:val="00C8753F"/>
    <w:rsid w:val="00C8760B"/>
    <w:rsid w:val="00C876E8"/>
    <w:rsid w:val="00C877A9"/>
    <w:rsid w:val="00C87863"/>
    <w:rsid w:val="00C90382"/>
    <w:rsid w:val="00C906D7"/>
    <w:rsid w:val="00C90717"/>
    <w:rsid w:val="00C907CE"/>
    <w:rsid w:val="00C90A14"/>
    <w:rsid w:val="00C90B25"/>
    <w:rsid w:val="00C90D0C"/>
    <w:rsid w:val="00C90D64"/>
    <w:rsid w:val="00C9127E"/>
    <w:rsid w:val="00C9136E"/>
    <w:rsid w:val="00C916BC"/>
    <w:rsid w:val="00C91B3B"/>
    <w:rsid w:val="00C91B58"/>
    <w:rsid w:val="00C91C3B"/>
    <w:rsid w:val="00C91FD9"/>
    <w:rsid w:val="00C92056"/>
    <w:rsid w:val="00C92062"/>
    <w:rsid w:val="00C92814"/>
    <w:rsid w:val="00C92874"/>
    <w:rsid w:val="00C928C2"/>
    <w:rsid w:val="00C92CB0"/>
    <w:rsid w:val="00C92DE5"/>
    <w:rsid w:val="00C93242"/>
    <w:rsid w:val="00C93B00"/>
    <w:rsid w:val="00C93C39"/>
    <w:rsid w:val="00C93C7D"/>
    <w:rsid w:val="00C93DF0"/>
    <w:rsid w:val="00C93EC9"/>
    <w:rsid w:val="00C93EE8"/>
    <w:rsid w:val="00C93FBC"/>
    <w:rsid w:val="00C942B1"/>
    <w:rsid w:val="00C94418"/>
    <w:rsid w:val="00C9468B"/>
    <w:rsid w:val="00C94787"/>
    <w:rsid w:val="00C94793"/>
    <w:rsid w:val="00C94AA3"/>
    <w:rsid w:val="00C94AF5"/>
    <w:rsid w:val="00C94E57"/>
    <w:rsid w:val="00C94FED"/>
    <w:rsid w:val="00C95188"/>
    <w:rsid w:val="00C951D7"/>
    <w:rsid w:val="00C95236"/>
    <w:rsid w:val="00C9541A"/>
    <w:rsid w:val="00C95420"/>
    <w:rsid w:val="00C95718"/>
    <w:rsid w:val="00C9582D"/>
    <w:rsid w:val="00C95AD6"/>
    <w:rsid w:val="00C95FD6"/>
    <w:rsid w:val="00C96016"/>
    <w:rsid w:val="00C960B0"/>
    <w:rsid w:val="00C96289"/>
    <w:rsid w:val="00C962DC"/>
    <w:rsid w:val="00C96A27"/>
    <w:rsid w:val="00C96C7D"/>
    <w:rsid w:val="00C96FC1"/>
    <w:rsid w:val="00C974CC"/>
    <w:rsid w:val="00C97510"/>
    <w:rsid w:val="00C97700"/>
    <w:rsid w:val="00C97724"/>
    <w:rsid w:val="00C9796F"/>
    <w:rsid w:val="00C97D5A"/>
    <w:rsid w:val="00C97FE6"/>
    <w:rsid w:val="00CA021B"/>
    <w:rsid w:val="00CA0337"/>
    <w:rsid w:val="00CA051D"/>
    <w:rsid w:val="00CA05AB"/>
    <w:rsid w:val="00CA064C"/>
    <w:rsid w:val="00CA06DE"/>
    <w:rsid w:val="00CA0D15"/>
    <w:rsid w:val="00CA1C18"/>
    <w:rsid w:val="00CA1DC4"/>
    <w:rsid w:val="00CA1ED0"/>
    <w:rsid w:val="00CA1F1C"/>
    <w:rsid w:val="00CA20F5"/>
    <w:rsid w:val="00CA2111"/>
    <w:rsid w:val="00CA21BE"/>
    <w:rsid w:val="00CA2580"/>
    <w:rsid w:val="00CA27C3"/>
    <w:rsid w:val="00CA2CF8"/>
    <w:rsid w:val="00CA2EFE"/>
    <w:rsid w:val="00CA2F82"/>
    <w:rsid w:val="00CA31A9"/>
    <w:rsid w:val="00CA322A"/>
    <w:rsid w:val="00CA33DA"/>
    <w:rsid w:val="00CA344B"/>
    <w:rsid w:val="00CA36BA"/>
    <w:rsid w:val="00CA387D"/>
    <w:rsid w:val="00CA3D69"/>
    <w:rsid w:val="00CA3D9A"/>
    <w:rsid w:val="00CA40F8"/>
    <w:rsid w:val="00CA467C"/>
    <w:rsid w:val="00CA4914"/>
    <w:rsid w:val="00CA4ABB"/>
    <w:rsid w:val="00CA4B44"/>
    <w:rsid w:val="00CA4F4C"/>
    <w:rsid w:val="00CA5040"/>
    <w:rsid w:val="00CA5398"/>
    <w:rsid w:val="00CA5475"/>
    <w:rsid w:val="00CA54EC"/>
    <w:rsid w:val="00CA55C4"/>
    <w:rsid w:val="00CA5876"/>
    <w:rsid w:val="00CA58DC"/>
    <w:rsid w:val="00CA5C4D"/>
    <w:rsid w:val="00CA5FDF"/>
    <w:rsid w:val="00CA64E4"/>
    <w:rsid w:val="00CA6695"/>
    <w:rsid w:val="00CA6832"/>
    <w:rsid w:val="00CA6A50"/>
    <w:rsid w:val="00CA6DCC"/>
    <w:rsid w:val="00CA72DF"/>
    <w:rsid w:val="00CA74D9"/>
    <w:rsid w:val="00CA74FF"/>
    <w:rsid w:val="00CA775B"/>
    <w:rsid w:val="00CA7A55"/>
    <w:rsid w:val="00CA7B99"/>
    <w:rsid w:val="00CA7F00"/>
    <w:rsid w:val="00CB01C1"/>
    <w:rsid w:val="00CB0229"/>
    <w:rsid w:val="00CB0296"/>
    <w:rsid w:val="00CB05B6"/>
    <w:rsid w:val="00CB07C3"/>
    <w:rsid w:val="00CB0996"/>
    <w:rsid w:val="00CB0B2B"/>
    <w:rsid w:val="00CB0B7A"/>
    <w:rsid w:val="00CB0E38"/>
    <w:rsid w:val="00CB1016"/>
    <w:rsid w:val="00CB1644"/>
    <w:rsid w:val="00CB177D"/>
    <w:rsid w:val="00CB197A"/>
    <w:rsid w:val="00CB19B4"/>
    <w:rsid w:val="00CB1B3C"/>
    <w:rsid w:val="00CB1C68"/>
    <w:rsid w:val="00CB1D84"/>
    <w:rsid w:val="00CB25D4"/>
    <w:rsid w:val="00CB2A07"/>
    <w:rsid w:val="00CB2A55"/>
    <w:rsid w:val="00CB2E19"/>
    <w:rsid w:val="00CB30BD"/>
    <w:rsid w:val="00CB3126"/>
    <w:rsid w:val="00CB329D"/>
    <w:rsid w:val="00CB39C2"/>
    <w:rsid w:val="00CB3CDE"/>
    <w:rsid w:val="00CB3CF1"/>
    <w:rsid w:val="00CB3F84"/>
    <w:rsid w:val="00CB408B"/>
    <w:rsid w:val="00CB416A"/>
    <w:rsid w:val="00CB431F"/>
    <w:rsid w:val="00CB4386"/>
    <w:rsid w:val="00CB43F9"/>
    <w:rsid w:val="00CB4550"/>
    <w:rsid w:val="00CB4602"/>
    <w:rsid w:val="00CB47CE"/>
    <w:rsid w:val="00CB496B"/>
    <w:rsid w:val="00CB5417"/>
    <w:rsid w:val="00CB54DC"/>
    <w:rsid w:val="00CB58CF"/>
    <w:rsid w:val="00CB5BF3"/>
    <w:rsid w:val="00CB5D3D"/>
    <w:rsid w:val="00CB617E"/>
    <w:rsid w:val="00CB62B3"/>
    <w:rsid w:val="00CB63BB"/>
    <w:rsid w:val="00CB6465"/>
    <w:rsid w:val="00CB67B7"/>
    <w:rsid w:val="00CB6835"/>
    <w:rsid w:val="00CB68BE"/>
    <w:rsid w:val="00CB6E22"/>
    <w:rsid w:val="00CB718E"/>
    <w:rsid w:val="00CB71E9"/>
    <w:rsid w:val="00CB73F2"/>
    <w:rsid w:val="00CB73F9"/>
    <w:rsid w:val="00CB74E9"/>
    <w:rsid w:val="00CB76B8"/>
    <w:rsid w:val="00CB7BDA"/>
    <w:rsid w:val="00CB7DC1"/>
    <w:rsid w:val="00CB7EEF"/>
    <w:rsid w:val="00CC0216"/>
    <w:rsid w:val="00CC0237"/>
    <w:rsid w:val="00CC034E"/>
    <w:rsid w:val="00CC0684"/>
    <w:rsid w:val="00CC0B63"/>
    <w:rsid w:val="00CC0B85"/>
    <w:rsid w:val="00CC0CD3"/>
    <w:rsid w:val="00CC0DD1"/>
    <w:rsid w:val="00CC0E0B"/>
    <w:rsid w:val="00CC0EB4"/>
    <w:rsid w:val="00CC100E"/>
    <w:rsid w:val="00CC1278"/>
    <w:rsid w:val="00CC1687"/>
    <w:rsid w:val="00CC1805"/>
    <w:rsid w:val="00CC1828"/>
    <w:rsid w:val="00CC1869"/>
    <w:rsid w:val="00CC19AA"/>
    <w:rsid w:val="00CC1A0C"/>
    <w:rsid w:val="00CC1B89"/>
    <w:rsid w:val="00CC1C4C"/>
    <w:rsid w:val="00CC2063"/>
    <w:rsid w:val="00CC2089"/>
    <w:rsid w:val="00CC2304"/>
    <w:rsid w:val="00CC2779"/>
    <w:rsid w:val="00CC29E5"/>
    <w:rsid w:val="00CC2C6D"/>
    <w:rsid w:val="00CC2D35"/>
    <w:rsid w:val="00CC2D42"/>
    <w:rsid w:val="00CC305E"/>
    <w:rsid w:val="00CC30E3"/>
    <w:rsid w:val="00CC33F1"/>
    <w:rsid w:val="00CC34FF"/>
    <w:rsid w:val="00CC3527"/>
    <w:rsid w:val="00CC382A"/>
    <w:rsid w:val="00CC3B44"/>
    <w:rsid w:val="00CC3BD0"/>
    <w:rsid w:val="00CC3C52"/>
    <w:rsid w:val="00CC3C9B"/>
    <w:rsid w:val="00CC3CE2"/>
    <w:rsid w:val="00CC4008"/>
    <w:rsid w:val="00CC43AA"/>
    <w:rsid w:val="00CC4593"/>
    <w:rsid w:val="00CC476F"/>
    <w:rsid w:val="00CC4805"/>
    <w:rsid w:val="00CC4836"/>
    <w:rsid w:val="00CC5506"/>
    <w:rsid w:val="00CC555F"/>
    <w:rsid w:val="00CC57FF"/>
    <w:rsid w:val="00CC5A69"/>
    <w:rsid w:val="00CC5D6B"/>
    <w:rsid w:val="00CC5D86"/>
    <w:rsid w:val="00CC5DAF"/>
    <w:rsid w:val="00CC66F7"/>
    <w:rsid w:val="00CC6F80"/>
    <w:rsid w:val="00CC767E"/>
    <w:rsid w:val="00CC78A7"/>
    <w:rsid w:val="00CC7D7D"/>
    <w:rsid w:val="00CD03FE"/>
    <w:rsid w:val="00CD0590"/>
    <w:rsid w:val="00CD08B7"/>
    <w:rsid w:val="00CD0AF2"/>
    <w:rsid w:val="00CD0BB8"/>
    <w:rsid w:val="00CD0FF2"/>
    <w:rsid w:val="00CD1140"/>
    <w:rsid w:val="00CD11D2"/>
    <w:rsid w:val="00CD13F8"/>
    <w:rsid w:val="00CD15C8"/>
    <w:rsid w:val="00CD1A53"/>
    <w:rsid w:val="00CD1CDB"/>
    <w:rsid w:val="00CD1D4E"/>
    <w:rsid w:val="00CD1E31"/>
    <w:rsid w:val="00CD1F7C"/>
    <w:rsid w:val="00CD21AE"/>
    <w:rsid w:val="00CD244D"/>
    <w:rsid w:val="00CD2581"/>
    <w:rsid w:val="00CD2836"/>
    <w:rsid w:val="00CD2B0E"/>
    <w:rsid w:val="00CD2C3A"/>
    <w:rsid w:val="00CD2C3B"/>
    <w:rsid w:val="00CD2D9D"/>
    <w:rsid w:val="00CD3174"/>
    <w:rsid w:val="00CD3337"/>
    <w:rsid w:val="00CD37DA"/>
    <w:rsid w:val="00CD3CBC"/>
    <w:rsid w:val="00CD3CC3"/>
    <w:rsid w:val="00CD3D1E"/>
    <w:rsid w:val="00CD3D66"/>
    <w:rsid w:val="00CD44F7"/>
    <w:rsid w:val="00CD4C93"/>
    <w:rsid w:val="00CD4CF1"/>
    <w:rsid w:val="00CD5107"/>
    <w:rsid w:val="00CD610C"/>
    <w:rsid w:val="00CD633A"/>
    <w:rsid w:val="00CD65E2"/>
    <w:rsid w:val="00CD666E"/>
    <w:rsid w:val="00CD694A"/>
    <w:rsid w:val="00CD6C54"/>
    <w:rsid w:val="00CD6D2C"/>
    <w:rsid w:val="00CD6F0D"/>
    <w:rsid w:val="00CD7168"/>
    <w:rsid w:val="00CD7695"/>
    <w:rsid w:val="00CD77CA"/>
    <w:rsid w:val="00CD7889"/>
    <w:rsid w:val="00CD7A30"/>
    <w:rsid w:val="00CD7C20"/>
    <w:rsid w:val="00CD7CD5"/>
    <w:rsid w:val="00CE000E"/>
    <w:rsid w:val="00CE0459"/>
    <w:rsid w:val="00CE0593"/>
    <w:rsid w:val="00CE08EB"/>
    <w:rsid w:val="00CE10FB"/>
    <w:rsid w:val="00CE127A"/>
    <w:rsid w:val="00CE12B1"/>
    <w:rsid w:val="00CE12CB"/>
    <w:rsid w:val="00CE1434"/>
    <w:rsid w:val="00CE177E"/>
    <w:rsid w:val="00CE18B2"/>
    <w:rsid w:val="00CE1AAC"/>
    <w:rsid w:val="00CE1C39"/>
    <w:rsid w:val="00CE222D"/>
    <w:rsid w:val="00CE2AAC"/>
    <w:rsid w:val="00CE2C7F"/>
    <w:rsid w:val="00CE2D18"/>
    <w:rsid w:val="00CE323B"/>
    <w:rsid w:val="00CE34BB"/>
    <w:rsid w:val="00CE3632"/>
    <w:rsid w:val="00CE36A2"/>
    <w:rsid w:val="00CE396E"/>
    <w:rsid w:val="00CE39BB"/>
    <w:rsid w:val="00CE39DC"/>
    <w:rsid w:val="00CE3CE7"/>
    <w:rsid w:val="00CE3E7A"/>
    <w:rsid w:val="00CE4162"/>
    <w:rsid w:val="00CE428B"/>
    <w:rsid w:val="00CE43CB"/>
    <w:rsid w:val="00CE47CA"/>
    <w:rsid w:val="00CE4D21"/>
    <w:rsid w:val="00CE4DC7"/>
    <w:rsid w:val="00CE52CC"/>
    <w:rsid w:val="00CE540C"/>
    <w:rsid w:val="00CE54CF"/>
    <w:rsid w:val="00CE54FD"/>
    <w:rsid w:val="00CE5B04"/>
    <w:rsid w:val="00CE5B41"/>
    <w:rsid w:val="00CE5C61"/>
    <w:rsid w:val="00CE5D19"/>
    <w:rsid w:val="00CE61AE"/>
    <w:rsid w:val="00CE623A"/>
    <w:rsid w:val="00CE62A7"/>
    <w:rsid w:val="00CE666C"/>
    <w:rsid w:val="00CE6812"/>
    <w:rsid w:val="00CE6A0D"/>
    <w:rsid w:val="00CE743E"/>
    <w:rsid w:val="00CE74D2"/>
    <w:rsid w:val="00CE75BD"/>
    <w:rsid w:val="00CE76FB"/>
    <w:rsid w:val="00CE774C"/>
    <w:rsid w:val="00CE789D"/>
    <w:rsid w:val="00CE79EE"/>
    <w:rsid w:val="00CF0148"/>
    <w:rsid w:val="00CF06A6"/>
    <w:rsid w:val="00CF06C3"/>
    <w:rsid w:val="00CF06F5"/>
    <w:rsid w:val="00CF07ED"/>
    <w:rsid w:val="00CF0EE0"/>
    <w:rsid w:val="00CF106F"/>
    <w:rsid w:val="00CF114C"/>
    <w:rsid w:val="00CF1225"/>
    <w:rsid w:val="00CF12B6"/>
    <w:rsid w:val="00CF140F"/>
    <w:rsid w:val="00CF148B"/>
    <w:rsid w:val="00CF163E"/>
    <w:rsid w:val="00CF16AF"/>
    <w:rsid w:val="00CF1951"/>
    <w:rsid w:val="00CF1A68"/>
    <w:rsid w:val="00CF1D4B"/>
    <w:rsid w:val="00CF1FBB"/>
    <w:rsid w:val="00CF208D"/>
    <w:rsid w:val="00CF20C5"/>
    <w:rsid w:val="00CF23C6"/>
    <w:rsid w:val="00CF2697"/>
    <w:rsid w:val="00CF2B35"/>
    <w:rsid w:val="00CF2C37"/>
    <w:rsid w:val="00CF2EDB"/>
    <w:rsid w:val="00CF2FE0"/>
    <w:rsid w:val="00CF303C"/>
    <w:rsid w:val="00CF35FE"/>
    <w:rsid w:val="00CF36C3"/>
    <w:rsid w:val="00CF3939"/>
    <w:rsid w:val="00CF3C0F"/>
    <w:rsid w:val="00CF4223"/>
    <w:rsid w:val="00CF42A5"/>
    <w:rsid w:val="00CF431C"/>
    <w:rsid w:val="00CF449D"/>
    <w:rsid w:val="00CF4502"/>
    <w:rsid w:val="00CF4538"/>
    <w:rsid w:val="00CF4975"/>
    <w:rsid w:val="00CF4CF9"/>
    <w:rsid w:val="00CF4FBC"/>
    <w:rsid w:val="00CF556C"/>
    <w:rsid w:val="00CF5789"/>
    <w:rsid w:val="00CF5A7F"/>
    <w:rsid w:val="00CF5BDD"/>
    <w:rsid w:val="00CF5DC5"/>
    <w:rsid w:val="00CF5F4C"/>
    <w:rsid w:val="00CF6014"/>
    <w:rsid w:val="00CF60CF"/>
    <w:rsid w:val="00CF61DF"/>
    <w:rsid w:val="00CF662F"/>
    <w:rsid w:val="00CF674E"/>
    <w:rsid w:val="00CF6897"/>
    <w:rsid w:val="00CF6BE9"/>
    <w:rsid w:val="00CF715A"/>
    <w:rsid w:val="00CF78CF"/>
    <w:rsid w:val="00CF7C3B"/>
    <w:rsid w:val="00CF7E79"/>
    <w:rsid w:val="00CF7F65"/>
    <w:rsid w:val="00CFF056"/>
    <w:rsid w:val="00D00A81"/>
    <w:rsid w:val="00D00A98"/>
    <w:rsid w:val="00D00DB8"/>
    <w:rsid w:val="00D00DEE"/>
    <w:rsid w:val="00D0194E"/>
    <w:rsid w:val="00D01B52"/>
    <w:rsid w:val="00D01CB0"/>
    <w:rsid w:val="00D01E28"/>
    <w:rsid w:val="00D02043"/>
    <w:rsid w:val="00D02316"/>
    <w:rsid w:val="00D02497"/>
    <w:rsid w:val="00D02A6E"/>
    <w:rsid w:val="00D02D24"/>
    <w:rsid w:val="00D02F3D"/>
    <w:rsid w:val="00D0306F"/>
    <w:rsid w:val="00D03169"/>
    <w:rsid w:val="00D0325B"/>
    <w:rsid w:val="00D0327C"/>
    <w:rsid w:val="00D0391C"/>
    <w:rsid w:val="00D03E6F"/>
    <w:rsid w:val="00D03F56"/>
    <w:rsid w:val="00D03FA2"/>
    <w:rsid w:val="00D040D2"/>
    <w:rsid w:val="00D041DD"/>
    <w:rsid w:val="00D045F6"/>
    <w:rsid w:val="00D0462E"/>
    <w:rsid w:val="00D046E5"/>
    <w:rsid w:val="00D0475D"/>
    <w:rsid w:val="00D047B7"/>
    <w:rsid w:val="00D04C08"/>
    <w:rsid w:val="00D050B1"/>
    <w:rsid w:val="00D05307"/>
    <w:rsid w:val="00D05DC8"/>
    <w:rsid w:val="00D06183"/>
    <w:rsid w:val="00D061C7"/>
    <w:rsid w:val="00D06370"/>
    <w:rsid w:val="00D06393"/>
    <w:rsid w:val="00D06565"/>
    <w:rsid w:val="00D06743"/>
    <w:rsid w:val="00D068F2"/>
    <w:rsid w:val="00D06AAD"/>
    <w:rsid w:val="00D06EDD"/>
    <w:rsid w:val="00D070CE"/>
    <w:rsid w:val="00D072A9"/>
    <w:rsid w:val="00D0770E"/>
    <w:rsid w:val="00D077E5"/>
    <w:rsid w:val="00D07A74"/>
    <w:rsid w:val="00D07BAA"/>
    <w:rsid w:val="00D08BBA"/>
    <w:rsid w:val="00D10256"/>
    <w:rsid w:val="00D10559"/>
    <w:rsid w:val="00D105A6"/>
    <w:rsid w:val="00D1065C"/>
    <w:rsid w:val="00D107E1"/>
    <w:rsid w:val="00D10927"/>
    <w:rsid w:val="00D10975"/>
    <w:rsid w:val="00D10A0E"/>
    <w:rsid w:val="00D10A1D"/>
    <w:rsid w:val="00D10AA4"/>
    <w:rsid w:val="00D10D11"/>
    <w:rsid w:val="00D10DD7"/>
    <w:rsid w:val="00D111F2"/>
    <w:rsid w:val="00D11347"/>
    <w:rsid w:val="00D11414"/>
    <w:rsid w:val="00D114E4"/>
    <w:rsid w:val="00D11646"/>
    <w:rsid w:val="00D11B18"/>
    <w:rsid w:val="00D11B8F"/>
    <w:rsid w:val="00D11F57"/>
    <w:rsid w:val="00D120C6"/>
    <w:rsid w:val="00D120D3"/>
    <w:rsid w:val="00D12111"/>
    <w:rsid w:val="00D1216B"/>
    <w:rsid w:val="00D12257"/>
    <w:rsid w:val="00D125D4"/>
    <w:rsid w:val="00D1271E"/>
    <w:rsid w:val="00D1284A"/>
    <w:rsid w:val="00D1297A"/>
    <w:rsid w:val="00D12A76"/>
    <w:rsid w:val="00D12C7C"/>
    <w:rsid w:val="00D12D47"/>
    <w:rsid w:val="00D134DF"/>
    <w:rsid w:val="00D1355F"/>
    <w:rsid w:val="00D13564"/>
    <w:rsid w:val="00D137ED"/>
    <w:rsid w:val="00D13809"/>
    <w:rsid w:val="00D13961"/>
    <w:rsid w:val="00D13CCC"/>
    <w:rsid w:val="00D13EBA"/>
    <w:rsid w:val="00D141BF"/>
    <w:rsid w:val="00D14648"/>
    <w:rsid w:val="00D14715"/>
    <w:rsid w:val="00D1492C"/>
    <w:rsid w:val="00D14980"/>
    <w:rsid w:val="00D149F7"/>
    <w:rsid w:val="00D14AAD"/>
    <w:rsid w:val="00D14CD7"/>
    <w:rsid w:val="00D14F48"/>
    <w:rsid w:val="00D15018"/>
    <w:rsid w:val="00D159CD"/>
    <w:rsid w:val="00D15AA8"/>
    <w:rsid w:val="00D15FCA"/>
    <w:rsid w:val="00D160AA"/>
    <w:rsid w:val="00D162B8"/>
    <w:rsid w:val="00D16A2B"/>
    <w:rsid w:val="00D16AB0"/>
    <w:rsid w:val="00D16E27"/>
    <w:rsid w:val="00D16FF5"/>
    <w:rsid w:val="00D170E4"/>
    <w:rsid w:val="00D17625"/>
    <w:rsid w:val="00D178D4"/>
    <w:rsid w:val="00D17976"/>
    <w:rsid w:val="00D17A0E"/>
    <w:rsid w:val="00D17BD5"/>
    <w:rsid w:val="00D17F38"/>
    <w:rsid w:val="00D2005B"/>
    <w:rsid w:val="00D20198"/>
    <w:rsid w:val="00D201CA"/>
    <w:rsid w:val="00D20389"/>
    <w:rsid w:val="00D207A6"/>
    <w:rsid w:val="00D209A2"/>
    <w:rsid w:val="00D20A06"/>
    <w:rsid w:val="00D20A95"/>
    <w:rsid w:val="00D20D9A"/>
    <w:rsid w:val="00D20EFB"/>
    <w:rsid w:val="00D20F14"/>
    <w:rsid w:val="00D2101D"/>
    <w:rsid w:val="00D21046"/>
    <w:rsid w:val="00D21295"/>
    <w:rsid w:val="00D212C1"/>
    <w:rsid w:val="00D2131F"/>
    <w:rsid w:val="00D2137B"/>
    <w:rsid w:val="00D21448"/>
    <w:rsid w:val="00D216B2"/>
    <w:rsid w:val="00D2184F"/>
    <w:rsid w:val="00D21A40"/>
    <w:rsid w:val="00D21A8A"/>
    <w:rsid w:val="00D21B03"/>
    <w:rsid w:val="00D21C15"/>
    <w:rsid w:val="00D21C74"/>
    <w:rsid w:val="00D22179"/>
    <w:rsid w:val="00D224F5"/>
    <w:rsid w:val="00D22759"/>
    <w:rsid w:val="00D22948"/>
    <w:rsid w:val="00D22A74"/>
    <w:rsid w:val="00D22B27"/>
    <w:rsid w:val="00D22C3D"/>
    <w:rsid w:val="00D22D76"/>
    <w:rsid w:val="00D22E1D"/>
    <w:rsid w:val="00D22F6C"/>
    <w:rsid w:val="00D23183"/>
    <w:rsid w:val="00D23442"/>
    <w:rsid w:val="00D234EE"/>
    <w:rsid w:val="00D23999"/>
    <w:rsid w:val="00D2411C"/>
    <w:rsid w:val="00D24941"/>
    <w:rsid w:val="00D24D6D"/>
    <w:rsid w:val="00D25251"/>
    <w:rsid w:val="00D255C5"/>
    <w:rsid w:val="00D255D6"/>
    <w:rsid w:val="00D259E8"/>
    <w:rsid w:val="00D25B26"/>
    <w:rsid w:val="00D25B2A"/>
    <w:rsid w:val="00D25B73"/>
    <w:rsid w:val="00D25D5E"/>
    <w:rsid w:val="00D25FC8"/>
    <w:rsid w:val="00D260CD"/>
    <w:rsid w:val="00D26209"/>
    <w:rsid w:val="00D26519"/>
    <w:rsid w:val="00D26589"/>
    <w:rsid w:val="00D26766"/>
    <w:rsid w:val="00D26A29"/>
    <w:rsid w:val="00D26B85"/>
    <w:rsid w:val="00D26DCB"/>
    <w:rsid w:val="00D274BF"/>
    <w:rsid w:val="00D2765C"/>
    <w:rsid w:val="00D2782C"/>
    <w:rsid w:val="00D278F7"/>
    <w:rsid w:val="00D27A9B"/>
    <w:rsid w:val="00D27D6F"/>
    <w:rsid w:val="00D27DAD"/>
    <w:rsid w:val="00D300A0"/>
    <w:rsid w:val="00D30310"/>
    <w:rsid w:val="00D303D9"/>
    <w:rsid w:val="00D304CF"/>
    <w:rsid w:val="00D30758"/>
    <w:rsid w:val="00D30E23"/>
    <w:rsid w:val="00D31230"/>
    <w:rsid w:val="00D31250"/>
    <w:rsid w:val="00D314B1"/>
    <w:rsid w:val="00D3185F"/>
    <w:rsid w:val="00D31A9E"/>
    <w:rsid w:val="00D31F8A"/>
    <w:rsid w:val="00D31FBD"/>
    <w:rsid w:val="00D32076"/>
    <w:rsid w:val="00D32109"/>
    <w:rsid w:val="00D3214C"/>
    <w:rsid w:val="00D321D7"/>
    <w:rsid w:val="00D32249"/>
    <w:rsid w:val="00D32494"/>
    <w:rsid w:val="00D32757"/>
    <w:rsid w:val="00D3279E"/>
    <w:rsid w:val="00D32D06"/>
    <w:rsid w:val="00D3309C"/>
    <w:rsid w:val="00D33114"/>
    <w:rsid w:val="00D332BE"/>
    <w:rsid w:val="00D3338F"/>
    <w:rsid w:val="00D3348A"/>
    <w:rsid w:val="00D33523"/>
    <w:rsid w:val="00D336AF"/>
    <w:rsid w:val="00D33740"/>
    <w:rsid w:val="00D33766"/>
    <w:rsid w:val="00D33968"/>
    <w:rsid w:val="00D33BA5"/>
    <w:rsid w:val="00D33D3A"/>
    <w:rsid w:val="00D33EB9"/>
    <w:rsid w:val="00D33EF0"/>
    <w:rsid w:val="00D348B8"/>
    <w:rsid w:val="00D34A83"/>
    <w:rsid w:val="00D34E15"/>
    <w:rsid w:val="00D34EC6"/>
    <w:rsid w:val="00D34EEE"/>
    <w:rsid w:val="00D34F52"/>
    <w:rsid w:val="00D3502D"/>
    <w:rsid w:val="00D354BD"/>
    <w:rsid w:val="00D3577A"/>
    <w:rsid w:val="00D359F8"/>
    <w:rsid w:val="00D35BB6"/>
    <w:rsid w:val="00D35D87"/>
    <w:rsid w:val="00D360D1"/>
    <w:rsid w:val="00D369E8"/>
    <w:rsid w:val="00D36C4B"/>
    <w:rsid w:val="00D36F0A"/>
    <w:rsid w:val="00D374A6"/>
    <w:rsid w:val="00D3750E"/>
    <w:rsid w:val="00D3774E"/>
    <w:rsid w:val="00D378B1"/>
    <w:rsid w:val="00D37CC5"/>
    <w:rsid w:val="00D4040E"/>
    <w:rsid w:val="00D40437"/>
    <w:rsid w:val="00D40D6B"/>
    <w:rsid w:val="00D40D9B"/>
    <w:rsid w:val="00D4101A"/>
    <w:rsid w:val="00D416AE"/>
    <w:rsid w:val="00D417CF"/>
    <w:rsid w:val="00D41A24"/>
    <w:rsid w:val="00D41AEE"/>
    <w:rsid w:val="00D41F87"/>
    <w:rsid w:val="00D41FF0"/>
    <w:rsid w:val="00D4219A"/>
    <w:rsid w:val="00D423B4"/>
    <w:rsid w:val="00D4253B"/>
    <w:rsid w:val="00D42757"/>
    <w:rsid w:val="00D42B5C"/>
    <w:rsid w:val="00D42BBF"/>
    <w:rsid w:val="00D42F67"/>
    <w:rsid w:val="00D43566"/>
    <w:rsid w:val="00D43589"/>
    <w:rsid w:val="00D43B4B"/>
    <w:rsid w:val="00D43DB2"/>
    <w:rsid w:val="00D4427A"/>
    <w:rsid w:val="00D44616"/>
    <w:rsid w:val="00D449B9"/>
    <w:rsid w:val="00D44B20"/>
    <w:rsid w:val="00D44C8C"/>
    <w:rsid w:val="00D44FE6"/>
    <w:rsid w:val="00D4515C"/>
    <w:rsid w:val="00D4588D"/>
    <w:rsid w:val="00D45C12"/>
    <w:rsid w:val="00D45D82"/>
    <w:rsid w:val="00D46005"/>
    <w:rsid w:val="00D461EB"/>
    <w:rsid w:val="00D46313"/>
    <w:rsid w:val="00D464DC"/>
    <w:rsid w:val="00D46687"/>
    <w:rsid w:val="00D46751"/>
    <w:rsid w:val="00D46784"/>
    <w:rsid w:val="00D4685D"/>
    <w:rsid w:val="00D46A12"/>
    <w:rsid w:val="00D46A99"/>
    <w:rsid w:val="00D46B45"/>
    <w:rsid w:val="00D46B59"/>
    <w:rsid w:val="00D46E84"/>
    <w:rsid w:val="00D46F38"/>
    <w:rsid w:val="00D47025"/>
    <w:rsid w:val="00D472E6"/>
    <w:rsid w:val="00D47407"/>
    <w:rsid w:val="00D474E5"/>
    <w:rsid w:val="00D47558"/>
    <w:rsid w:val="00D477A3"/>
    <w:rsid w:val="00D479F7"/>
    <w:rsid w:val="00D47B4A"/>
    <w:rsid w:val="00D47E90"/>
    <w:rsid w:val="00D50030"/>
    <w:rsid w:val="00D50459"/>
    <w:rsid w:val="00D50556"/>
    <w:rsid w:val="00D50561"/>
    <w:rsid w:val="00D50821"/>
    <w:rsid w:val="00D50EC5"/>
    <w:rsid w:val="00D51208"/>
    <w:rsid w:val="00D513D5"/>
    <w:rsid w:val="00D51414"/>
    <w:rsid w:val="00D51491"/>
    <w:rsid w:val="00D5161D"/>
    <w:rsid w:val="00D51821"/>
    <w:rsid w:val="00D519B0"/>
    <w:rsid w:val="00D51BF3"/>
    <w:rsid w:val="00D51C4F"/>
    <w:rsid w:val="00D51DD8"/>
    <w:rsid w:val="00D520B0"/>
    <w:rsid w:val="00D521E2"/>
    <w:rsid w:val="00D522A0"/>
    <w:rsid w:val="00D526C4"/>
    <w:rsid w:val="00D52B04"/>
    <w:rsid w:val="00D52B8A"/>
    <w:rsid w:val="00D52D31"/>
    <w:rsid w:val="00D5310D"/>
    <w:rsid w:val="00D5378A"/>
    <w:rsid w:val="00D53BC3"/>
    <w:rsid w:val="00D53E91"/>
    <w:rsid w:val="00D54119"/>
    <w:rsid w:val="00D54305"/>
    <w:rsid w:val="00D54311"/>
    <w:rsid w:val="00D543D1"/>
    <w:rsid w:val="00D5480E"/>
    <w:rsid w:val="00D54A90"/>
    <w:rsid w:val="00D54ABB"/>
    <w:rsid w:val="00D54BEB"/>
    <w:rsid w:val="00D54D9A"/>
    <w:rsid w:val="00D556D4"/>
    <w:rsid w:val="00D55D9C"/>
    <w:rsid w:val="00D564F2"/>
    <w:rsid w:val="00D566FE"/>
    <w:rsid w:val="00D56B12"/>
    <w:rsid w:val="00D56B3F"/>
    <w:rsid w:val="00D56D42"/>
    <w:rsid w:val="00D56DA1"/>
    <w:rsid w:val="00D56EAD"/>
    <w:rsid w:val="00D573B7"/>
    <w:rsid w:val="00D57845"/>
    <w:rsid w:val="00D57CA1"/>
    <w:rsid w:val="00D601BE"/>
    <w:rsid w:val="00D6033E"/>
    <w:rsid w:val="00D603B7"/>
    <w:rsid w:val="00D607E3"/>
    <w:rsid w:val="00D60BA6"/>
    <w:rsid w:val="00D60E1C"/>
    <w:rsid w:val="00D60F5E"/>
    <w:rsid w:val="00D60F76"/>
    <w:rsid w:val="00D610C0"/>
    <w:rsid w:val="00D6115C"/>
    <w:rsid w:val="00D61507"/>
    <w:rsid w:val="00D6164B"/>
    <w:rsid w:val="00D61A50"/>
    <w:rsid w:val="00D61ABD"/>
    <w:rsid w:val="00D61C12"/>
    <w:rsid w:val="00D61C63"/>
    <w:rsid w:val="00D61E3D"/>
    <w:rsid w:val="00D6202C"/>
    <w:rsid w:val="00D625EE"/>
    <w:rsid w:val="00D627A1"/>
    <w:rsid w:val="00D627F7"/>
    <w:rsid w:val="00D62B11"/>
    <w:rsid w:val="00D62C6D"/>
    <w:rsid w:val="00D62DED"/>
    <w:rsid w:val="00D636CF"/>
    <w:rsid w:val="00D63EF0"/>
    <w:rsid w:val="00D63FE9"/>
    <w:rsid w:val="00D64B1A"/>
    <w:rsid w:val="00D64C48"/>
    <w:rsid w:val="00D64D5D"/>
    <w:rsid w:val="00D64F3A"/>
    <w:rsid w:val="00D64FB2"/>
    <w:rsid w:val="00D652C6"/>
    <w:rsid w:val="00D657AF"/>
    <w:rsid w:val="00D65836"/>
    <w:rsid w:val="00D65A50"/>
    <w:rsid w:val="00D65AA1"/>
    <w:rsid w:val="00D65D28"/>
    <w:rsid w:val="00D65DCD"/>
    <w:rsid w:val="00D65DF8"/>
    <w:rsid w:val="00D665A4"/>
    <w:rsid w:val="00D6691F"/>
    <w:rsid w:val="00D66EB0"/>
    <w:rsid w:val="00D66FBB"/>
    <w:rsid w:val="00D67099"/>
    <w:rsid w:val="00D678BD"/>
    <w:rsid w:val="00D67A32"/>
    <w:rsid w:val="00D67A95"/>
    <w:rsid w:val="00D67BCD"/>
    <w:rsid w:val="00D67D1A"/>
    <w:rsid w:val="00D67F04"/>
    <w:rsid w:val="00D7031C"/>
    <w:rsid w:val="00D70474"/>
    <w:rsid w:val="00D704A1"/>
    <w:rsid w:val="00D70622"/>
    <w:rsid w:val="00D7067C"/>
    <w:rsid w:val="00D70B07"/>
    <w:rsid w:val="00D70D66"/>
    <w:rsid w:val="00D70EC6"/>
    <w:rsid w:val="00D71361"/>
    <w:rsid w:val="00D713FC"/>
    <w:rsid w:val="00D715A0"/>
    <w:rsid w:val="00D7169B"/>
    <w:rsid w:val="00D7178B"/>
    <w:rsid w:val="00D71B49"/>
    <w:rsid w:val="00D71D01"/>
    <w:rsid w:val="00D7211D"/>
    <w:rsid w:val="00D723D2"/>
    <w:rsid w:val="00D725DE"/>
    <w:rsid w:val="00D7291F"/>
    <w:rsid w:val="00D72B2F"/>
    <w:rsid w:val="00D72CDC"/>
    <w:rsid w:val="00D72FE1"/>
    <w:rsid w:val="00D730EE"/>
    <w:rsid w:val="00D73340"/>
    <w:rsid w:val="00D73642"/>
    <w:rsid w:val="00D73AF2"/>
    <w:rsid w:val="00D73AF9"/>
    <w:rsid w:val="00D73DFE"/>
    <w:rsid w:val="00D73FFC"/>
    <w:rsid w:val="00D74017"/>
    <w:rsid w:val="00D74182"/>
    <w:rsid w:val="00D74384"/>
    <w:rsid w:val="00D744CF"/>
    <w:rsid w:val="00D7477E"/>
    <w:rsid w:val="00D74D00"/>
    <w:rsid w:val="00D74D15"/>
    <w:rsid w:val="00D752BB"/>
    <w:rsid w:val="00D752F5"/>
    <w:rsid w:val="00D75444"/>
    <w:rsid w:val="00D754B3"/>
    <w:rsid w:val="00D756CA"/>
    <w:rsid w:val="00D759F5"/>
    <w:rsid w:val="00D75CCB"/>
    <w:rsid w:val="00D75E8A"/>
    <w:rsid w:val="00D76059"/>
    <w:rsid w:val="00D763D5"/>
    <w:rsid w:val="00D764F0"/>
    <w:rsid w:val="00D7694B"/>
    <w:rsid w:val="00D76E02"/>
    <w:rsid w:val="00D76F7E"/>
    <w:rsid w:val="00D77481"/>
    <w:rsid w:val="00D778E8"/>
    <w:rsid w:val="00D801E7"/>
    <w:rsid w:val="00D8025C"/>
    <w:rsid w:val="00D806B1"/>
    <w:rsid w:val="00D809A7"/>
    <w:rsid w:val="00D80E06"/>
    <w:rsid w:val="00D81235"/>
    <w:rsid w:val="00D813E1"/>
    <w:rsid w:val="00D814BE"/>
    <w:rsid w:val="00D815BE"/>
    <w:rsid w:val="00D8164F"/>
    <w:rsid w:val="00D816C6"/>
    <w:rsid w:val="00D8185A"/>
    <w:rsid w:val="00D81B8F"/>
    <w:rsid w:val="00D81CDD"/>
    <w:rsid w:val="00D81DFF"/>
    <w:rsid w:val="00D8217B"/>
    <w:rsid w:val="00D825D9"/>
    <w:rsid w:val="00D82691"/>
    <w:rsid w:val="00D8276B"/>
    <w:rsid w:val="00D82827"/>
    <w:rsid w:val="00D82A83"/>
    <w:rsid w:val="00D82FAE"/>
    <w:rsid w:val="00D83002"/>
    <w:rsid w:val="00D83097"/>
    <w:rsid w:val="00D830CC"/>
    <w:rsid w:val="00D830EA"/>
    <w:rsid w:val="00D83219"/>
    <w:rsid w:val="00D8337F"/>
    <w:rsid w:val="00D83380"/>
    <w:rsid w:val="00D835FE"/>
    <w:rsid w:val="00D839B1"/>
    <w:rsid w:val="00D83A59"/>
    <w:rsid w:val="00D83A6E"/>
    <w:rsid w:val="00D83C84"/>
    <w:rsid w:val="00D83E7A"/>
    <w:rsid w:val="00D83F98"/>
    <w:rsid w:val="00D84724"/>
    <w:rsid w:val="00D8473F"/>
    <w:rsid w:val="00D847F0"/>
    <w:rsid w:val="00D84984"/>
    <w:rsid w:val="00D84A17"/>
    <w:rsid w:val="00D84E1E"/>
    <w:rsid w:val="00D852B6"/>
    <w:rsid w:val="00D853B6"/>
    <w:rsid w:val="00D85470"/>
    <w:rsid w:val="00D854D2"/>
    <w:rsid w:val="00D8556A"/>
    <w:rsid w:val="00D8558D"/>
    <w:rsid w:val="00D85947"/>
    <w:rsid w:val="00D85975"/>
    <w:rsid w:val="00D85C9C"/>
    <w:rsid w:val="00D860A9"/>
    <w:rsid w:val="00D860AF"/>
    <w:rsid w:val="00D8615D"/>
    <w:rsid w:val="00D86A45"/>
    <w:rsid w:val="00D86AF4"/>
    <w:rsid w:val="00D86E1C"/>
    <w:rsid w:val="00D86FFB"/>
    <w:rsid w:val="00D8732F"/>
    <w:rsid w:val="00D874CB"/>
    <w:rsid w:val="00D876DD"/>
    <w:rsid w:val="00D87A0C"/>
    <w:rsid w:val="00D87C37"/>
    <w:rsid w:val="00D87CE4"/>
    <w:rsid w:val="00D9001F"/>
    <w:rsid w:val="00D900F4"/>
    <w:rsid w:val="00D9032B"/>
    <w:rsid w:val="00D90A1B"/>
    <w:rsid w:val="00D90C73"/>
    <w:rsid w:val="00D9132D"/>
    <w:rsid w:val="00D91986"/>
    <w:rsid w:val="00D91AD4"/>
    <w:rsid w:val="00D91B9E"/>
    <w:rsid w:val="00D91CD6"/>
    <w:rsid w:val="00D91CE2"/>
    <w:rsid w:val="00D92009"/>
    <w:rsid w:val="00D921A4"/>
    <w:rsid w:val="00D925D7"/>
    <w:rsid w:val="00D9281F"/>
    <w:rsid w:val="00D92B23"/>
    <w:rsid w:val="00D92EBE"/>
    <w:rsid w:val="00D93747"/>
    <w:rsid w:val="00D9375D"/>
    <w:rsid w:val="00D938FE"/>
    <w:rsid w:val="00D9396E"/>
    <w:rsid w:val="00D93A07"/>
    <w:rsid w:val="00D93B45"/>
    <w:rsid w:val="00D9408A"/>
    <w:rsid w:val="00D94134"/>
    <w:rsid w:val="00D94397"/>
    <w:rsid w:val="00D94600"/>
    <w:rsid w:val="00D9484F"/>
    <w:rsid w:val="00D94878"/>
    <w:rsid w:val="00D9492A"/>
    <w:rsid w:val="00D94ABB"/>
    <w:rsid w:val="00D94CAE"/>
    <w:rsid w:val="00D94F5A"/>
    <w:rsid w:val="00D9536D"/>
    <w:rsid w:val="00D95401"/>
    <w:rsid w:val="00D957E9"/>
    <w:rsid w:val="00D95ABE"/>
    <w:rsid w:val="00D95E32"/>
    <w:rsid w:val="00D9631C"/>
    <w:rsid w:val="00D964C7"/>
    <w:rsid w:val="00D965AE"/>
    <w:rsid w:val="00D965B6"/>
    <w:rsid w:val="00D9662E"/>
    <w:rsid w:val="00D96690"/>
    <w:rsid w:val="00D966D3"/>
    <w:rsid w:val="00D966EC"/>
    <w:rsid w:val="00D969DD"/>
    <w:rsid w:val="00D96ACE"/>
    <w:rsid w:val="00D96AD0"/>
    <w:rsid w:val="00D96B34"/>
    <w:rsid w:val="00D96BA0"/>
    <w:rsid w:val="00D96BB0"/>
    <w:rsid w:val="00D96E5E"/>
    <w:rsid w:val="00D96F09"/>
    <w:rsid w:val="00D96F0C"/>
    <w:rsid w:val="00D97169"/>
    <w:rsid w:val="00D974EE"/>
    <w:rsid w:val="00D97682"/>
    <w:rsid w:val="00D9776A"/>
    <w:rsid w:val="00D97834"/>
    <w:rsid w:val="00D978A3"/>
    <w:rsid w:val="00D978F0"/>
    <w:rsid w:val="00D9795D"/>
    <w:rsid w:val="00D97BFF"/>
    <w:rsid w:val="00D97C63"/>
    <w:rsid w:val="00D9BC08"/>
    <w:rsid w:val="00DA04B2"/>
    <w:rsid w:val="00DA0634"/>
    <w:rsid w:val="00DA0972"/>
    <w:rsid w:val="00DA0C1C"/>
    <w:rsid w:val="00DA11AC"/>
    <w:rsid w:val="00DA17F9"/>
    <w:rsid w:val="00DA18E0"/>
    <w:rsid w:val="00DA19F7"/>
    <w:rsid w:val="00DA1A27"/>
    <w:rsid w:val="00DA1F3A"/>
    <w:rsid w:val="00DA1FFB"/>
    <w:rsid w:val="00DA2161"/>
    <w:rsid w:val="00DA25C4"/>
    <w:rsid w:val="00DA2605"/>
    <w:rsid w:val="00DA2827"/>
    <w:rsid w:val="00DA3139"/>
    <w:rsid w:val="00DA347C"/>
    <w:rsid w:val="00DA3751"/>
    <w:rsid w:val="00DA3777"/>
    <w:rsid w:val="00DA3C42"/>
    <w:rsid w:val="00DA3ED4"/>
    <w:rsid w:val="00DA3F10"/>
    <w:rsid w:val="00DA423E"/>
    <w:rsid w:val="00DA47E5"/>
    <w:rsid w:val="00DA49E0"/>
    <w:rsid w:val="00DA4A00"/>
    <w:rsid w:val="00DA4B58"/>
    <w:rsid w:val="00DA50B1"/>
    <w:rsid w:val="00DA59B7"/>
    <w:rsid w:val="00DA5A67"/>
    <w:rsid w:val="00DA5BDE"/>
    <w:rsid w:val="00DA5F29"/>
    <w:rsid w:val="00DA5F9A"/>
    <w:rsid w:val="00DA6053"/>
    <w:rsid w:val="00DA6101"/>
    <w:rsid w:val="00DA6582"/>
    <w:rsid w:val="00DA6744"/>
    <w:rsid w:val="00DA677E"/>
    <w:rsid w:val="00DA6B41"/>
    <w:rsid w:val="00DA6C36"/>
    <w:rsid w:val="00DA6DA5"/>
    <w:rsid w:val="00DA6F5D"/>
    <w:rsid w:val="00DA7016"/>
    <w:rsid w:val="00DA7398"/>
    <w:rsid w:val="00DA7B03"/>
    <w:rsid w:val="00DA7C74"/>
    <w:rsid w:val="00DB0078"/>
    <w:rsid w:val="00DB046B"/>
    <w:rsid w:val="00DB04EF"/>
    <w:rsid w:val="00DB05D9"/>
    <w:rsid w:val="00DB0B8F"/>
    <w:rsid w:val="00DB0BFF"/>
    <w:rsid w:val="00DB0C3D"/>
    <w:rsid w:val="00DB0C51"/>
    <w:rsid w:val="00DB10D3"/>
    <w:rsid w:val="00DB1333"/>
    <w:rsid w:val="00DB162C"/>
    <w:rsid w:val="00DB192D"/>
    <w:rsid w:val="00DB19BD"/>
    <w:rsid w:val="00DB19BF"/>
    <w:rsid w:val="00DB1B54"/>
    <w:rsid w:val="00DB1B9E"/>
    <w:rsid w:val="00DB1D4F"/>
    <w:rsid w:val="00DB1E26"/>
    <w:rsid w:val="00DB1FDB"/>
    <w:rsid w:val="00DB2275"/>
    <w:rsid w:val="00DB2908"/>
    <w:rsid w:val="00DB2913"/>
    <w:rsid w:val="00DB299F"/>
    <w:rsid w:val="00DB31F5"/>
    <w:rsid w:val="00DB32D3"/>
    <w:rsid w:val="00DB33DA"/>
    <w:rsid w:val="00DB3429"/>
    <w:rsid w:val="00DB3791"/>
    <w:rsid w:val="00DB394A"/>
    <w:rsid w:val="00DB3B1B"/>
    <w:rsid w:val="00DB3E87"/>
    <w:rsid w:val="00DB4269"/>
    <w:rsid w:val="00DB42C6"/>
    <w:rsid w:val="00DB43D8"/>
    <w:rsid w:val="00DB45B4"/>
    <w:rsid w:val="00DB4695"/>
    <w:rsid w:val="00DB4757"/>
    <w:rsid w:val="00DB49F8"/>
    <w:rsid w:val="00DB5068"/>
    <w:rsid w:val="00DB5074"/>
    <w:rsid w:val="00DB519B"/>
    <w:rsid w:val="00DB52BF"/>
    <w:rsid w:val="00DB5C11"/>
    <w:rsid w:val="00DB5D0A"/>
    <w:rsid w:val="00DB5E9E"/>
    <w:rsid w:val="00DB622E"/>
    <w:rsid w:val="00DB6266"/>
    <w:rsid w:val="00DB6328"/>
    <w:rsid w:val="00DB6446"/>
    <w:rsid w:val="00DB6495"/>
    <w:rsid w:val="00DB66C9"/>
    <w:rsid w:val="00DB71A3"/>
    <w:rsid w:val="00DB73FF"/>
    <w:rsid w:val="00DB7735"/>
    <w:rsid w:val="00DB7743"/>
    <w:rsid w:val="00DB7837"/>
    <w:rsid w:val="00DB7844"/>
    <w:rsid w:val="00DB7C69"/>
    <w:rsid w:val="00DB7D19"/>
    <w:rsid w:val="00DB7FB7"/>
    <w:rsid w:val="00DC01D6"/>
    <w:rsid w:val="00DC0674"/>
    <w:rsid w:val="00DC0CE3"/>
    <w:rsid w:val="00DC10B5"/>
    <w:rsid w:val="00DC13D1"/>
    <w:rsid w:val="00DC1880"/>
    <w:rsid w:val="00DC1948"/>
    <w:rsid w:val="00DC1BE7"/>
    <w:rsid w:val="00DC1DF0"/>
    <w:rsid w:val="00DC1ED3"/>
    <w:rsid w:val="00DC2077"/>
    <w:rsid w:val="00DC2795"/>
    <w:rsid w:val="00DC29C4"/>
    <w:rsid w:val="00DC2F03"/>
    <w:rsid w:val="00DC2F53"/>
    <w:rsid w:val="00DC2FD1"/>
    <w:rsid w:val="00DC3151"/>
    <w:rsid w:val="00DC31CA"/>
    <w:rsid w:val="00DC3294"/>
    <w:rsid w:val="00DC3355"/>
    <w:rsid w:val="00DC36F9"/>
    <w:rsid w:val="00DC3D3C"/>
    <w:rsid w:val="00DC3DDF"/>
    <w:rsid w:val="00DC3E64"/>
    <w:rsid w:val="00DC3F2F"/>
    <w:rsid w:val="00DC3F40"/>
    <w:rsid w:val="00DC4430"/>
    <w:rsid w:val="00DC4619"/>
    <w:rsid w:val="00DC4778"/>
    <w:rsid w:val="00DC4A82"/>
    <w:rsid w:val="00DC4ACF"/>
    <w:rsid w:val="00DC4B54"/>
    <w:rsid w:val="00DC50ED"/>
    <w:rsid w:val="00DC51E0"/>
    <w:rsid w:val="00DC550A"/>
    <w:rsid w:val="00DC5746"/>
    <w:rsid w:val="00DC5888"/>
    <w:rsid w:val="00DC596B"/>
    <w:rsid w:val="00DC598E"/>
    <w:rsid w:val="00DC5AA7"/>
    <w:rsid w:val="00DC5DE1"/>
    <w:rsid w:val="00DC5E01"/>
    <w:rsid w:val="00DC5E63"/>
    <w:rsid w:val="00DC6045"/>
    <w:rsid w:val="00DC620C"/>
    <w:rsid w:val="00DC6297"/>
    <w:rsid w:val="00DC63B1"/>
    <w:rsid w:val="00DC63D6"/>
    <w:rsid w:val="00DC660E"/>
    <w:rsid w:val="00DC6617"/>
    <w:rsid w:val="00DC6625"/>
    <w:rsid w:val="00DC6724"/>
    <w:rsid w:val="00DC6A37"/>
    <w:rsid w:val="00DC6A6E"/>
    <w:rsid w:val="00DC6A70"/>
    <w:rsid w:val="00DC6D35"/>
    <w:rsid w:val="00DC6E6D"/>
    <w:rsid w:val="00DC6EAD"/>
    <w:rsid w:val="00DC6FE5"/>
    <w:rsid w:val="00DC75AF"/>
    <w:rsid w:val="00DC764B"/>
    <w:rsid w:val="00DC7845"/>
    <w:rsid w:val="00DC790C"/>
    <w:rsid w:val="00DC796E"/>
    <w:rsid w:val="00DC7970"/>
    <w:rsid w:val="00DD06F2"/>
    <w:rsid w:val="00DD0901"/>
    <w:rsid w:val="00DD097B"/>
    <w:rsid w:val="00DD0EA5"/>
    <w:rsid w:val="00DD11AF"/>
    <w:rsid w:val="00DD120C"/>
    <w:rsid w:val="00DD1320"/>
    <w:rsid w:val="00DD187E"/>
    <w:rsid w:val="00DD194F"/>
    <w:rsid w:val="00DD1BE5"/>
    <w:rsid w:val="00DD1D2F"/>
    <w:rsid w:val="00DD1E70"/>
    <w:rsid w:val="00DD20FE"/>
    <w:rsid w:val="00DD245F"/>
    <w:rsid w:val="00DD2678"/>
    <w:rsid w:val="00DD27AE"/>
    <w:rsid w:val="00DD28C4"/>
    <w:rsid w:val="00DD2901"/>
    <w:rsid w:val="00DD299B"/>
    <w:rsid w:val="00DD2A83"/>
    <w:rsid w:val="00DD2A99"/>
    <w:rsid w:val="00DD358E"/>
    <w:rsid w:val="00DD3A22"/>
    <w:rsid w:val="00DD3B90"/>
    <w:rsid w:val="00DD3CEF"/>
    <w:rsid w:val="00DD3DDD"/>
    <w:rsid w:val="00DD3FA3"/>
    <w:rsid w:val="00DD3FBC"/>
    <w:rsid w:val="00DD4172"/>
    <w:rsid w:val="00DD41B6"/>
    <w:rsid w:val="00DD41D5"/>
    <w:rsid w:val="00DD41D7"/>
    <w:rsid w:val="00DD4258"/>
    <w:rsid w:val="00DD43EB"/>
    <w:rsid w:val="00DD45F9"/>
    <w:rsid w:val="00DD4C22"/>
    <w:rsid w:val="00DD4D25"/>
    <w:rsid w:val="00DD4D5A"/>
    <w:rsid w:val="00DD4ED4"/>
    <w:rsid w:val="00DD4F95"/>
    <w:rsid w:val="00DD5076"/>
    <w:rsid w:val="00DD510D"/>
    <w:rsid w:val="00DD51AB"/>
    <w:rsid w:val="00DD538B"/>
    <w:rsid w:val="00DD53B6"/>
    <w:rsid w:val="00DD5512"/>
    <w:rsid w:val="00DD55D7"/>
    <w:rsid w:val="00DD5911"/>
    <w:rsid w:val="00DD5C8F"/>
    <w:rsid w:val="00DD5D9B"/>
    <w:rsid w:val="00DD5E2D"/>
    <w:rsid w:val="00DD5EEF"/>
    <w:rsid w:val="00DD5F79"/>
    <w:rsid w:val="00DD60C4"/>
    <w:rsid w:val="00DD60EF"/>
    <w:rsid w:val="00DD62B7"/>
    <w:rsid w:val="00DD6463"/>
    <w:rsid w:val="00DD670F"/>
    <w:rsid w:val="00DD674F"/>
    <w:rsid w:val="00DD6AF0"/>
    <w:rsid w:val="00DD6CCE"/>
    <w:rsid w:val="00DD718A"/>
    <w:rsid w:val="00DD72D2"/>
    <w:rsid w:val="00DD72E7"/>
    <w:rsid w:val="00DD7339"/>
    <w:rsid w:val="00DD74C6"/>
    <w:rsid w:val="00DD74F3"/>
    <w:rsid w:val="00DD7667"/>
    <w:rsid w:val="00DD7801"/>
    <w:rsid w:val="00DD7874"/>
    <w:rsid w:val="00DD7DD5"/>
    <w:rsid w:val="00DE00DB"/>
    <w:rsid w:val="00DE025A"/>
    <w:rsid w:val="00DE0286"/>
    <w:rsid w:val="00DE0639"/>
    <w:rsid w:val="00DE08EB"/>
    <w:rsid w:val="00DE09C2"/>
    <w:rsid w:val="00DE09E2"/>
    <w:rsid w:val="00DE0A32"/>
    <w:rsid w:val="00DE0FAF"/>
    <w:rsid w:val="00DE11EC"/>
    <w:rsid w:val="00DE1437"/>
    <w:rsid w:val="00DE1476"/>
    <w:rsid w:val="00DE14A5"/>
    <w:rsid w:val="00DE1794"/>
    <w:rsid w:val="00DE1B14"/>
    <w:rsid w:val="00DE1DF0"/>
    <w:rsid w:val="00DE1F62"/>
    <w:rsid w:val="00DE2064"/>
    <w:rsid w:val="00DE210E"/>
    <w:rsid w:val="00DE22E6"/>
    <w:rsid w:val="00DE234D"/>
    <w:rsid w:val="00DE2735"/>
    <w:rsid w:val="00DE2B46"/>
    <w:rsid w:val="00DE2B50"/>
    <w:rsid w:val="00DE2B5C"/>
    <w:rsid w:val="00DE2C47"/>
    <w:rsid w:val="00DE2F36"/>
    <w:rsid w:val="00DE36D7"/>
    <w:rsid w:val="00DE3762"/>
    <w:rsid w:val="00DE38F2"/>
    <w:rsid w:val="00DE3F4E"/>
    <w:rsid w:val="00DE4008"/>
    <w:rsid w:val="00DE4567"/>
    <w:rsid w:val="00DE483E"/>
    <w:rsid w:val="00DE4AAA"/>
    <w:rsid w:val="00DE4B0F"/>
    <w:rsid w:val="00DE4EF3"/>
    <w:rsid w:val="00DE52CC"/>
    <w:rsid w:val="00DE5785"/>
    <w:rsid w:val="00DE5979"/>
    <w:rsid w:val="00DE5CA9"/>
    <w:rsid w:val="00DE5DDE"/>
    <w:rsid w:val="00DE5FC3"/>
    <w:rsid w:val="00DE67AB"/>
    <w:rsid w:val="00DE6C1D"/>
    <w:rsid w:val="00DE6F2B"/>
    <w:rsid w:val="00DE741B"/>
    <w:rsid w:val="00DF052D"/>
    <w:rsid w:val="00DF0961"/>
    <w:rsid w:val="00DF0A4C"/>
    <w:rsid w:val="00DF0AE8"/>
    <w:rsid w:val="00DF12FA"/>
    <w:rsid w:val="00DF157B"/>
    <w:rsid w:val="00DF1864"/>
    <w:rsid w:val="00DF18FD"/>
    <w:rsid w:val="00DF1A15"/>
    <w:rsid w:val="00DF1CA2"/>
    <w:rsid w:val="00DF213D"/>
    <w:rsid w:val="00DF22CA"/>
    <w:rsid w:val="00DF22E5"/>
    <w:rsid w:val="00DF2398"/>
    <w:rsid w:val="00DF2663"/>
    <w:rsid w:val="00DF2AFA"/>
    <w:rsid w:val="00DF2C45"/>
    <w:rsid w:val="00DF2CBF"/>
    <w:rsid w:val="00DF2E13"/>
    <w:rsid w:val="00DF317D"/>
    <w:rsid w:val="00DF3312"/>
    <w:rsid w:val="00DF34AE"/>
    <w:rsid w:val="00DF35FA"/>
    <w:rsid w:val="00DF3986"/>
    <w:rsid w:val="00DF3E79"/>
    <w:rsid w:val="00DF4171"/>
    <w:rsid w:val="00DF4541"/>
    <w:rsid w:val="00DF467E"/>
    <w:rsid w:val="00DF4905"/>
    <w:rsid w:val="00DF4A8A"/>
    <w:rsid w:val="00DF4B26"/>
    <w:rsid w:val="00DF4B99"/>
    <w:rsid w:val="00DF51B3"/>
    <w:rsid w:val="00DF5231"/>
    <w:rsid w:val="00DF5895"/>
    <w:rsid w:val="00DF5CF0"/>
    <w:rsid w:val="00DF5F64"/>
    <w:rsid w:val="00DF61EF"/>
    <w:rsid w:val="00DF6BC1"/>
    <w:rsid w:val="00DF6E7E"/>
    <w:rsid w:val="00DF6FBC"/>
    <w:rsid w:val="00DF70EE"/>
    <w:rsid w:val="00DF7216"/>
    <w:rsid w:val="00DF7288"/>
    <w:rsid w:val="00DF7361"/>
    <w:rsid w:val="00DF759B"/>
    <w:rsid w:val="00DF76EB"/>
    <w:rsid w:val="00DF7921"/>
    <w:rsid w:val="00DF79F0"/>
    <w:rsid w:val="00E000A5"/>
    <w:rsid w:val="00E000E7"/>
    <w:rsid w:val="00E00135"/>
    <w:rsid w:val="00E00454"/>
    <w:rsid w:val="00E00598"/>
    <w:rsid w:val="00E007D2"/>
    <w:rsid w:val="00E008A3"/>
    <w:rsid w:val="00E00956"/>
    <w:rsid w:val="00E00991"/>
    <w:rsid w:val="00E019FC"/>
    <w:rsid w:val="00E01A9A"/>
    <w:rsid w:val="00E01BB5"/>
    <w:rsid w:val="00E01D6C"/>
    <w:rsid w:val="00E02325"/>
    <w:rsid w:val="00E0241D"/>
    <w:rsid w:val="00E024B5"/>
    <w:rsid w:val="00E024DE"/>
    <w:rsid w:val="00E027AF"/>
    <w:rsid w:val="00E028D1"/>
    <w:rsid w:val="00E02C49"/>
    <w:rsid w:val="00E02F20"/>
    <w:rsid w:val="00E0342A"/>
    <w:rsid w:val="00E035E8"/>
    <w:rsid w:val="00E0360B"/>
    <w:rsid w:val="00E03630"/>
    <w:rsid w:val="00E03784"/>
    <w:rsid w:val="00E037D0"/>
    <w:rsid w:val="00E037ED"/>
    <w:rsid w:val="00E03815"/>
    <w:rsid w:val="00E03C44"/>
    <w:rsid w:val="00E03C84"/>
    <w:rsid w:val="00E03FE0"/>
    <w:rsid w:val="00E04588"/>
    <w:rsid w:val="00E0468D"/>
    <w:rsid w:val="00E05017"/>
    <w:rsid w:val="00E05175"/>
    <w:rsid w:val="00E0522F"/>
    <w:rsid w:val="00E0529D"/>
    <w:rsid w:val="00E05405"/>
    <w:rsid w:val="00E05457"/>
    <w:rsid w:val="00E05493"/>
    <w:rsid w:val="00E0551B"/>
    <w:rsid w:val="00E05756"/>
    <w:rsid w:val="00E05C80"/>
    <w:rsid w:val="00E05CDC"/>
    <w:rsid w:val="00E05EFD"/>
    <w:rsid w:val="00E05FA3"/>
    <w:rsid w:val="00E06097"/>
    <w:rsid w:val="00E06120"/>
    <w:rsid w:val="00E061DE"/>
    <w:rsid w:val="00E062F2"/>
    <w:rsid w:val="00E06323"/>
    <w:rsid w:val="00E06964"/>
    <w:rsid w:val="00E06BF2"/>
    <w:rsid w:val="00E06E5A"/>
    <w:rsid w:val="00E06E86"/>
    <w:rsid w:val="00E06F9F"/>
    <w:rsid w:val="00E07028"/>
    <w:rsid w:val="00E0704B"/>
    <w:rsid w:val="00E07182"/>
    <w:rsid w:val="00E0718F"/>
    <w:rsid w:val="00E0789C"/>
    <w:rsid w:val="00E07A12"/>
    <w:rsid w:val="00E07AB1"/>
    <w:rsid w:val="00E07B06"/>
    <w:rsid w:val="00E07B14"/>
    <w:rsid w:val="00E07B30"/>
    <w:rsid w:val="00E07BBD"/>
    <w:rsid w:val="00E07BDF"/>
    <w:rsid w:val="00E07D33"/>
    <w:rsid w:val="00E07D42"/>
    <w:rsid w:val="00E07F6B"/>
    <w:rsid w:val="00E07FD7"/>
    <w:rsid w:val="00E101A2"/>
    <w:rsid w:val="00E1025D"/>
    <w:rsid w:val="00E105EB"/>
    <w:rsid w:val="00E10826"/>
    <w:rsid w:val="00E10F63"/>
    <w:rsid w:val="00E11151"/>
    <w:rsid w:val="00E11179"/>
    <w:rsid w:val="00E11412"/>
    <w:rsid w:val="00E11490"/>
    <w:rsid w:val="00E1156C"/>
    <w:rsid w:val="00E115B4"/>
    <w:rsid w:val="00E1162E"/>
    <w:rsid w:val="00E11872"/>
    <w:rsid w:val="00E11A02"/>
    <w:rsid w:val="00E11B66"/>
    <w:rsid w:val="00E11CB1"/>
    <w:rsid w:val="00E11D47"/>
    <w:rsid w:val="00E11DA2"/>
    <w:rsid w:val="00E1257A"/>
    <w:rsid w:val="00E128E0"/>
    <w:rsid w:val="00E12A60"/>
    <w:rsid w:val="00E12D3E"/>
    <w:rsid w:val="00E12ED1"/>
    <w:rsid w:val="00E12F2A"/>
    <w:rsid w:val="00E130C9"/>
    <w:rsid w:val="00E1325A"/>
    <w:rsid w:val="00E133E0"/>
    <w:rsid w:val="00E136EB"/>
    <w:rsid w:val="00E136EF"/>
    <w:rsid w:val="00E13796"/>
    <w:rsid w:val="00E13935"/>
    <w:rsid w:val="00E13A08"/>
    <w:rsid w:val="00E13B5A"/>
    <w:rsid w:val="00E14235"/>
    <w:rsid w:val="00E1451E"/>
    <w:rsid w:val="00E1458E"/>
    <w:rsid w:val="00E14713"/>
    <w:rsid w:val="00E14792"/>
    <w:rsid w:val="00E148D5"/>
    <w:rsid w:val="00E14986"/>
    <w:rsid w:val="00E14C11"/>
    <w:rsid w:val="00E14D28"/>
    <w:rsid w:val="00E14EC4"/>
    <w:rsid w:val="00E154C5"/>
    <w:rsid w:val="00E15B00"/>
    <w:rsid w:val="00E15E6F"/>
    <w:rsid w:val="00E15F22"/>
    <w:rsid w:val="00E16252"/>
    <w:rsid w:val="00E16288"/>
    <w:rsid w:val="00E16295"/>
    <w:rsid w:val="00E1646D"/>
    <w:rsid w:val="00E165A0"/>
    <w:rsid w:val="00E16C25"/>
    <w:rsid w:val="00E16FB1"/>
    <w:rsid w:val="00E171CC"/>
    <w:rsid w:val="00E17599"/>
    <w:rsid w:val="00E177E8"/>
    <w:rsid w:val="00E17939"/>
    <w:rsid w:val="00E17959"/>
    <w:rsid w:val="00E17A78"/>
    <w:rsid w:val="00E17AE9"/>
    <w:rsid w:val="00E17E61"/>
    <w:rsid w:val="00E200A3"/>
    <w:rsid w:val="00E200A4"/>
    <w:rsid w:val="00E20310"/>
    <w:rsid w:val="00E20418"/>
    <w:rsid w:val="00E207E5"/>
    <w:rsid w:val="00E20938"/>
    <w:rsid w:val="00E2096A"/>
    <w:rsid w:val="00E20A65"/>
    <w:rsid w:val="00E20FB5"/>
    <w:rsid w:val="00E2102E"/>
    <w:rsid w:val="00E210DD"/>
    <w:rsid w:val="00E21102"/>
    <w:rsid w:val="00E211C7"/>
    <w:rsid w:val="00E215B2"/>
    <w:rsid w:val="00E217A8"/>
    <w:rsid w:val="00E219CF"/>
    <w:rsid w:val="00E21E67"/>
    <w:rsid w:val="00E22325"/>
    <w:rsid w:val="00E223A8"/>
    <w:rsid w:val="00E225C5"/>
    <w:rsid w:val="00E22866"/>
    <w:rsid w:val="00E22981"/>
    <w:rsid w:val="00E22EB8"/>
    <w:rsid w:val="00E23043"/>
    <w:rsid w:val="00E230E5"/>
    <w:rsid w:val="00E234C8"/>
    <w:rsid w:val="00E235D7"/>
    <w:rsid w:val="00E2384A"/>
    <w:rsid w:val="00E238E0"/>
    <w:rsid w:val="00E23C53"/>
    <w:rsid w:val="00E23C5D"/>
    <w:rsid w:val="00E23D3B"/>
    <w:rsid w:val="00E23E6B"/>
    <w:rsid w:val="00E241AD"/>
    <w:rsid w:val="00E245D3"/>
    <w:rsid w:val="00E246B5"/>
    <w:rsid w:val="00E247F4"/>
    <w:rsid w:val="00E248E6"/>
    <w:rsid w:val="00E24F7D"/>
    <w:rsid w:val="00E257E2"/>
    <w:rsid w:val="00E258C6"/>
    <w:rsid w:val="00E259DA"/>
    <w:rsid w:val="00E25A41"/>
    <w:rsid w:val="00E25C0F"/>
    <w:rsid w:val="00E264B1"/>
    <w:rsid w:val="00E267AD"/>
    <w:rsid w:val="00E2691D"/>
    <w:rsid w:val="00E26A09"/>
    <w:rsid w:val="00E26C79"/>
    <w:rsid w:val="00E26DAA"/>
    <w:rsid w:val="00E26DC5"/>
    <w:rsid w:val="00E26FC6"/>
    <w:rsid w:val="00E272B2"/>
    <w:rsid w:val="00E27620"/>
    <w:rsid w:val="00E27723"/>
    <w:rsid w:val="00E2792D"/>
    <w:rsid w:val="00E27ECA"/>
    <w:rsid w:val="00E30127"/>
    <w:rsid w:val="00E30434"/>
    <w:rsid w:val="00E304CC"/>
    <w:rsid w:val="00E306C7"/>
    <w:rsid w:val="00E307A1"/>
    <w:rsid w:val="00E30B38"/>
    <w:rsid w:val="00E30F23"/>
    <w:rsid w:val="00E310F4"/>
    <w:rsid w:val="00E311C5"/>
    <w:rsid w:val="00E31473"/>
    <w:rsid w:val="00E3149B"/>
    <w:rsid w:val="00E31854"/>
    <w:rsid w:val="00E318DF"/>
    <w:rsid w:val="00E319E7"/>
    <w:rsid w:val="00E319FF"/>
    <w:rsid w:val="00E31AB4"/>
    <w:rsid w:val="00E31F1C"/>
    <w:rsid w:val="00E32178"/>
    <w:rsid w:val="00E323C8"/>
    <w:rsid w:val="00E32515"/>
    <w:rsid w:val="00E3260A"/>
    <w:rsid w:val="00E32768"/>
    <w:rsid w:val="00E32E0D"/>
    <w:rsid w:val="00E32FEF"/>
    <w:rsid w:val="00E333BE"/>
    <w:rsid w:val="00E3373A"/>
    <w:rsid w:val="00E33808"/>
    <w:rsid w:val="00E33CA1"/>
    <w:rsid w:val="00E33E3A"/>
    <w:rsid w:val="00E33E9B"/>
    <w:rsid w:val="00E3412F"/>
    <w:rsid w:val="00E3425A"/>
    <w:rsid w:val="00E3453E"/>
    <w:rsid w:val="00E347D5"/>
    <w:rsid w:val="00E34C8E"/>
    <w:rsid w:val="00E34FC8"/>
    <w:rsid w:val="00E350F0"/>
    <w:rsid w:val="00E358AE"/>
    <w:rsid w:val="00E35A39"/>
    <w:rsid w:val="00E35DA5"/>
    <w:rsid w:val="00E36082"/>
    <w:rsid w:val="00E360B1"/>
    <w:rsid w:val="00E361C0"/>
    <w:rsid w:val="00E3660A"/>
    <w:rsid w:val="00E36644"/>
    <w:rsid w:val="00E3673B"/>
    <w:rsid w:val="00E36A1C"/>
    <w:rsid w:val="00E36D2E"/>
    <w:rsid w:val="00E36E95"/>
    <w:rsid w:val="00E3706C"/>
    <w:rsid w:val="00E371BC"/>
    <w:rsid w:val="00E372F2"/>
    <w:rsid w:val="00E37695"/>
    <w:rsid w:val="00E37C98"/>
    <w:rsid w:val="00E37CAC"/>
    <w:rsid w:val="00E37D08"/>
    <w:rsid w:val="00E40015"/>
    <w:rsid w:val="00E402ED"/>
    <w:rsid w:val="00E405C1"/>
    <w:rsid w:val="00E40B80"/>
    <w:rsid w:val="00E40FBE"/>
    <w:rsid w:val="00E411AB"/>
    <w:rsid w:val="00E41267"/>
    <w:rsid w:val="00E412B5"/>
    <w:rsid w:val="00E4142E"/>
    <w:rsid w:val="00E4177A"/>
    <w:rsid w:val="00E4195C"/>
    <w:rsid w:val="00E41A05"/>
    <w:rsid w:val="00E41BD9"/>
    <w:rsid w:val="00E41BE6"/>
    <w:rsid w:val="00E41D37"/>
    <w:rsid w:val="00E41F45"/>
    <w:rsid w:val="00E41F49"/>
    <w:rsid w:val="00E424FF"/>
    <w:rsid w:val="00E42A01"/>
    <w:rsid w:val="00E42C84"/>
    <w:rsid w:val="00E42ED1"/>
    <w:rsid w:val="00E42F26"/>
    <w:rsid w:val="00E42F8B"/>
    <w:rsid w:val="00E43141"/>
    <w:rsid w:val="00E43396"/>
    <w:rsid w:val="00E433D8"/>
    <w:rsid w:val="00E434FC"/>
    <w:rsid w:val="00E435D2"/>
    <w:rsid w:val="00E4388A"/>
    <w:rsid w:val="00E439BC"/>
    <w:rsid w:val="00E43A79"/>
    <w:rsid w:val="00E43B9D"/>
    <w:rsid w:val="00E43DE9"/>
    <w:rsid w:val="00E44032"/>
    <w:rsid w:val="00E44092"/>
    <w:rsid w:val="00E444EB"/>
    <w:rsid w:val="00E4457B"/>
    <w:rsid w:val="00E44950"/>
    <w:rsid w:val="00E44996"/>
    <w:rsid w:val="00E44D85"/>
    <w:rsid w:val="00E44F46"/>
    <w:rsid w:val="00E44FF8"/>
    <w:rsid w:val="00E450AF"/>
    <w:rsid w:val="00E455CF"/>
    <w:rsid w:val="00E45899"/>
    <w:rsid w:val="00E45D32"/>
    <w:rsid w:val="00E461F0"/>
    <w:rsid w:val="00E46250"/>
    <w:rsid w:val="00E46367"/>
    <w:rsid w:val="00E464CC"/>
    <w:rsid w:val="00E465AB"/>
    <w:rsid w:val="00E46879"/>
    <w:rsid w:val="00E46A5A"/>
    <w:rsid w:val="00E46A73"/>
    <w:rsid w:val="00E46E82"/>
    <w:rsid w:val="00E47363"/>
    <w:rsid w:val="00E4771C"/>
    <w:rsid w:val="00E478D0"/>
    <w:rsid w:val="00E47AD5"/>
    <w:rsid w:val="00E47DE1"/>
    <w:rsid w:val="00E500EA"/>
    <w:rsid w:val="00E50171"/>
    <w:rsid w:val="00E50187"/>
    <w:rsid w:val="00E50623"/>
    <w:rsid w:val="00E50802"/>
    <w:rsid w:val="00E508FA"/>
    <w:rsid w:val="00E50EF3"/>
    <w:rsid w:val="00E50F1D"/>
    <w:rsid w:val="00E514F1"/>
    <w:rsid w:val="00E51500"/>
    <w:rsid w:val="00E515BF"/>
    <w:rsid w:val="00E51717"/>
    <w:rsid w:val="00E51CD5"/>
    <w:rsid w:val="00E51F49"/>
    <w:rsid w:val="00E521E0"/>
    <w:rsid w:val="00E5237F"/>
    <w:rsid w:val="00E524D6"/>
    <w:rsid w:val="00E525C0"/>
    <w:rsid w:val="00E5289A"/>
    <w:rsid w:val="00E52975"/>
    <w:rsid w:val="00E52D14"/>
    <w:rsid w:val="00E52D32"/>
    <w:rsid w:val="00E52F95"/>
    <w:rsid w:val="00E5345D"/>
    <w:rsid w:val="00E53509"/>
    <w:rsid w:val="00E536CC"/>
    <w:rsid w:val="00E53C94"/>
    <w:rsid w:val="00E53EA0"/>
    <w:rsid w:val="00E53EA1"/>
    <w:rsid w:val="00E53EFA"/>
    <w:rsid w:val="00E53FD3"/>
    <w:rsid w:val="00E544DE"/>
    <w:rsid w:val="00E54860"/>
    <w:rsid w:val="00E54A99"/>
    <w:rsid w:val="00E54C4B"/>
    <w:rsid w:val="00E54D69"/>
    <w:rsid w:val="00E5531F"/>
    <w:rsid w:val="00E55348"/>
    <w:rsid w:val="00E55836"/>
    <w:rsid w:val="00E55ED2"/>
    <w:rsid w:val="00E55F62"/>
    <w:rsid w:val="00E56318"/>
    <w:rsid w:val="00E563C3"/>
    <w:rsid w:val="00E56574"/>
    <w:rsid w:val="00E56B3F"/>
    <w:rsid w:val="00E56E0A"/>
    <w:rsid w:val="00E56ED7"/>
    <w:rsid w:val="00E570F6"/>
    <w:rsid w:val="00E572EA"/>
    <w:rsid w:val="00E5767E"/>
    <w:rsid w:val="00E577B8"/>
    <w:rsid w:val="00E57A3D"/>
    <w:rsid w:val="00E57B0B"/>
    <w:rsid w:val="00E57CA0"/>
    <w:rsid w:val="00E57FF4"/>
    <w:rsid w:val="00E601A3"/>
    <w:rsid w:val="00E6023B"/>
    <w:rsid w:val="00E6028D"/>
    <w:rsid w:val="00E602AF"/>
    <w:rsid w:val="00E602B4"/>
    <w:rsid w:val="00E60349"/>
    <w:rsid w:val="00E607AC"/>
    <w:rsid w:val="00E60D73"/>
    <w:rsid w:val="00E60D8F"/>
    <w:rsid w:val="00E60E06"/>
    <w:rsid w:val="00E60E3D"/>
    <w:rsid w:val="00E60E7F"/>
    <w:rsid w:val="00E60F62"/>
    <w:rsid w:val="00E60F83"/>
    <w:rsid w:val="00E60FC1"/>
    <w:rsid w:val="00E6103D"/>
    <w:rsid w:val="00E614F2"/>
    <w:rsid w:val="00E61508"/>
    <w:rsid w:val="00E62041"/>
    <w:rsid w:val="00E620ED"/>
    <w:rsid w:val="00E6226E"/>
    <w:rsid w:val="00E622AE"/>
    <w:rsid w:val="00E6281C"/>
    <w:rsid w:val="00E62ABE"/>
    <w:rsid w:val="00E62C6C"/>
    <w:rsid w:val="00E62CA6"/>
    <w:rsid w:val="00E62D6A"/>
    <w:rsid w:val="00E62EA0"/>
    <w:rsid w:val="00E6318B"/>
    <w:rsid w:val="00E632BC"/>
    <w:rsid w:val="00E6370E"/>
    <w:rsid w:val="00E63793"/>
    <w:rsid w:val="00E6381E"/>
    <w:rsid w:val="00E63B77"/>
    <w:rsid w:val="00E63BE9"/>
    <w:rsid w:val="00E63C82"/>
    <w:rsid w:val="00E63E4D"/>
    <w:rsid w:val="00E643F2"/>
    <w:rsid w:val="00E643FA"/>
    <w:rsid w:val="00E64D17"/>
    <w:rsid w:val="00E65036"/>
    <w:rsid w:val="00E657D6"/>
    <w:rsid w:val="00E658B0"/>
    <w:rsid w:val="00E65EB6"/>
    <w:rsid w:val="00E65F5E"/>
    <w:rsid w:val="00E65FDD"/>
    <w:rsid w:val="00E6636C"/>
    <w:rsid w:val="00E665F4"/>
    <w:rsid w:val="00E66600"/>
    <w:rsid w:val="00E66666"/>
    <w:rsid w:val="00E6698C"/>
    <w:rsid w:val="00E669F5"/>
    <w:rsid w:val="00E66C42"/>
    <w:rsid w:val="00E67062"/>
    <w:rsid w:val="00E6713C"/>
    <w:rsid w:val="00E6757B"/>
    <w:rsid w:val="00E679C7"/>
    <w:rsid w:val="00E67E11"/>
    <w:rsid w:val="00E67E6B"/>
    <w:rsid w:val="00E67EE6"/>
    <w:rsid w:val="00E67F25"/>
    <w:rsid w:val="00E67F4B"/>
    <w:rsid w:val="00E70212"/>
    <w:rsid w:val="00E70452"/>
    <w:rsid w:val="00E706BA"/>
    <w:rsid w:val="00E70909"/>
    <w:rsid w:val="00E709A2"/>
    <w:rsid w:val="00E70D79"/>
    <w:rsid w:val="00E70EF8"/>
    <w:rsid w:val="00E710AE"/>
    <w:rsid w:val="00E71531"/>
    <w:rsid w:val="00E715B5"/>
    <w:rsid w:val="00E71730"/>
    <w:rsid w:val="00E71735"/>
    <w:rsid w:val="00E717C6"/>
    <w:rsid w:val="00E71B0E"/>
    <w:rsid w:val="00E71C9B"/>
    <w:rsid w:val="00E72275"/>
    <w:rsid w:val="00E72521"/>
    <w:rsid w:val="00E72B61"/>
    <w:rsid w:val="00E72E8F"/>
    <w:rsid w:val="00E72ED7"/>
    <w:rsid w:val="00E73009"/>
    <w:rsid w:val="00E73571"/>
    <w:rsid w:val="00E7371A"/>
    <w:rsid w:val="00E7383A"/>
    <w:rsid w:val="00E73A23"/>
    <w:rsid w:val="00E73C6B"/>
    <w:rsid w:val="00E73CA8"/>
    <w:rsid w:val="00E73E3F"/>
    <w:rsid w:val="00E73FA6"/>
    <w:rsid w:val="00E7405A"/>
    <w:rsid w:val="00E74376"/>
    <w:rsid w:val="00E7438C"/>
    <w:rsid w:val="00E744BF"/>
    <w:rsid w:val="00E745CD"/>
    <w:rsid w:val="00E747E4"/>
    <w:rsid w:val="00E7481D"/>
    <w:rsid w:val="00E74A86"/>
    <w:rsid w:val="00E74B11"/>
    <w:rsid w:val="00E74C7F"/>
    <w:rsid w:val="00E751AE"/>
    <w:rsid w:val="00E75717"/>
    <w:rsid w:val="00E75763"/>
    <w:rsid w:val="00E75836"/>
    <w:rsid w:val="00E75957"/>
    <w:rsid w:val="00E75AB0"/>
    <w:rsid w:val="00E75CDC"/>
    <w:rsid w:val="00E75D8A"/>
    <w:rsid w:val="00E75F67"/>
    <w:rsid w:val="00E7605A"/>
    <w:rsid w:val="00E7610D"/>
    <w:rsid w:val="00E76179"/>
    <w:rsid w:val="00E76229"/>
    <w:rsid w:val="00E76324"/>
    <w:rsid w:val="00E7665E"/>
    <w:rsid w:val="00E76EE0"/>
    <w:rsid w:val="00E76F7B"/>
    <w:rsid w:val="00E77101"/>
    <w:rsid w:val="00E7713B"/>
    <w:rsid w:val="00E77562"/>
    <w:rsid w:val="00E7774B"/>
    <w:rsid w:val="00E77B71"/>
    <w:rsid w:val="00E77C74"/>
    <w:rsid w:val="00E77F5D"/>
    <w:rsid w:val="00E80332"/>
    <w:rsid w:val="00E805C8"/>
    <w:rsid w:val="00E80AF6"/>
    <w:rsid w:val="00E81303"/>
    <w:rsid w:val="00E81332"/>
    <w:rsid w:val="00E818A6"/>
    <w:rsid w:val="00E81A48"/>
    <w:rsid w:val="00E81F0E"/>
    <w:rsid w:val="00E82121"/>
    <w:rsid w:val="00E823A8"/>
    <w:rsid w:val="00E82D05"/>
    <w:rsid w:val="00E82E4F"/>
    <w:rsid w:val="00E82F4D"/>
    <w:rsid w:val="00E83012"/>
    <w:rsid w:val="00E830FA"/>
    <w:rsid w:val="00E8321E"/>
    <w:rsid w:val="00E83A53"/>
    <w:rsid w:val="00E83A81"/>
    <w:rsid w:val="00E83AC4"/>
    <w:rsid w:val="00E8426D"/>
    <w:rsid w:val="00E843FC"/>
    <w:rsid w:val="00E844D5"/>
    <w:rsid w:val="00E846C7"/>
    <w:rsid w:val="00E847B1"/>
    <w:rsid w:val="00E847F0"/>
    <w:rsid w:val="00E8481B"/>
    <w:rsid w:val="00E849C6"/>
    <w:rsid w:val="00E84E9A"/>
    <w:rsid w:val="00E8502B"/>
    <w:rsid w:val="00E850D1"/>
    <w:rsid w:val="00E85198"/>
    <w:rsid w:val="00E85244"/>
    <w:rsid w:val="00E856F7"/>
    <w:rsid w:val="00E85734"/>
    <w:rsid w:val="00E8586A"/>
    <w:rsid w:val="00E8589C"/>
    <w:rsid w:val="00E85ADB"/>
    <w:rsid w:val="00E85C5B"/>
    <w:rsid w:val="00E85CD7"/>
    <w:rsid w:val="00E85E90"/>
    <w:rsid w:val="00E8606D"/>
    <w:rsid w:val="00E860A6"/>
    <w:rsid w:val="00E860F2"/>
    <w:rsid w:val="00E86193"/>
    <w:rsid w:val="00E862FB"/>
    <w:rsid w:val="00E8634B"/>
    <w:rsid w:val="00E864DE"/>
    <w:rsid w:val="00E86768"/>
    <w:rsid w:val="00E86D9F"/>
    <w:rsid w:val="00E8706B"/>
    <w:rsid w:val="00E87AF3"/>
    <w:rsid w:val="00E87E72"/>
    <w:rsid w:val="00E87FB8"/>
    <w:rsid w:val="00E903EE"/>
    <w:rsid w:val="00E9065D"/>
    <w:rsid w:val="00E909E5"/>
    <w:rsid w:val="00E91227"/>
    <w:rsid w:val="00E912D5"/>
    <w:rsid w:val="00E91BF3"/>
    <w:rsid w:val="00E91E05"/>
    <w:rsid w:val="00E9212E"/>
    <w:rsid w:val="00E923A4"/>
    <w:rsid w:val="00E924C5"/>
    <w:rsid w:val="00E92808"/>
    <w:rsid w:val="00E92A3E"/>
    <w:rsid w:val="00E92B4E"/>
    <w:rsid w:val="00E92C55"/>
    <w:rsid w:val="00E92D46"/>
    <w:rsid w:val="00E9325F"/>
    <w:rsid w:val="00E932AC"/>
    <w:rsid w:val="00E9334F"/>
    <w:rsid w:val="00E934AD"/>
    <w:rsid w:val="00E935F0"/>
    <w:rsid w:val="00E936A2"/>
    <w:rsid w:val="00E93790"/>
    <w:rsid w:val="00E93C9D"/>
    <w:rsid w:val="00E93DFF"/>
    <w:rsid w:val="00E93FF1"/>
    <w:rsid w:val="00E94021"/>
    <w:rsid w:val="00E9407A"/>
    <w:rsid w:val="00E942A3"/>
    <w:rsid w:val="00E94430"/>
    <w:rsid w:val="00E94442"/>
    <w:rsid w:val="00E94AB3"/>
    <w:rsid w:val="00E95147"/>
    <w:rsid w:val="00E9548E"/>
    <w:rsid w:val="00E95529"/>
    <w:rsid w:val="00E955B6"/>
    <w:rsid w:val="00E957B5"/>
    <w:rsid w:val="00E95A0B"/>
    <w:rsid w:val="00E95BC4"/>
    <w:rsid w:val="00E9603D"/>
    <w:rsid w:val="00E96988"/>
    <w:rsid w:val="00E969C1"/>
    <w:rsid w:val="00E96A33"/>
    <w:rsid w:val="00E96B89"/>
    <w:rsid w:val="00E96D49"/>
    <w:rsid w:val="00E97121"/>
    <w:rsid w:val="00E971E0"/>
    <w:rsid w:val="00E973E5"/>
    <w:rsid w:val="00E97954"/>
    <w:rsid w:val="00E97ADE"/>
    <w:rsid w:val="00EA0157"/>
    <w:rsid w:val="00EA0670"/>
    <w:rsid w:val="00EA0729"/>
    <w:rsid w:val="00EA0944"/>
    <w:rsid w:val="00EA0AC1"/>
    <w:rsid w:val="00EA0AF0"/>
    <w:rsid w:val="00EA0B89"/>
    <w:rsid w:val="00EA0CB2"/>
    <w:rsid w:val="00EA0CBA"/>
    <w:rsid w:val="00EA0E8E"/>
    <w:rsid w:val="00EA0E9D"/>
    <w:rsid w:val="00EA0FFB"/>
    <w:rsid w:val="00EA1078"/>
    <w:rsid w:val="00EA1783"/>
    <w:rsid w:val="00EA17D6"/>
    <w:rsid w:val="00EA1981"/>
    <w:rsid w:val="00EA1999"/>
    <w:rsid w:val="00EA1D56"/>
    <w:rsid w:val="00EA20A7"/>
    <w:rsid w:val="00EA2266"/>
    <w:rsid w:val="00EA22E7"/>
    <w:rsid w:val="00EA2456"/>
    <w:rsid w:val="00EA2551"/>
    <w:rsid w:val="00EA2635"/>
    <w:rsid w:val="00EA27CE"/>
    <w:rsid w:val="00EA298B"/>
    <w:rsid w:val="00EA29FB"/>
    <w:rsid w:val="00EA2A39"/>
    <w:rsid w:val="00EA2C04"/>
    <w:rsid w:val="00EA2FBF"/>
    <w:rsid w:val="00EA31A9"/>
    <w:rsid w:val="00EA3421"/>
    <w:rsid w:val="00EA34CE"/>
    <w:rsid w:val="00EA3554"/>
    <w:rsid w:val="00EA36CA"/>
    <w:rsid w:val="00EA3710"/>
    <w:rsid w:val="00EA39B7"/>
    <w:rsid w:val="00EA42BF"/>
    <w:rsid w:val="00EA43F0"/>
    <w:rsid w:val="00EA46DA"/>
    <w:rsid w:val="00EA495B"/>
    <w:rsid w:val="00EA4A15"/>
    <w:rsid w:val="00EA4B9E"/>
    <w:rsid w:val="00EA4FD6"/>
    <w:rsid w:val="00EA5158"/>
    <w:rsid w:val="00EA5338"/>
    <w:rsid w:val="00EA5521"/>
    <w:rsid w:val="00EA56B5"/>
    <w:rsid w:val="00EA57A7"/>
    <w:rsid w:val="00EA58F1"/>
    <w:rsid w:val="00EA5969"/>
    <w:rsid w:val="00EA598D"/>
    <w:rsid w:val="00EA5AAD"/>
    <w:rsid w:val="00EA5B6D"/>
    <w:rsid w:val="00EA5C14"/>
    <w:rsid w:val="00EA5D51"/>
    <w:rsid w:val="00EA5F9C"/>
    <w:rsid w:val="00EA609F"/>
    <w:rsid w:val="00EA614B"/>
    <w:rsid w:val="00EA6894"/>
    <w:rsid w:val="00EA6E20"/>
    <w:rsid w:val="00EA722E"/>
    <w:rsid w:val="00EA74CB"/>
    <w:rsid w:val="00EA779B"/>
    <w:rsid w:val="00EA7954"/>
    <w:rsid w:val="00EA7D4C"/>
    <w:rsid w:val="00EA7DBB"/>
    <w:rsid w:val="00EB02F2"/>
    <w:rsid w:val="00EB0414"/>
    <w:rsid w:val="00EB05A8"/>
    <w:rsid w:val="00EB0754"/>
    <w:rsid w:val="00EB0826"/>
    <w:rsid w:val="00EB0E74"/>
    <w:rsid w:val="00EB0FEB"/>
    <w:rsid w:val="00EB1446"/>
    <w:rsid w:val="00EB1627"/>
    <w:rsid w:val="00EB17F0"/>
    <w:rsid w:val="00EB1825"/>
    <w:rsid w:val="00EB1C10"/>
    <w:rsid w:val="00EB1DEE"/>
    <w:rsid w:val="00EB1FC1"/>
    <w:rsid w:val="00EB230D"/>
    <w:rsid w:val="00EB24BD"/>
    <w:rsid w:val="00EB2760"/>
    <w:rsid w:val="00EB2D27"/>
    <w:rsid w:val="00EB3447"/>
    <w:rsid w:val="00EB35DE"/>
    <w:rsid w:val="00EB35EA"/>
    <w:rsid w:val="00EB36DD"/>
    <w:rsid w:val="00EB38CC"/>
    <w:rsid w:val="00EB3A98"/>
    <w:rsid w:val="00EB3AB1"/>
    <w:rsid w:val="00EB3B64"/>
    <w:rsid w:val="00EB3BA3"/>
    <w:rsid w:val="00EB3C03"/>
    <w:rsid w:val="00EB3CC5"/>
    <w:rsid w:val="00EB40A1"/>
    <w:rsid w:val="00EB40ED"/>
    <w:rsid w:val="00EB46FD"/>
    <w:rsid w:val="00EB4849"/>
    <w:rsid w:val="00EB4BE6"/>
    <w:rsid w:val="00EB4CA2"/>
    <w:rsid w:val="00EB555B"/>
    <w:rsid w:val="00EB56CB"/>
    <w:rsid w:val="00EB5901"/>
    <w:rsid w:val="00EB5949"/>
    <w:rsid w:val="00EB5B37"/>
    <w:rsid w:val="00EB5B54"/>
    <w:rsid w:val="00EB5E79"/>
    <w:rsid w:val="00EB5FD3"/>
    <w:rsid w:val="00EB60A8"/>
    <w:rsid w:val="00EB60D2"/>
    <w:rsid w:val="00EB623D"/>
    <w:rsid w:val="00EB656D"/>
    <w:rsid w:val="00EB663E"/>
    <w:rsid w:val="00EB6C83"/>
    <w:rsid w:val="00EB6D99"/>
    <w:rsid w:val="00EB718F"/>
    <w:rsid w:val="00EB71B8"/>
    <w:rsid w:val="00EB7379"/>
    <w:rsid w:val="00EB7390"/>
    <w:rsid w:val="00EB7C09"/>
    <w:rsid w:val="00EB7C9B"/>
    <w:rsid w:val="00EB7D38"/>
    <w:rsid w:val="00EB7DA3"/>
    <w:rsid w:val="00EB7EEF"/>
    <w:rsid w:val="00EB7F38"/>
    <w:rsid w:val="00EC012A"/>
    <w:rsid w:val="00EC024F"/>
    <w:rsid w:val="00EC02A7"/>
    <w:rsid w:val="00EC03C2"/>
    <w:rsid w:val="00EC049F"/>
    <w:rsid w:val="00EC05AA"/>
    <w:rsid w:val="00EC0B97"/>
    <w:rsid w:val="00EC0BD5"/>
    <w:rsid w:val="00EC1B22"/>
    <w:rsid w:val="00EC1C9D"/>
    <w:rsid w:val="00EC20EB"/>
    <w:rsid w:val="00EC2535"/>
    <w:rsid w:val="00EC253D"/>
    <w:rsid w:val="00EC2779"/>
    <w:rsid w:val="00EC2851"/>
    <w:rsid w:val="00EC2AAD"/>
    <w:rsid w:val="00EC2B14"/>
    <w:rsid w:val="00EC2D9D"/>
    <w:rsid w:val="00EC2DB8"/>
    <w:rsid w:val="00EC2DCA"/>
    <w:rsid w:val="00EC2DF3"/>
    <w:rsid w:val="00EC3039"/>
    <w:rsid w:val="00EC3275"/>
    <w:rsid w:val="00EC3305"/>
    <w:rsid w:val="00EC3588"/>
    <w:rsid w:val="00EC3A62"/>
    <w:rsid w:val="00EC3B23"/>
    <w:rsid w:val="00EC3B4E"/>
    <w:rsid w:val="00EC3D70"/>
    <w:rsid w:val="00EC3E0F"/>
    <w:rsid w:val="00EC3FA8"/>
    <w:rsid w:val="00EC412C"/>
    <w:rsid w:val="00EC465C"/>
    <w:rsid w:val="00EC4BA4"/>
    <w:rsid w:val="00EC4BD7"/>
    <w:rsid w:val="00EC4D5E"/>
    <w:rsid w:val="00EC4ED0"/>
    <w:rsid w:val="00EC4F29"/>
    <w:rsid w:val="00EC5430"/>
    <w:rsid w:val="00EC54D1"/>
    <w:rsid w:val="00EC5707"/>
    <w:rsid w:val="00EC5748"/>
    <w:rsid w:val="00EC5986"/>
    <w:rsid w:val="00EC5C8E"/>
    <w:rsid w:val="00EC6035"/>
    <w:rsid w:val="00EC637A"/>
    <w:rsid w:val="00EC65F9"/>
    <w:rsid w:val="00EC679B"/>
    <w:rsid w:val="00EC6FA6"/>
    <w:rsid w:val="00EC71D6"/>
    <w:rsid w:val="00EC79DC"/>
    <w:rsid w:val="00EC7B73"/>
    <w:rsid w:val="00EC7F10"/>
    <w:rsid w:val="00ED012D"/>
    <w:rsid w:val="00ED0D79"/>
    <w:rsid w:val="00ED102D"/>
    <w:rsid w:val="00ED113F"/>
    <w:rsid w:val="00ED1847"/>
    <w:rsid w:val="00ED18A0"/>
    <w:rsid w:val="00ED1A52"/>
    <w:rsid w:val="00ED1B89"/>
    <w:rsid w:val="00ED1C77"/>
    <w:rsid w:val="00ED238F"/>
    <w:rsid w:val="00ED2AE7"/>
    <w:rsid w:val="00ED2B9F"/>
    <w:rsid w:val="00ED32B5"/>
    <w:rsid w:val="00ED337D"/>
    <w:rsid w:val="00ED3429"/>
    <w:rsid w:val="00ED3A0D"/>
    <w:rsid w:val="00ED3EC7"/>
    <w:rsid w:val="00ED3EF0"/>
    <w:rsid w:val="00ED4054"/>
    <w:rsid w:val="00ED41AB"/>
    <w:rsid w:val="00ED43FE"/>
    <w:rsid w:val="00ED4518"/>
    <w:rsid w:val="00ED46B0"/>
    <w:rsid w:val="00ED4AF4"/>
    <w:rsid w:val="00ED4B7A"/>
    <w:rsid w:val="00ED4C1A"/>
    <w:rsid w:val="00ED4E49"/>
    <w:rsid w:val="00ED4E4E"/>
    <w:rsid w:val="00ED5DA0"/>
    <w:rsid w:val="00ED5FF3"/>
    <w:rsid w:val="00ED603D"/>
    <w:rsid w:val="00ED6051"/>
    <w:rsid w:val="00ED67C6"/>
    <w:rsid w:val="00ED69C2"/>
    <w:rsid w:val="00ED6C08"/>
    <w:rsid w:val="00ED6CEF"/>
    <w:rsid w:val="00ED6E1C"/>
    <w:rsid w:val="00ED71E5"/>
    <w:rsid w:val="00ED736F"/>
    <w:rsid w:val="00ED755F"/>
    <w:rsid w:val="00ED76F7"/>
    <w:rsid w:val="00ED7989"/>
    <w:rsid w:val="00ED7E8A"/>
    <w:rsid w:val="00EE00E8"/>
    <w:rsid w:val="00EE0183"/>
    <w:rsid w:val="00EE02AC"/>
    <w:rsid w:val="00EE04C2"/>
    <w:rsid w:val="00EE0743"/>
    <w:rsid w:val="00EE0857"/>
    <w:rsid w:val="00EE0A2E"/>
    <w:rsid w:val="00EE0CA9"/>
    <w:rsid w:val="00EE0E0B"/>
    <w:rsid w:val="00EE0E80"/>
    <w:rsid w:val="00EE0FE2"/>
    <w:rsid w:val="00EE10A8"/>
    <w:rsid w:val="00EE11BA"/>
    <w:rsid w:val="00EE1596"/>
    <w:rsid w:val="00EE15E5"/>
    <w:rsid w:val="00EE1697"/>
    <w:rsid w:val="00EE180F"/>
    <w:rsid w:val="00EE188E"/>
    <w:rsid w:val="00EE18DC"/>
    <w:rsid w:val="00EE1CD6"/>
    <w:rsid w:val="00EE1D48"/>
    <w:rsid w:val="00EE2003"/>
    <w:rsid w:val="00EE2181"/>
    <w:rsid w:val="00EE26A6"/>
    <w:rsid w:val="00EE27C4"/>
    <w:rsid w:val="00EE2C36"/>
    <w:rsid w:val="00EE2C99"/>
    <w:rsid w:val="00EE2F47"/>
    <w:rsid w:val="00EE2FF6"/>
    <w:rsid w:val="00EE33F9"/>
    <w:rsid w:val="00EE3460"/>
    <w:rsid w:val="00EE3BB7"/>
    <w:rsid w:val="00EE3C4E"/>
    <w:rsid w:val="00EE3DEE"/>
    <w:rsid w:val="00EE407E"/>
    <w:rsid w:val="00EE4241"/>
    <w:rsid w:val="00EE454C"/>
    <w:rsid w:val="00EE4D2A"/>
    <w:rsid w:val="00EE4DEB"/>
    <w:rsid w:val="00EE51B7"/>
    <w:rsid w:val="00EE54AC"/>
    <w:rsid w:val="00EE54BF"/>
    <w:rsid w:val="00EE5762"/>
    <w:rsid w:val="00EE5A29"/>
    <w:rsid w:val="00EE5C58"/>
    <w:rsid w:val="00EE5D88"/>
    <w:rsid w:val="00EE5E0D"/>
    <w:rsid w:val="00EE5E67"/>
    <w:rsid w:val="00EE6181"/>
    <w:rsid w:val="00EE63F6"/>
    <w:rsid w:val="00EE64A2"/>
    <w:rsid w:val="00EE68EA"/>
    <w:rsid w:val="00EE6A16"/>
    <w:rsid w:val="00EE6ADF"/>
    <w:rsid w:val="00EE6D99"/>
    <w:rsid w:val="00EE7063"/>
    <w:rsid w:val="00EE71DF"/>
    <w:rsid w:val="00EE7266"/>
    <w:rsid w:val="00EE738F"/>
    <w:rsid w:val="00EE750F"/>
    <w:rsid w:val="00EE751A"/>
    <w:rsid w:val="00EE756D"/>
    <w:rsid w:val="00EE78CD"/>
    <w:rsid w:val="00EE795F"/>
    <w:rsid w:val="00EE7AB7"/>
    <w:rsid w:val="00EE7FB5"/>
    <w:rsid w:val="00EF013D"/>
    <w:rsid w:val="00EF09FC"/>
    <w:rsid w:val="00EF0FA2"/>
    <w:rsid w:val="00EF1054"/>
    <w:rsid w:val="00EF11BF"/>
    <w:rsid w:val="00EF14AA"/>
    <w:rsid w:val="00EF14B1"/>
    <w:rsid w:val="00EF15C4"/>
    <w:rsid w:val="00EF1699"/>
    <w:rsid w:val="00EF19F9"/>
    <w:rsid w:val="00EF20C4"/>
    <w:rsid w:val="00EF241E"/>
    <w:rsid w:val="00EF24D1"/>
    <w:rsid w:val="00EF25D5"/>
    <w:rsid w:val="00EF2A78"/>
    <w:rsid w:val="00EF2EDD"/>
    <w:rsid w:val="00EF3250"/>
    <w:rsid w:val="00EF3483"/>
    <w:rsid w:val="00EF3AEF"/>
    <w:rsid w:val="00EF3B6A"/>
    <w:rsid w:val="00EF3BBA"/>
    <w:rsid w:val="00EF3C56"/>
    <w:rsid w:val="00EF478A"/>
    <w:rsid w:val="00EF4A48"/>
    <w:rsid w:val="00EF4DCD"/>
    <w:rsid w:val="00EF4E94"/>
    <w:rsid w:val="00EF51C7"/>
    <w:rsid w:val="00EF5268"/>
    <w:rsid w:val="00EF52CA"/>
    <w:rsid w:val="00EF559F"/>
    <w:rsid w:val="00EF59FB"/>
    <w:rsid w:val="00EF5A21"/>
    <w:rsid w:val="00EF5BD1"/>
    <w:rsid w:val="00EF5C21"/>
    <w:rsid w:val="00EF5C22"/>
    <w:rsid w:val="00EF62F0"/>
    <w:rsid w:val="00EF659C"/>
    <w:rsid w:val="00EF6F3B"/>
    <w:rsid w:val="00EF7A47"/>
    <w:rsid w:val="00EF7B6B"/>
    <w:rsid w:val="00EF7DCF"/>
    <w:rsid w:val="00EF7F8C"/>
    <w:rsid w:val="00EF7FFC"/>
    <w:rsid w:val="00F00118"/>
    <w:rsid w:val="00F001E3"/>
    <w:rsid w:val="00F0034C"/>
    <w:rsid w:val="00F00383"/>
    <w:rsid w:val="00F00747"/>
    <w:rsid w:val="00F007B8"/>
    <w:rsid w:val="00F007EC"/>
    <w:rsid w:val="00F00DC5"/>
    <w:rsid w:val="00F00DCA"/>
    <w:rsid w:val="00F0119D"/>
    <w:rsid w:val="00F01243"/>
    <w:rsid w:val="00F01395"/>
    <w:rsid w:val="00F014DC"/>
    <w:rsid w:val="00F0180D"/>
    <w:rsid w:val="00F01833"/>
    <w:rsid w:val="00F0194C"/>
    <w:rsid w:val="00F01AC8"/>
    <w:rsid w:val="00F01C6F"/>
    <w:rsid w:val="00F01CC7"/>
    <w:rsid w:val="00F01D22"/>
    <w:rsid w:val="00F01D6E"/>
    <w:rsid w:val="00F01DBA"/>
    <w:rsid w:val="00F02016"/>
    <w:rsid w:val="00F02214"/>
    <w:rsid w:val="00F022E9"/>
    <w:rsid w:val="00F02349"/>
    <w:rsid w:val="00F026CD"/>
    <w:rsid w:val="00F027AD"/>
    <w:rsid w:val="00F029EC"/>
    <w:rsid w:val="00F02A6A"/>
    <w:rsid w:val="00F02BED"/>
    <w:rsid w:val="00F02C61"/>
    <w:rsid w:val="00F0319D"/>
    <w:rsid w:val="00F03498"/>
    <w:rsid w:val="00F03AFB"/>
    <w:rsid w:val="00F042A5"/>
    <w:rsid w:val="00F042BD"/>
    <w:rsid w:val="00F043D3"/>
    <w:rsid w:val="00F0463A"/>
    <w:rsid w:val="00F04795"/>
    <w:rsid w:val="00F048E6"/>
    <w:rsid w:val="00F04DE7"/>
    <w:rsid w:val="00F04EF2"/>
    <w:rsid w:val="00F04FEE"/>
    <w:rsid w:val="00F052B5"/>
    <w:rsid w:val="00F0539E"/>
    <w:rsid w:val="00F0578C"/>
    <w:rsid w:val="00F05790"/>
    <w:rsid w:val="00F057FE"/>
    <w:rsid w:val="00F05B11"/>
    <w:rsid w:val="00F05EA8"/>
    <w:rsid w:val="00F06025"/>
    <w:rsid w:val="00F0613D"/>
    <w:rsid w:val="00F06341"/>
    <w:rsid w:val="00F06407"/>
    <w:rsid w:val="00F06848"/>
    <w:rsid w:val="00F0685B"/>
    <w:rsid w:val="00F06AA4"/>
    <w:rsid w:val="00F06BE7"/>
    <w:rsid w:val="00F06E03"/>
    <w:rsid w:val="00F06E5A"/>
    <w:rsid w:val="00F070CB"/>
    <w:rsid w:val="00F07337"/>
    <w:rsid w:val="00F073A9"/>
    <w:rsid w:val="00F0773F"/>
    <w:rsid w:val="00F07882"/>
    <w:rsid w:val="00F07C5F"/>
    <w:rsid w:val="00F1007C"/>
    <w:rsid w:val="00F10251"/>
    <w:rsid w:val="00F10278"/>
    <w:rsid w:val="00F10A04"/>
    <w:rsid w:val="00F10C2D"/>
    <w:rsid w:val="00F10CFA"/>
    <w:rsid w:val="00F10E76"/>
    <w:rsid w:val="00F111CB"/>
    <w:rsid w:val="00F11322"/>
    <w:rsid w:val="00F11553"/>
    <w:rsid w:val="00F115A8"/>
    <w:rsid w:val="00F11627"/>
    <w:rsid w:val="00F11CDC"/>
    <w:rsid w:val="00F1242F"/>
    <w:rsid w:val="00F1246C"/>
    <w:rsid w:val="00F126D9"/>
    <w:rsid w:val="00F12968"/>
    <w:rsid w:val="00F12D06"/>
    <w:rsid w:val="00F12D4E"/>
    <w:rsid w:val="00F12DE6"/>
    <w:rsid w:val="00F12FAC"/>
    <w:rsid w:val="00F130A7"/>
    <w:rsid w:val="00F135FD"/>
    <w:rsid w:val="00F1360F"/>
    <w:rsid w:val="00F136A4"/>
    <w:rsid w:val="00F13792"/>
    <w:rsid w:val="00F138A3"/>
    <w:rsid w:val="00F13C18"/>
    <w:rsid w:val="00F1412E"/>
    <w:rsid w:val="00F1448A"/>
    <w:rsid w:val="00F14C3D"/>
    <w:rsid w:val="00F14C4D"/>
    <w:rsid w:val="00F14E35"/>
    <w:rsid w:val="00F14E42"/>
    <w:rsid w:val="00F14F93"/>
    <w:rsid w:val="00F1504F"/>
    <w:rsid w:val="00F1506F"/>
    <w:rsid w:val="00F1511C"/>
    <w:rsid w:val="00F1537F"/>
    <w:rsid w:val="00F156C0"/>
    <w:rsid w:val="00F156E2"/>
    <w:rsid w:val="00F158C3"/>
    <w:rsid w:val="00F15A92"/>
    <w:rsid w:val="00F15AF2"/>
    <w:rsid w:val="00F15E3A"/>
    <w:rsid w:val="00F16024"/>
    <w:rsid w:val="00F165D0"/>
    <w:rsid w:val="00F16806"/>
    <w:rsid w:val="00F16B3C"/>
    <w:rsid w:val="00F16D2C"/>
    <w:rsid w:val="00F16DD0"/>
    <w:rsid w:val="00F16E05"/>
    <w:rsid w:val="00F16ECF"/>
    <w:rsid w:val="00F172A8"/>
    <w:rsid w:val="00F173AE"/>
    <w:rsid w:val="00F17601"/>
    <w:rsid w:val="00F1765C"/>
    <w:rsid w:val="00F1786F"/>
    <w:rsid w:val="00F17BDE"/>
    <w:rsid w:val="00F17BDF"/>
    <w:rsid w:val="00F17C31"/>
    <w:rsid w:val="00F17DDA"/>
    <w:rsid w:val="00F17EF4"/>
    <w:rsid w:val="00F2002E"/>
    <w:rsid w:val="00F2037F"/>
    <w:rsid w:val="00F20776"/>
    <w:rsid w:val="00F2089C"/>
    <w:rsid w:val="00F20DB1"/>
    <w:rsid w:val="00F21100"/>
    <w:rsid w:val="00F21298"/>
    <w:rsid w:val="00F21598"/>
    <w:rsid w:val="00F2160F"/>
    <w:rsid w:val="00F21669"/>
    <w:rsid w:val="00F217DD"/>
    <w:rsid w:val="00F21A85"/>
    <w:rsid w:val="00F21BBA"/>
    <w:rsid w:val="00F21C8C"/>
    <w:rsid w:val="00F2227A"/>
    <w:rsid w:val="00F2239A"/>
    <w:rsid w:val="00F224CE"/>
    <w:rsid w:val="00F227DF"/>
    <w:rsid w:val="00F229B0"/>
    <w:rsid w:val="00F22AEC"/>
    <w:rsid w:val="00F22B26"/>
    <w:rsid w:val="00F22EE6"/>
    <w:rsid w:val="00F23279"/>
    <w:rsid w:val="00F23669"/>
    <w:rsid w:val="00F237C4"/>
    <w:rsid w:val="00F238A7"/>
    <w:rsid w:val="00F23C8B"/>
    <w:rsid w:val="00F23E4D"/>
    <w:rsid w:val="00F23E67"/>
    <w:rsid w:val="00F23E6B"/>
    <w:rsid w:val="00F23F56"/>
    <w:rsid w:val="00F23FF0"/>
    <w:rsid w:val="00F24284"/>
    <w:rsid w:val="00F24321"/>
    <w:rsid w:val="00F24353"/>
    <w:rsid w:val="00F2440A"/>
    <w:rsid w:val="00F24A4E"/>
    <w:rsid w:val="00F252F6"/>
    <w:rsid w:val="00F2530B"/>
    <w:rsid w:val="00F25642"/>
    <w:rsid w:val="00F2566C"/>
    <w:rsid w:val="00F2567A"/>
    <w:rsid w:val="00F256D0"/>
    <w:rsid w:val="00F2579D"/>
    <w:rsid w:val="00F25A65"/>
    <w:rsid w:val="00F25B0F"/>
    <w:rsid w:val="00F25CDD"/>
    <w:rsid w:val="00F25D6A"/>
    <w:rsid w:val="00F25F49"/>
    <w:rsid w:val="00F26016"/>
    <w:rsid w:val="00F260D5"/>
    <w:rsid w:val="00F262D2"/>
    <w:rsid w:val="00F26652"/>
    <w:rsid w:val="00F26759"/>
    <w:rsid w:val="00F26B73"/>
    <w:rsid w:val="00F26BE2"/>
    <w:rsid w:val="00F26EBF"/>
    <w:rsid w:val="00F26F34"/>
    <w:rsid w:val="00F27459"/>
    <w:rsid w:val="00F27AEA"/>
    <w:rsid w:val="00F27CC7"/>
    <w:rsid w:val="00F27E1F"/>
    <w:rsid w:val="00F3008A"/>
    <w:rsid w:val="00F30248"/>
    <w:rsid w:val="00F302E6"/>
    <w:rsid w:val="00F304FD"/>
    <w:rsid w:val="00F3057D"/>
    <w:rsid w:val="00F3062F"/>
    <w:rsid w:val="00F30767"/>
    <w:rsid w:val="00F309CE"/>
    <w:rsid w:val="00F30AC5"/>
    <w:rsid w:val="00F30C7B"/>
    <w:rsid w:val="00F30CEC"/>
    <w:rsid w:val="00F30F0F"/>
    <w:rsid w:val="00F30F4C"/>
    <w:rsid w:val="00F30FBA"/>
    <w:rsid w:val="00F311A6"/>
    <w:rsid w:val="00F31346"/>
    <w:rsid w:val="00F317DA"/>
    <w:rsid w:val="00F31B6C"/>
    <w:rsid w:val="00F31DCC"/>
    <w:rsid w:val="00F324EB"/>
    <w:rsid w:val="00F325DF"/>
    <w:rsid w:val="00F3286E"/>
    <w:rsid w:val="00F32C2F"/>
    <w:rsid w:val="00F32E1C"/>
    <w:rsid w:val="00F3304A"/>
    <w:rsid w:val="00F330B4"/>
    <w:rsid w:val="00F330C2"/>
    <w:rsid w:val="00F331AC"/>
    <w:rsid w:val="00F33276"/>
    <w:rsid w:val="00F33536"/>
    <w:rsid w:val="00F335C9"/>
    <w:rsid w:val="00F3363F"/>
    <w:rsid w:val="00F3367C"/>
    <w:rsid w:val="00F33756"/>
    <w:rsid w:val="00F33C16"/>
    <w:rsid w:val="00F33E5B"/>
    <w:rsid w:val="00F33FD8"/>
    <w:rsid w:val="00F34168"/>
    <w:rsid w:val="00F341C0"/>
    <w:rsid w:val="00F342A8"/>
    <w:rsid w:val="00F34318"/>
    <w:rsid w:val="00F347BB"/>
    <w:rsid w:val="00F34815"/>
    <w:rsid w:val="00F34E54"/>
    <w:rsid w:val="00F34EEA"/>
    <w:rsid w:val="00F34F79"/>
    <w:rsid w:val="00F353D3"/>
    <w:rsid w:val="00F35424"/>
    <w:rsid w:val="00F3558A"/>
    <w:rsid w:val="00F355ED"/>
    <w:rsid w:val="00F3568A"/>
    <w:rsid w:val="00F357CC"/>
    <w:rsid w:val="00F359D8"/>
    <w:rsid w:val="00F35A3E"/>
    <w:rsid w:val="00F35AA8"/>
    <w:rsid w:val="00F35DAE"/>
    <w:rsid w:val="00F36012"/>
    <w:rsid w:val="00F36675"/>
    <w:rsid w:val="00F36C85"/>
    <w:rsid w:val="00F36E01"/>
    <w:rsid w:val="00F3701C"/>
    <w:rsid w:val="00F370C1"/>
    <w:rsid w:val="00F3726E"/>
    <w:rsid w:val="00F3729B"/>
    <w:rsid w:val="00F37358"/>
    <w:rsid w:val="00F377A5"/>
    <w:rsid w:val="00F37E11"/>
    <w:rsid w:val="00F37FEC"/>
    <w:rsid w:val="00F4055F"/>
    <w:rsid w:val="00F4056C"/>
    <w:rsid w:val="00F406F9"/>
    <w:rsid w:val="00F4072D"/>
    <w:rsid w:val="00F40C53"/>
    <w:rsid w:val="00F40C8B"/>
    <w:rsid w:val="00F40D34"/>
    <w:rsid w:val="00F40D97"/>
    <w:rsid w:val="00F40E08"/>
    <w:rsid w:val="00F410C8"/>
    <w:rsid w:val="00F4162A"/>
    <w:rsid w:val="00F41975"/>
    <w:rsid w:val="00F41BF7"/>
    <w:rsid w:val="00F41D03"/>
    <w:rsid w:val="00F41E5F"/>
    <w:rsid w:val="00F41E98"/>
    <w:rsid w:val="00F41ECD"/>
    <w:rsid w:val="00F428DF"/>
    <w:rsid w:val="00F42979"/>
    <w:rsid w:val="00F42CBC"/>
    <w:rsid w:val="00F4304B"/>
    <w:rsid w:val="00F431EB"/>
    <w:rsid w:val="00F432F1"/>
    <w:rsid w:val="00F435F6"/>
    <w:rsid w:val="00F437BA"/>
    <w:rsid w:val="00F437E1"/>
    <w:rsid w:val="00F43970"/>
    <w:rsid w:val="00F439DF"/>
    <w:rsid w:val="00F43CAE"/>
    <w:rsid w:val="00F43F62"/>
    <w:rsid w:val="00F43F71"/>
    <w:rsid w:val="00F440B2"/>
    <w:rsid w:val="00F4413C"/>
    <w:rsid w:val="00F441DC"/>
    <w:rsid w:val="00F4468F"/>
    <w:rsid w:val="00F44769"/>
    <w:rsid w:val="00F44A50"/>
    <w:rsid w:val="00F44CA9"/>
    <w:rsid w:val="00F44EA7"/>
    <w:rsid w:val="00F4517C"/>
    <w:rsid w:val="00F45C1E"/>
    <w:rsid w:val="00F45DC9"/>
    <w:rsid w:val="00F45E5E"/>
    <w:rsid w:val="00F45EE5"/>
    <w:rsid w:val="00F45EFC"/>
    <w:rsid w:val="00F46174"/>
    <w:rsid w:val="00F462F4"/>
    <w:rsid w:val="00F46341"/>
    <w:rsid w:val="00F464C6"/>
    <w:rsid w:val="00F46735"/>
    <w:rsid w:val="00F467F5"/>
    <w:rsid w:val="00F467F9"/>
    <w:rsid w:val="00F46884"/>
    <w:rsid w:val="00F468A2"/>
    <w:rsid w:val="00F46EBE"/>
    <w:rsid w:val="00F47260"/>
    <w:rsid w:val="00F47366"/>
    <w:rsid w:val="00F4751D"/>
    <w:rsid w:val="00F47559"/>
    <w:rsid w:val="00F476AA"/>
    <w:rsid w:val="00F4799A"/>
    <w:rsid w:val="00F47A0F"/>
    <w:rsid w:val="00F50488"/>
    <w:rsid w:val="00F505AA"/>
    <w:rsid w:val="00F50617"/>
    <w:rsid w:val="00F5061D"/>
    <w:rsid w:val="00F51293"/>
    <w:rsid w:val="00F515F1"/>
    <w:rsid w:val="00F517E4"/>
    <w:rsid w:val="00F51C0D"/>
    <w:rsid w:val="00F51C8F"/>
    <w:rsid w:val="00F51CD2"/>
    <w:rsid w:val="00F51FCB"/>
    <w:rsid w:val="00F52190"/>
    <w:rsid w:val="00F523B6"/>
    <w:rsid w:val="00F525B3"/>
    <w:rsid w:val="00F5269C"/>
    <w:rsid w:val="00F52883"/>
    <w:rsid w:val="00F52B13"/>
    <w:rsid w:val="00F52C30"/>
    <w:rsid w:val="00F52C5E"/>
    <w:rsid w:val="00F52E68"/>
    <w:rsid w:val="00F52F8E"/>
    <w:rsid w:val="00F5326F"/>
    <w:rsid w:val="00F53313"/>
    <w:rsid w:val="00F53378"/>
    <w:rsid w:val="00F53379"/>
    <w:rsid w:val="00F537BC"/>
    <w:rsid w:val="00F53AB1"/>
    <w:rsid w:val="00F53C2E"/>
    <w:rsid w:val="00F541E4"/>
    <w:rsid w:val="00F541ED"/>
    <w:rsid w:val="00F54440"/>
    <w:rsid w:val="00F5448C"/>
    <w:rsid w:val="00F54750"/>
    <w:rsid w:val="00F5511D"/>
    <w:rsid w:val="00F551E1"/>
    <w:rsid w:val="00F55944"/>
    <w:rsid w:val="00F55A15"/>
    <w:rsid w:val="00F55B40"/>
    <w:rsid w:val="00F55B4D"/>
    <w:rsid w:val="00F55DC8"/>
    <w:rsid w:val="00F55FA6"/>
    <w:rsid w:val="00F56146"/>
    <w:rsid w:val="00F56234"/>
    <w:rsid w:val="00F56468"/>
    <w:rsid w:val="00F5673F"/>
    <w:rsid w:val="00F567AE"/>
    <w:rsid w:val="00F56C0D"/>
    <w:rsid w:val="00F56C2B"/>
    <w:rsid w:val="00F56DEC"/>
    <w:rsid w:val="00F56F34"/>
    <w:rsid w:val="00F5721A"/>
    <w:rsid w:val="00F57388"/>
    <w:rsid w:val="00F5738D"/>
    <w:rsid w:val="00F5789C"/>
    <w:rsid w:val="00F579D5"/>
    <w:rsid w:val="00F57CBB"/>
    <w:rsid w:val="00F57DB7"/>
    <w:rsid w:val="00F57E0C"/>
    <w:rsid w:val="00F57E42"/>
    <w:rsid w:val="00F57E9C"/>
    <w:rsid w:val="00F57FE8"/>
    <w:rsid w:val="00F60977"/>
    <w:rsid w:val="00F60987"/>
    <w:rsid w:val="00F60F40"/>
    <w:rsid w:val="00F61061"/>
    <w:rsid w:val="00F61066"/>
    <w:rsid w:val="00F61383"/>
    <w:rsid w:val="00F6170D"/>
    <w:rsid w:val="00F6182D"/>
    <w:rsid w:val="00F61915"/>
    <w:rsid w:val="00F61932"/>
    <w:rsid w:val="00F61C0C"/>
    <w:rsid w:val="00F61CF4"/>
    <w:rsid w:val="00F61D2F"/>
    <w:rsid w:val="00F61E68"/>
    <w:rsid w:val="00F6211E"/>
    <w:rsid w:val="00F6215B"/>
    <w:rsid w:val="00F62195"/>
    <w:rsid w:val="00F62519"/>
    <w:rsid w:val="00F6288B"/>
    <w:rsid w:val="00F62961"/>
    <w:rsid w:val="00F62CC4"/>
    <w:rsid w:val="00F62E8D"/>
    <w:rsid w:val="00F63292"/>
    <w:rsid w:val="00F6374C"/>
    <w:rsid w:val="00F63A6D"/>
    <w:rsid w:val="00F63ACE"/>
    <w:rsid w:val="00F63C56"/>
    <w:rsid w:val="00F63E68"/>
    <w:rsid w:val="00F63F68"/>
    <w:rsid w:val="00F6412E"/>
    <w:rsid w:val="00F644FE"/>
    <w:rsid w:val="00F64593"/>
    <w:rsid w:val="00F64999"/>
    <w:rsid w:val="00F64A6E"/>
    <w:rsid w:val="00F64ADD"/>
    <w:rsid w:val="00F64AEE"/>
    <w:rsid w:val="00F64BB6"/>
    <w:rsid w:val="00F64BDE"/>
    <w:rsid w:val="00F64E2F"/>
    <w:rsid w:val="00F64F04"/>
    <w:rsid w:val="00F64F26"/>
    <w:rsid w:val="00F6510A"/>
    <w:rsid w:val="00F653D8"/>
    <w:rsid w:val="00F6569C"/>
    <w:rsid w:val="00F6581C"/>
    <w:rsid w:val="00F65CDA"/>
    <w:rsid w:val="00F65E82"/>
    <w:rsid w:val="00F65F53"/>
    <w:rsid w:val="00F66317"/>
    <w:rsid w:val="00F66340"/>
    <w:rsid w:val="00F665E2"/>
    <w:rsid w:val="00F6662A"/>
    <w:rsid w:val="00F66826"/>
    <w:rsid w:val="00F6686F"/>
    <w:rsid w:val="00F6696D"/>
    <w:rsid w:val="00F66C65"/>
    <w:rsid w:val="00F66D3B"/>
    <w:rsid w:val="00F66E84"/>
    <w:rsid w:val="00F670A8"/>
    <w:rsid w:val="00F67283"/>
    <w:rsid w:val="00F67344"/>
    <w:rsid w:val="00F675F6"/>
    <w:rsid w:val="00F678C5"/>
    <w:rsid w:val="00F67904"/>
    <w:rsid w:val="00F679B1"/>
    <w:rsid w:val="00F67DCA"/>
    <w:rsid w:val="00F67EC3"/>
    <w:rsid w:val="00F7021F"/>
    <w:rsid w:val="00F70245"/>
    <w:rsid w:val="00F70384"/>
    <w:rsid w:val="00F7043C"/>
    <w:rsid w:val="00F707C2"/>
    <w:rsid w:val="00F707F1"/>
    <w:rsid w:val="00F7086A"/>
    <w:rsid w:val="00F70E35"/>
    <w:rsid w:val="00F70F51"/>
    <w:rsid w:val="00F71063"/>
    <w:rsid w:val="00F710E0"/>
    <w:rsid w:val="00F71592"/>
    <w:rsid w:val="00F716B0"/>
    <w:rsid w:val="00F719CD"/>
    <w:rsid w:val="00F71BAF"/>
    <w:rsid w:val="00F71D20"/>
    <w:rsid w:val="00F71D5C"/>
    <w:rsid w:val="00F71D8A"/>
    <w:rsid w:val="00F724FB"/>
    <w:rsid w:val="00F726F0"/>
    <w:rsid w:val="00F72718"/>
    <w:rsid w:val="00F7277C"/>
    <w:rsid w:val="00F72846"/>
    <w:rsid w:val="00F72C58"/>
    <w:rsid w:val="00F72C84"/>
    <w:rsid w:val="00F72DA2"/>
    <w:rsid w:val="00F72DF9"/>
    <w:rsid w:val="00F72F23"/>
    <w:rsid w:val="00F736E4"/>
    <w:rsid w:val="00F73C63"/>
    <w:rsid w:val="00F73C8D"/>
    <w:rsid w:val="00F73D24"/>
    <w:rsid w:val="00F73F60"/>
    <w:rsid w:val="00F74033"/>
    <w:rsid w:val="00F741D0"/>
    <w:rsid w:val="00F7437D"/>
    <w:rsid w:val="00F74424"/>
    <w:rsid w:val="00F74A74"/>
    <w:rsid w:val="00F750DA"/>
    <w:rsid w:val="00F757AF"/>
    <w:rsid w:val="00F75A66"/>
    <w:rsid w:val="00F75E35"/>
    <w:rsid w:val="00F75F1C"/>
    <w:rsid w:val="00F766A0"/>
    <w:rsid w:val="00F769F4"/>
    <w:rsid w:val="00F76BA7"/>
    <w:rsid w:val="00F76CA7"/>
    <w:rsid w:val="00F76D98"/>
    <w:rsid w:val="00F76F57"/>
    <w:rsid w:val="00F76FD9"/>
    <w:rsid w:val="00F772B7"/>
    <w:rsid w:val="00F77632"/>
    <w:rsid w:val="00F77853"/>
    <w:rsid w:val="00F77BDF"/>
    <w:rsid w:val="00F77D5B"/>
    <w:rsid w:val="00F77D6B"/>
    <w:rsid w:val="00F80027"/>
    <w:rsid w:val="00F80079"/>
    <w:rsid w:val="00F804C2"/>
    <w:rsid w:val="00F80BAD"/>
    <w:rsid w:val="00F80C77"/>
    <w:rsid w:val="00F80F21"/>
    <w:rsid w:val="00F80F22"/>
    <w:rsid w:val="00F80F65"/>
    <w:rsid w:val="00F80F8D"/>
    <w:rsid w:val="00F80FF4"/>
    <w:rsid w:val="00F810BE"/>
    <w:rsid w:val="00F811CF"/>
    <w:rsid w:val="00F811FB"/>
    <w:rsid w:val="00F813DF"/>
    <w:rsid w:val="00F8152D"/>
    <w:rsid w:val="00F815F9"/>
    <w:rsid w:val="00F81892"/>
    <w:rsid w:val="00F819CC"/>
    <w:rsid w:val="00F81A10"/>
    <w:rsid w:val="00F81A1B"/>
    <w:rsid w:val="00F822D2"/>
    <w:rsid w:val="00F82461"/>
    <w:rsid w:val="00F825DA"/>
    <w:rsid w:val="00F827AB"/>
    <w:rsid w:val="00F82B92"/>
    <w:rsid w:val="00F82EF4"/>
    <w:rsid w:val="00F831CE"/>
    <w:rsid w:val="00F83355"/>
    <w:rsid w:val="00F837E7"/>
    <w:rsid w:val="00F83AA9"/>
    <w:rsid w:val="00F83C9C"/>
    <w:rsid w:val="00F841DB"/>
    <w:rsid w:val="00F84492"/>
    <w:rsid w:val="00F84495"/>
    <w:rsid w:val="00F84C27"/>
    <w:rsid w:val="00F84F83"/>
    <w:rsid w:val="00F8520E"/>
    <w:rsid w:val="00F85586"/>
    <w:rsid w:val="00F8576D"/>
    <w:rsid w:val="00F859CD"/>
    <w:rsid w:val="00F85B00"/>
    <w:rsid w:val="00F85B81"/>
    <w:rsid w:val="00F85CBE"/>
    <w:rsid w:val="00F85CFA"/>
    <w:rsid w:val="00F85E82"/>
    <w:rsid w:val="00F8629A"/>
    <w:rsid w:val="00F865AC"/>
    <w:rsid w:val="00F865F2"/>
    <w:rsid w:val="00F86751"/>
    <w:rsid w:val="00F86A6B"/>
    <w:rsid w:val="00F86F04"/>
    <w:rsid w:val="00F872D7"/>
    <w:rsid w:val="00F87605"/>
    <w:rsid w:val="00F8767D"/>
    <w:rsid w:val="00F8778E"/>
    <w:rsid w:val="00F87A27"/>
    <w:rsid w:val="00F87A97"/>
    <w:rsid w:val="00F87D1E"/>
    <w:rsid w:val="00F8B058"/>
    <w:rsid w:val="00F900FF"/>
    <w:rsid w:val="00F90205"/>
    <w:rsid w:val="00F9024B"/>
    <w:rsid w:val="00F902E8"/>
    <w:rsid w:val="00F906BB"/>
    <w:rsid w:val="00F90836"/>
    <w:rsid w:val="00F91609"/>
    <w:rsid w:val="00F91983"/>
    <w:rsid w:val="00F91C8E"/>
    <w:rsid w:val="00F91CC7"/>
    <w:rsid w:val="00F91D4C"/>
    <w:rsid w:val="00F92204"/>
    <w:rsid w:val="00F922CE"/>
    <w:rsid w:val="00F9233F"/>
    <w:rsid w:val="00F92874"/>
    <w:rsid w:val="00F92CDF"/>
    <w:rsid w:val="00F92DDA"/>
    <w:rsid w:val="00F92EF7"/>
    <w:rsid w:val="00F92F05"/>
    <w:rsid w:val="00F931D9"/>
    <w:rsid w:val="00F932E2"/>
    <w:rsid w:val="00F9356E"/>
    <w:rsid w:val="00F936D9"/>
    <w:rsid w:val="00F9384C"/>
    <w:rsid w:val="00F93885"/>
    <w:rsid w:val="00F9390C"/>
    <w:rsid w:val="00F93948"/>
    <w:rsid w:val="00F93A35"/>
    <w:rsid w:val="00F93C60"/>
    <w:rsid w:val="00F93D76"/>
    <w:rsid w:val="00F94029"/>
    <w:rsid w:val="00F941B4"/>
    <w:rsid w:val="00F9421C"/>
    <w:rsid w:val="00F94558"/>
    <w:rsid w:val="00F94757"/>
    <w:rsid w:val="00F94986"/>
    <w:rsid w:val="00F95365"/>
    <w:rsid w:val="00F954B5"/>
    <w:rsid w:val="00F95D43"/>
    <w:rsid w:val="00F95E99"/>
    <w:rsid w:val="00F95F62"/>
    <w:rsid w:val="00F9602D"/>
    <w:rsid w:val="00F9641E"/>
    <w:rsid w:val="00F96934"/>
    <w:rsid w:val="00F969DF"/>
    <w:rsid w:val="00F96A78"/>
    <w:rsid w:val="00F96DFA"/>
    <w:rsid w:val="00F96E02"/>
    <w:rsid w:val="00F96ECF"/>
    <w:rsid w:val="00F96EFD"/>
    <w:rsid w:val="00F97487"/>
    <w:rsid w:val="00F974B3"/>
    <w:rsid w:val="00F97550"/>
    <w:rsid w:val="00F97C61"/>
    <w:rsid w:val="00F97CC9"/>
    <w:rsid w:val="00F97F09"/>
    <w:rsid w:val="00FA0174"/>
    <w:rsid w:val="00FA041C"/>
    <w:rsid w:val="00FA05CC"/>
    <w:rsid w:val="00FA0609"/>
    <w:rsid w:val="00FA063F"/>
    <w:rsid w:val="00FA06AC"/>
    <w:rsid w:val="00FA087A"/>
    <w:rsid w:val="00FA096F"/>
    <w:rsid w:val="00FA0E0A"/>
    <w:rsid w:val="00FA0E21"/>
    <w:rsid w:val="00FA0F34"/>
    <w:rsid w:val="00FA17F0"/>
    <w:rsid w:val="00FA1AA7"/>
    <w:rsid w:val="00FA1F1B"/>
    <w:rsid w:val="00FA23EC"/>
    <w:rsid w:val="00FA24A0"/>
    <w:rsid w:val="00FA2580"/>
    <w:rsid w:val="00FA2647"/>
    <w:rsid w:val="00FA290A"/>
    <w:rsid w:val="00FA2F68"/>
    <w:rsid w:val="00FA30AA"/>
    <w:rsid w:val="00FA343C"/>
    <w:rsid w:val="00FA363B"/>
    <w:rsid w:val="00FA365E"/>
    <w:rsid w:val="00FA3693"/>
    <w:rsid w:val="00FA43C7"/>
    <w:rsid w:val="00FA44AF"/>
    <w:rsid w:val="00FA4B93"/>
    <w:rsid w:val="00FA4EA0"/>
    <w:rsid w:val="00FA5185"/>
    <w:rsid w:val="00FA59F8"/>
    <w:rsid w:val="00FA5D83"/>
    <w:rsid w:val="00FA6330"/>
    <w:rsid w:val="00FA6600"/>
    <w:rsid w:val="00FA6802"/>
    <w:rsid w:val="00FA6892"/>
    <w:rsid w:val="00FA6E63"/>
    <w:rsid w:val="00FA6F5E"/>
    <w:rsid w:val="00FA6F6B"/>
    <w:rsid w:val="00FA6FDC"/>
    <w:rsid w:val="00FA70FB"/>
    <w:rsid w:val="00FA7178"/>
    <w:rsid w:val="00FA79DC"/>
    <w:rsid w:val="00FB037C"/>
    <w:rsid w:val="00FB0572"/>
    <w:rsid w:val="00FB07C1"/>
    <w:rsid w:val="00FB0AA1"/>
    <w:rsid w:val="00FB0BC4"/>
    <w:rsid w:val="00FB0D52"/>
    <w:rsid w:val="00FB11FA"/>
    <w:rsid w:val="00FB14FB"/>
    <w:rsid w:val="00FB1780"/>
    <w:rsid w:val="00FB1961"/>
    <w:rsid w:val="00FB1A29"/>
    <w:rsid w:val="00FB1BD1"/>
    <w:rsid w:val="00FB1F31"/>
    <w:rsid w:val="00FB2312"/>
    <w:rsid w:val="00FB23BD"/>
    <w:rsid w:val="00FB269C"/>
    <w:rsid w:val="00FB26C5"/>
    <w:rsid w:val="00FB2B71"/>
    <w:rsid w:val="00FB2D6C"/>
    <w:rsid w:val="00FB30E0"/>
    <w:rsid w:val="00FB32B2"/>
    <w:rsid w:val="00FB32F3"/>
    <w:rsid w:val="00FB369E"/>
    <w:rsid w:val="00FB3745"/>
    <w:rsid w:val="00FB3A6A"/>
    <w:rsid w:val="00FB3B78"/>
    <w:rsid w:val="00FB3CE6"/>
    <w:rsid w:val="00FB3D13"/>
    <w:rsid w:val="00FB3D80"/>
    <w:rsid w:val="00FB41B3"/>
    <w:rsid w:val="00FB49F2"/>
    <w:rsid w:val="00FB4BAF"/>
    <w:rsid w:val="00FB4EB8"/>
    <w:rsid w:val="00FB4F87"/>
    <w:rsid w:val="00FB5039"/>
    <w:rsid w:val="00FB523C"/>
    <w:rsid w:val="00FB54A9"/>
    <w:rsid w:val="00FB5537"/>
    <w:rsid w:val="00FB55B1"/>
    <w:rsid w:val="00FB5808"/>
    <w:rsid w:val="00FB5C56"/>
    <w:rsid w:val="00FB5D03"/>
    <w:rsid w:val="00FB5FEA"/>
    <w:rsid w:val="00FB67A2"/>
    <w:rsid w:val="00FB68AA"/>
    <w:rsid w:val="00FB69FA"/>
    <w:rsid w:val="00FB6B83"/>
    <w:rsid w:val="00FB6BA5"/>
    <w:rsid w:val="00FB6E04"/>
    <w:rsid w:val="00FB6E13"/>
    <w:rsid w:val="00FB6FCF"/>
    <w:rsid w:val="00FB7590"/>
    <w:rsid w:val="00FB777F"/>
    <w:rsid w:val="00FB7914"/>
    <w:rsid w:val="00FB79A3"/>
    <w:rsid w:val="00FC00B3"/>
    <w:rsid w:val="00FC0165"/>
    <w:rsid w:val="00FC021A"/>
    <w:rsid w:val="00FC023C"/>
    <w:rsid w:val="00FC036B"/>
    <w:rsid w:val="00FC0ADA"/>
    <w:rsid w:val="00FC0C02"/>
    <w:rsid w:val="00FC0CF8"/>
    <w:rsid w:val="00FC0D03"/>
    <w:rsid w:val="00FC0D8D"/>
    <w:rsid w:val="00FC0F19"/>
    <w:rsid w:val="00FC10AD"/>
    <w:rsid w:val="00FC1314"/>
    <w:rsid w:val="00FC150C"/>
    <w:rsid w:val="00FC151B"/>
    <w:rsid w:val="00FC18E9"/>
    <w:rsid w:val="00FC1A87"/>
    <w:rsid w:val="00FC1B75"/>
    <w:rsid w:val="00FC1FD7"/>
    <w:rsid w:val="00FC20A7"/>
    <w:rsid w:val="00FC2168"/>
    <w:rsid w:val="00FC2276"/>
    <w:rsid w:val="00FC22C9"/>
    <w:rsid w:val="00FC24C2"/>
    <w:rsid w:val="00FC24D3"/>
    <w:rsid w:val="00FC2AA4"/>
    <w:rsid w:val="00FC2C2B"/>
    <w:rsid w:val="00FC2E4E"/>
    <w:rsid w:val="00FC30F4"/>
    <w:rsid w:val="00FC361E"/>
    <w:rsid w:val="00FC36EE"/>
    <w:rsid w:val="00FC3765"/>
    <w:rsid w:val="00FC3A82"/>
    <w:rsid w:val="00FC3C96"/>
    <w:rsid w:val="00FC3CAB"/>
    <w:rsid w:val="00FC3D42"/>
    <w:rsid w:val="00FC3E14"/>
    <w:rsid w:val="00FC3F42"/>
    <w:rsid w:val="00FC3FC5"/>
    <w:rsid w:val="00FC426D"/>
    <w:rsid w:val="00FC48D2"/>
    <w:rsid w:val="00FC49B7"/>
    <w:rsid w:val="00FC4F2A"/>
    <w:rsid w:val="00FC5009"/>
    <w:rsid w:val="00FC505C"/>
    <w:rsid w:val="00FC51C5"/>
    <w:rsid w:val="00FC5867"/>
    <w:rsid w:val="00FC5A75"/>
    <w:rsid w:val="00FC5D3C"/>
    <w:rsid w:val="00FC5DC7"/>
    <w:rsid w:val="00FC5F01"/>
    <w:rsid w:val="00FC5F7E"/>
    <w:rsid w:val="00FC5FB2"/>
    <w:rsid w:val="00FC607C"/>
    <w:rsid w:val="00FC6478"/>
    <w:rsid w:val="00FC67E8"/>
    <w:rsid w:val="00FC6BD4"/>
    <w:rsid w:val="00FC6D6B"/>
    <w:rsid w:val="00FC6E28"/>
    <w:rsid w:val="00FC6E4E"/>
    <w:rsid w:val="00FC6F38"/>
    <w:rsid w:val="00FC7066"/>
    <w:rsid w:val="00FC72FA"/>
    <w:rsid w:val="00FC7351"/>
    <w:rsid w:val="00FC7457"/>
    <w:rsid w:val="00FC7655"/>
    <w:rsid w:val="00FC7D06"/>
    <w:rsid w:val="00FC7D9D"/>
    <w:rsid w:val="00FD012E"/>
    <w:rsid w:val="00FD0296"/>
    <w:rsid w:val="00FD03FA"/>
    <w:rsid w:val="00FD0401"/>
    <w:rsid w:val="00FD04F8"/>
    <w:rsid w:val="00FD0541"/>
    <w:rsid w:val="00FD0566"/>
    <w:rsid w:val="00FD06B5"/>
    <w:rsid w:val="00FD086F"/>
    <w:rsid w:val="00FD0B17"/>
    <w:rsid w:val="00FD0E0F"/>
    <w:rsid w:val="00FD132D"/>
    <w:rsid w:val="00FD139B"/>
    <w:rsid w:val="00FD1470"/>
    <w:rsid w:val="00FD1874"/>
    <w:rsid w:val="00FD1B63"/>
    <w:rsid w:val="00FD1BCE"/>
    <w:rsid w:val="00FD1DAB"/>
    <w:rsid w:val="00FD1F2B"/>
    <w:rsid w:val="00FD1FC5"/>
    <w:rsid w:val="00FD20D8"/>
    <w:rsid w:val="00FD2175"/>
    <w:rsid w:val="00FD217F"/>
    <w:rsid w:val="00FD25A5"/>
    <w:rsid w:val="00FD2758"/>
    <w:rsid w:val="00FD28B5"/>
    <w:rsid w:val="00FD28D9"/>
    <w:rsid w:val="00FD2CB6"/>
    <w:rsid w:val="00FD2F65"/>
    <w:rsid w:val="00FD2F6A"/>
    <w:rsid w:val="00FD301D"/>
    <w:rsid w:val="00FD32E2"/>
    <w:rsid w:val="00FD349F"/>
    <w:rsid w:val="00FD353E"/>
    <w:rsid w:val="00FD35EA"/>
    <w:rsid w:val="00FD3C53"/>
    <w:rsid w:val="00FD443D"/>
    <w:rsid w:val="00FD445F"/>
    <w:rsid w:val="00FD4559"/>
    <w:rsid w:val="00FD4643"/>
    <w:rsid w:val="00FD4A2A"/>
    <w:rsid w:val="00FD52C6"/>
    <w:rsid w:val="00FD55D1"/>
    <w:rsid w:val="00FD5664"/>
    <w:rsid w:val="00FD56D5"/>
    <w:rsid w:val="00FD5FFA"/>
    <w:rsid w:val="00FD60AC"/>
    <w:rsid w:val="00FD61D5"/>
    <w:rsid w:val="00FD629A"/>
    <w:rsid w:val="00FD63D0"/>
    <w:rsid w:val="00FD6574"/>
    <w:rsid w:val="00FD65BE"/>
    <w:rsid w:val="00FD680D"/>
    <w:rsid w:val="00FD6A83"/>
    <w:rsid w:val="00FD6BE7"/>
    <w:rsid w:val="00FD7249"/>
    <w:rsid w:val="00FD7681"/>
    <w:rsid w:val="00FD771E"/>
    <w:rsid w:val="00FD7837"/>
    <w:rsid w:val="00FD7C86"/>
    <w:rsid w:val="00FD7D55"/>
    <w:rsid w:val="00FD7DCB"/>
    <w:rsid w:val="00FD7DFB"/>
    <w:rsid w:val="00FD7FAC"/>
    <w:rsid w:val="00FE0467"/>
    <w:rsid w:val="00FE05FB"/>
    <w:rsid w:val="00FE082F"/>
    <w:rsid w:val="00FE0A10"/>
    <w:rsid w:val="00FE0CF1"/>
    <w:rsid w:val="00FE0EB9"/>
    <w:rsid w:val="00FE1327"/>
    <w:rsid w:val="00FE14BF"/>
    <w:rsid w:val="00FE155D"/>
    <w:rsid w:val="00FE1861"/>
    <w:rsid w:val="00FE1DAF"/>
    <w:rsid w:val="00FE1EE3"/>
    <w:rsid w:val="00FE211E"/>
    <w:rsid w:val="00FE2197"/>
    <w:rsid w:val="00FE227D"/>
    <w:rsid w:val="00FE23B1"/>
    <w:rsid w:val="00FE23E4"/>
    <w:rsid w:val="00FE2434"/>
    <w:rsid w:val="00FE2AA7"/>
    <w:rsid w:val="00FE2DB3"/>
    <w:rsid w:val="00FE335B"/>
    <w:rsid w:val="00FE3487"/>
    <w:rsid w:val="00FE35B2"/>
    <w:rsid w:val="00FE3A70"/>
    <w:rsid w:val="00FE3B9A"/>
    <w:rsid w:val="00FE3E65"/>
    <w:rsid w:val="00FE4117"/>
    <w:rsid w:val="00FE4259"/>
    <w:rsid w:val="00FE463F"/>
    <w:rsid w:val="00FE480F"/>
    <w:rsid w:val="00FE4851"/>
    <w:rsid w:val="00FE4884"/>
    <w:rsid w:val="00FE4B6E"/>
    <w:rsid w:val="00FE4E66"/>
    <w:rsid w:val="00FE529D"/>
    <w:rsid w:val="00FE5496"/>
    <w:rsid w:val="00FE5750"/>
    <w:rsid w:val="00FE58CC"/>
    <w:rsid w:val="00FE59EC"/>
    <w:rsid w:val="00FE5BBE"/>
    <w:rsid w:val="00FE5FEF"/>
    <w:rsid w:val="00FE6105"/>
    <w:rsid w:val="00FE6167"/>
    <w:rsid w:val="00FE62A5"/>
    <w:rsid w:val="00FE62CA"/>
    <w:rsid w:val="00FE6385"/>
    <w:rsid w:val="00FE63B5"/>
    <w:rsid w:val="00FE63B8"/>
    <w:rsid w:val="00FE63DA"/>
    <w:rsid w:val="00FE6EFD"/>
    <w:rsid w:val="00FE73CC"/>
    <w:rsid w:val="00FE75D7"/>
    <w:rsid w:val="00FE7D03"/>
    <w:rsid w:val="00FE7E0D"/>
    <w:rsid w:val="00FE7F8D"/>
    <w:rsid w:val="00FEB56C"/>
    <w:rsid w:val="00FF02E2"/>
    <w:rsid w:val="00FF044C"/>
    <w:rsid w:val="00FF06FF"/>
    <w:rsid w:val="00FF0C28"/>
    <w:rsid w:val="00FF0E63"/>
    <w:rsid w:val="00FF0FCF"/>
    <w:rsid w:val="00FF125F"/>
    <w:rsid w:val="00FF15BB"/>
    <w:rsid w:val="00FF166A"/>
    <w:rsid w:val="00FF169D"/>
    <w:rsid w:val="00FF171A"/>
    <w:rsid w:val="00FF1A3B"/>
    <w:rsid w:val="00FF1AB8"/>
    <w:rsid w:val="00FF1BC5"/>
    <w:rsid w:val="00FF1C7F"/>
    <w:rsid w:val="00FF1EAF"/>
    <w:rsid w:val="00FF21AC"/>
    <w:rsid w:val="00FF2264"/>
    <w:rsid w:val="00FF2419"/>
    <w:rsid w:val="00FF2492"/>
    <w:rsid w:val="00FF2676"/>
    <w:rsid w:val="00FF268F"/>
    <w:rsid w:val="00FF297B"/>
    <w:rsid w:val="00FF2BF9"/>
    <w:rsid w:val="00FF2DB7"/>
    <w:rsid w:val="00FF2E3A"/>
    <w:rsid w:val="00FF344E"/>
    <w:rsid w:val="00FF3802"/>
    <w:rsid w:val="00FF3AF5"/>
    <w:rsid w:val="00FF4031"/>
    <w:rsid w:val="00FF4070"/>
    <w:rsid w:val="00FF411E"/>
    <w:rsid w:val="00FF49BF"/>
    <w:rsid w:val="00FF50BF"/>
    <w:rsid w:val="00FF5497"/>
    <w:rsid w:val="00FF5920"/>
    <w:rsid w:val="00FF59D7"/>
    <w:rsid w:val="00FF5A49"/>
    <w:rsid w:val="00FF5C14"/>
    <w:rsid w:val="00FF5D7E"/>
    <w:rsid w:val="00FF5FD4"/>
    <w:rsid w:val="00FF62A4"/>
    <w:rsid w:val="00FF6369"/>
    <w:rsid w:val="00FF6569"/>
    <w:rsid w:val="00FF6721"/>
    <w:rsid w:val="00FF6D3C"/>
    <w:rsid w:val="00FF6E48"/>
    <w:rsid w:val="00FF6EB0"/>
    <w:rsid w:val="00FF70CB"/>
    <w:rsid w:val="00FF7560"/>
    <w:rsid w:val="00FF75D1"/>
    <w:rsid w:val="00FF770B"/>
    <w:rsid w:val="00FF7924"/>
    <w:rsid w:val="00FF7B96"/>
    <w:rsid w:val="00FF7E5C"/>
    <w:rsid w:val="00FF7EA4"/>
    <w:rsid w:val="00FF7F0A"/>
    <w:rsid w:val="00FF7F23"/>
    <w:rsid w:val="010046C8"/>
    <w:rsid w:val="01025E18"/>
    <w:rsid w:val="010A295E"/>
    <w:rsid w:val="010A8660"/>
    <w:rsid w:val="01170BF8"/>
    <w:rsid w:val="011B621F"/>
    <w:rsid w:val="01243884"/>
    <w:rsid w:val="01257EFF"/>
    <w:rsid w:val="01260397"/>
    <w:rsid w:val="01276A5C"/>
    <w:rsid w:val="01324554"/>
    <w:rsid w:val="0135358D"/>
    <w:rsid w:val="0135EFCE"/>
    <w:rsid w:val="0136378F"/>
    <w:rsid w:val="0136B5C9"/>
    <w:rsid w:val="0138094A"/>
    <w:rsid w:val="013A4558"/>
    <w:rsid w:val="013A8407"/>
    <w:rsid w:val="013AB4A3"/>
    <w:rsid w:val="013B9F42"/>
    <w:rsid w:val="013DAE33"/>
    <w:rsid w:val="013E1DA8"/>
    <w:rsid w:val="013E436F"/>
    <w:rsid w:val="01412289"/>
    <w:rsid w:val="014468E7"/>
    <w:rsid w:val="0149A8B3"/>
    <w:rsid w:val="014C22F0"/>
    <w:rsid w:val="014E37F9"/>
    <w:rsid w:val="015093CF"/>
    <w:rsid w:val="0152E7BD"/>
    <w:rsid w:val="0160441A"/>
    <w:rsid w:val="0164B952"/>
    <w:rsid w:val="01692D12"/>
    <w:rsid w:val="016A77C5"/>
    <w:rsid w:val="01709E8A"/>
    <w:rsid w:val="01710933"/>
    <w:rsid w:val="01720700"/>
    <w:rsid w:val="0173289E"/>
    <w:rsid w:val="0179E5DA"/>
    <w:rsid w:val="017BB3D0"/>
    <w:rsid w:val="01800FCA"/>
    <w:rsid w:val="0187ECA7"/>
    <w:rsid w:val="018C5AF5"/>
    <w:rsid w:val="018D9AA9"/>
    <w:rsid w:val="01917CB6"/>
    <w:rsid w:val="0193CDFC"/>
    <w:rsid w:val="01952BED"/>
    <w:rsid w:val="0195E176"/>
    <w:rsid w:val="019A9535"/>
    <w:rsid w:val="019D0FF5"/>
    <w:rsid w:val="019D3A93"/>
    <w:rsid w:val="019F0268"/>
    <w:rsid w:val="019FBC3F"/>
    <w:rsid w:val="01A0ACC9"/>
    <w:rsid w:val="01A77A2A"/>
    <w:rsid w:val="01A8B861"/>
    <w:rsid w:val="01A98919"/>
    <w:rsid w:val="01A9C120"/>
    <w:rsid w:val="01B0EADE"/>
    <w:rsid w:val="01B1E364"/>
    <w:rsid w:val="01B1E6EB"/>
    <w:rsid w:val="01B4D8A2"/>
    <w:rsid w:val="01B5A7F1"/>
    <w:rsid w:val="01BA31AD"/>
    <w:rsid w:val="01BB9849"/>
    <w:rsid w:val="01C15F4A"/>
    <w:rsid w:val="01C2EE6E"/>
    <w:rsid w:val="01C6226E"/>
    <w:rsid w:val="01C83857"/>
    <w:rsid w:val="01CB3D06"/>
    <w:rsid w:val="01D2629F"/>
    <w:rsid w:val="01D4D009"/>
    <w:rsid w:val="01D769F8"/>
    <w:rsid w:val="01DC8E85"/>
    <w:rsid w:val="01DE51CA"/>
    <w:rsid w:val="01E0FA28"/>
    <w:rsid w:val="01E1102C"/>
    <w:rsid w:val="01E1C26C"/>
    <w:rsid w:val="01E5265A"/>
    <w:rsid w:val="01E73314"/>
    <w:rsid w:val="01E7B400"/>
    <w:rsid w:val="01F2A78F"/>
    <w:rsid w:val="01F3F5A1"/>
    <w:rsid w:val="01F511AE"/>
    <w:rsid w:val="01F8E56D"/>
    <w:rsid w:val="01F9ACCE"/>
    <w:rsid w:val="02008CCF"/>
    <w:rsid w:val="02018607"/>
    <w:rsid w:val="0201CDCD"/>
    <w:rsid w:val="02180794"/>
    <w:rsid w:val="0219C8FF"/>
    <w:rsid w:val="02229D34"/>
    <w:rsid w:val="0222D702"/>
    <w:rsid w:val="0224A199"/>
    <w:rsid w:val="02256D74"/>
    <w:rsid w:val="02269071"/>
    <w:rsid w:val="0233ADDA"/>
    <w:rsid w:val="0238470F"/>
    <w:rsid w:val="023B790D"/>
    <w:rsid w:val="02419CA0"/>
    <w:rsid w:val="02439D9F"/>
    <w:rsid w:val="024D5CA7"/>
    <w:rsid w:val="024EB965"/>
    <w:rsid w:val="024F0D0A"/>
    <w:rsid w:val="0256DAD0"/>
    <w:rsid w:val="02581B82"/>
    <w:rsid w:val="025EC0E1"/>
    <w:rsid w:val="02600C86"/>
    <w:rsid w:val="026090EE"/>
    <w:rsid w:val="0260E39A"/>
    <w:rsid w:val="026AA113"/>
    <w:rsid w:val="026D0B3C"/>
    <w:rsid w:val="02710AEB"/>
    <w:rsid w:val="027181DD"/>
    <w:rsid w:val="02743FF9"/>
    <w:rsid w:val="027B0F18"/>
    <w:rsid w:val="0286956A"/>
    <w:rsid w:val="028DAA53"/>
    <w:rsid w:val="0296F292"/>
    <w:rsid w:val="029757EC"/>
    <w:rsid w:val="0298FE71"/>
    <w:rsid w:val="029D370D"/>
    <w:rsid w:val="029F720F"/>
    <w:rsid w:val="02A016DB"/>
    <w:rsid w:val="02A68AD1"/>
    <w:rsid w:val="02A8D6A3"/>
    <w:rsid w:val="02B5DC15"/>
    <w:rsid w:val="02B647E8"/>
    <w:rsid w:val="02B9BC0C"/>
    <w:rsid w:val="02BAA1CC"/>
    <w:rsid w:val="02BEFE6F"/>
    <w:rsid w:val="02C8EB41"/>
    <w:rsid w:val="02CA4912"/>
    <w:rsid w:val="02CE025D"/>
    <w:rsid w:val="02CE993F"/>
    <w:rsid w:val="02D1861A"/>
    <w:rsid w:val="02D37392"/>
    <w:rsid w:val="02D6B83F"/>
    <w:rsid w:val="02D6CD6F"/>
    <w:rsid w:val="02D6F81C"/>
    <w:rsid w:val="02DB010E"/>
    <w:rsid w:val="02DCF367"/>
    <w:rsid w:val="02DD53D7"/>
    <w:rsid w:val="02DD56B0"/>
    <w:rsid w:val="02E2BB75"/>
    <w:rsid w:val="02F14E9D"/>
    <w:rsid w:val="02F28EF3"/>
    <w:rsid w:val="02F47B0D"/>
    <w:rsid w:val="02F5FEED"/>
    <w:rsid w:val="02FAB62F"/>
    <w:rsid w:val="02FDFBA1"/>
    <w:rsid w:val="02FEFEA1"/>
    <w:rsid w:val="03036498"/>
    <w:rsid w:val="03044986"/>
    <w:rsid w:val="0307D344"/>
    <w:rsid w:val="030BE137"/>
    <w:rsid w:val="030C5E8D"/>
    <w:rsid w:val="030E79BF"/>
    <w:rsid w:val="0310D858"/>
    <w:rsid w:val="03115C58"/>
    <w:rsid w:val="0311D9F5"/>
    <w:rsid w:val="031201D1"/>
    <w:rsid w:val="03145A6B"/>
    <w:rsid w:val="03170654"/>
    <w:rsid w:val="031DE158"/>
    <w:rsid w:val="032808E2"/>
    <w:rsid w:val="03292893"/>
    <w:rsid w:val="032BEB01"/>
    <w:rsid w:val="032DED75"/>
    <w:rsid w:val="0330E12B"/>
    <w:rsid w:val="033531E4"/>
    <w:rsid w:val="03363ABE"/>
    <w:rsid w:val="03389288"/>
    <w:rsid w:val="033E66B5"/>
    <w:rsid w:val="03454F00"/>
    <w:rsid w:val="0347DBBF"/>
    <w:rsid w:val="034D3E29"/>
    <w:rsid w:val="03539E73"/>
    <w:rsid w:val="03546308"/>
    <w:rsid w:val="03570907"/>
    <w:rsid w:val="03576268"/>
    <w:rsid w:val="03587381"/>
    <w:rsid w:val="035BFE3F"/>
    <w:rsid w:val="035C2733"/>
    <w:rsid w:val="035DD669"/>
    <w:rsid w:val="03643F42"/>
    <w:rsid w:val="036540D3"/>
    <w:rsid w:val="0367CB2C"/>
    <w:rsid w:val="0369565B"/>
    <w:rsid w:val="03699B2E"/>
    <w:rsid w:val="036C1EAE"/>
    <w:rsid w:val="036DBF6A"/>
    <w:rsid w:val="036E3769"/>
    <w:rsid w:val="036F081B"/>
    <w:rsid w:val="0377DD00"/>
    <w:rsid w:val="03796756"/>
    <w:rsid w:val="037CA07A"/>
    <w:rsid w:val="0380BB35"/>
    <w:rsid w:val="03827B70"/>
    <w:rsid w:val="0383A4E8"/>
    <w:rsid w:val="0388E860"/>
    <w:rsid w:val="0389EEF1"/>
    <w:rsid w:val="038D0AC9"/>
    <w:rsid w:val="038D4088"/>
    <w:rsid w:val="039140A3"/>
    <w:rsid w:val="039BF2D6"/>
    <w:rsid w:val="039C4371"/>
    <w:rsid w:val="03A29D49"/>
    <w:rsid w:val="03A8BA8D"/>
    <w:rsid w:val="03A9E975"/>
    <w:rsid w:val="03AB133F"/>
    <w:rsid w:val="03ABAA9C"/>
    <w:rsid w:val="03AD4F76"/>
    <w:rsid w:val="03AE9FBF"/>
    <w:rsid w:val="03AF2C07"/>
    <w:rsid w:val="03B463B9"/>
    <w:rsid w:val="03B591D9"/>
    <w:rsid w:val="03B6790E"/>
    <w:rsid w:val="03B89BEB"/>
    <w:rsid w:val="03B97862"/>
    <w:rsid w:val="03C37BC6"/>
    <w:rsid w:val="03C6C01E"/>
    <w:rsid w:val="03C901B3"/>
    <w:rsid w:val="03CFC326"/>
    <w:rsid w:val="03D7452B"/>
    <w:rsid w:val="03DA9B20"/>
    <w:rsid w:val="03DAB78E"/>
    <w:rsid w:val="03DDBD8B"/>
    <w:rsid w:val="03DF3709"/>
    <w:rsid w:val="03E2FD42"/>
    <w:rsid w:val="03E6F60F"/>
    <w:rsid w:val="03F2247F"/>
    <w:rsid w:val="03F48980"/>
    <w:rsid w:val="04006C81"/>
    <w:rsid w:val="040187FA"/>
    <w:rsid w:val="04023D87"/>
    <w:rsid w:val="04077741"/>
    <w:rsid w:val="04119E2A"/>
    <w:rsid w:val="0411EF35"/>
    <w:rsid w:val="04184803"/>
    <w:rsid w:val="041CDC24"/>
    <w:rsid w:val="041E5776"/>
    <w:rsid w:val="041E892E"/>
    <w:rsid w:val="0422528A"/>
    <w:rsid w:val="04249044"/>
    <w:rsid w:val="0425E3F8"/>
    <w:rsid w:val="0426FCDA"/>
    <w:rsid w:val="04273B96"/>
    <w:rsid w:val="042C1446"/>
    <w:rsid w:val="04351D84"/>
    <w:rsid w:val="0437DF35"/>
    <w:rsid w:val="0445B54B"/>
    <w:rsid w:val="044DDBDC"/>
    <w:rsid w:val="04542CAA"/>
    <w:rsid w:val="04542D4C"/>
    <w:rsid w:val="04560120"/>
    <w:rsid w:val="045B34C6"/>
    <w:rsid w:val="045CE88D"/>
    <w:rsid w:val="045E41FB"/>
    <w:rsid w:val="045FBE78"/>
    <w:rsid w:val="0461A945"/>
    <w:rsid w:val="046618E4"/>
    <w:rsid w:val="0468A9D0"/>
    <w:rsid w:val="046B8936"/>
    <w:rsid w:val="04711A65"/>
    <w:rsid w:val="0472DED7"/>
    <w:rsid w:val="0472E928"/>
    <w:rsid w:val="04738301"/>
    <w:rsid w:val="04740EF9"/>
    <w:rsid w:val="0474F05C"/>
    <w:rsid w:val="0474FF95"/>
    <w:rsid w:val="0475D974"/>
    <w:rsid w:val="04764C7B"/>
    <w:rsid w:val="04794370"/>
    <w:rsid w:val="0479E7F9"/>
    <w:rsid w:val="047DD5B2"/>
    <w:rsid w:val="0480BF85"/>
    <w:rsid w:val="0483EF7E"/>
    <w:rsid w:val="0486483B"/>
    <w:rsid w:val="048AB03A"/>
    <w:rsid w:val="048C6C0A"/>
    <w:rsid w:val="04913938"/>
    <w:rsid w:val="04916099"/>
    <w:rsid w:val="04917712"/>
    <w:rsid w:val="0492615B"/>
    <w:rsid w:val="0493650A"/>
    <w:rsid w:val="0495DE22"/>
    <w:rsid w:val="04989972"/>
    <w:rsid w:val="0498C52C"/>
    <w:rsid w:val="049B226A"/>
    <w:rsid w:val="049DC8C4"/>
    <w:rsid w:val="049EB9D1"/>
    <w:rsid w:val="04AAE74F"/>
    <w:rsid w:val="04AFE7E2"/>
    <w:rsid w:val="04B2D419"/>
    <w:rsid w:val="04B38A1C"/>
    <w:rsid w:val="04B8DE56"/>
    <w:rsid w:val="04B964BD"/>
    <w:rsid w:val="04B9E2ED"/>
    <w:rsid w:val="04BC654E"/>
    <w:rsid w:val="04BF2652"/>
    <w:rsid w:val="04C5A4AD"/>
    <w:rsid w:val="04C7B643"/>
    <w:rsid w:val="04CAB07B"/>
    <w:rsid w:val="04CB923C"/>
    <w:rsid w:val="04D13338"/>
    <w:rsid w:val="04D569AB"/>
    <w:rsid w:val="04D8DD71"/>
    <w:rsid w:val="04E0A4AF"/>
    <w:rsid w:val="04E3304E"/>
    <w:rsid w:val="04E63885"/>
    <w:rsid w:val="04E6FADF"/>
    <w:rsid w:val="04E6FEE9"/>
    <w:rsid w:val="04EB70F5"/>
    <w:rsid w:val="04ECDB6A"/>
    <w:rsid w:val="04F1FBE0"/>
    <w:rsid w:val="04F478C3"/>
    <w:rsid w:val="04FA5C85"/>
    <w:rsid w:val="04FAAFAD"/>
    <w:rsid w:val="04FD82FE"/>
    <w:rsid w:val="04FFB117"/>
    <w:rsid w:val="05020200"/>
    <w:rsid w:val="050401A2"/>
    <w:rsid w:val="0505A322"/>
    <w:rsid w:val="05079E1D"/>
    <w:rsid w:val="050B3724"/>
    <w:rsid w:val="05137212"/>
    <w:rsid w:val="0518682C"/>
    <w:rsid w:val="051B7D70"/>
    <w:rsid w:val="051BA06E"/>
    <w:rsid w:val="051C132E"/>
    <w:rsid w:val="051DC236"/>
    <w:rsid w:val="0523074A"/>
    <w:rsid w:val="052C2EE2"/>
    <w:rsid w:val="0530E51E"/>
    <w:rsid w:val="05359454"/>
    <w:rsid w:val="0539AD28"/>
    <w:rsid w:val="053C3FD5"/>
    <w:rsid w:val="053D391B"/>
    <w:rsid w:val="0545305C"/>
    <w:rsid w:val="05474370"/>
    <w:rsid w:val="054CAE1F"/>
    <w:rsid w:val="054D1572"/>
    <w:rsid w:val="054D5764"/>
    <w:rsid w:val="0552EAB4"/>
    <w:rsid w:val="05579456"/>
    <w:rsid w:val="055B4E58"/>
    <w:rsid w:val="0561F17F"/>
    <w:rsid w:val="05621264"/>
    <w:rsid w:val="05636E2C"/>
    <w:rsid w:val="05642534"/>
    <w:rsid w:val="0566499F"/>
    <w:rsid w:val="05692FB7"/>
    <w:rsid w:val="056AB7BB"/>
    <w:rsid w:val="05700141"/>
    <w:rsid w:val="0575E8F8"/>
    <w:rsid w:val="05802DD2"/>
    <w:rsid w:val="05809EEC"/>
    <w:rsid w:val="05822197"/>
    <w:rsid w:val="0582BE59"/>
    <w:rsid w:val="0582C86D"/>
    <w:rsid w:val="05830850"/>
    <w:rsid w:val="05830FBB"/>
    <w:rsid w:val="0584787F"/>
    <w:rsid w:val="0589BF77"/>
    <w:rsid w:val="058A6EEE"/>
    <w:rsid w:val="058A9ED8"/>
    <w:rsid w:val="058D1F3A"/>
    <w:rsid w:val="058F6E5B"/>
    <w:rsid w:val="05953654"/>
    <w:rsid w:val="059B349F"/>
    <w:rsid w:val="05A02842"/>
    <w:rsid w:val="05A0550F"/>
    <w:rsid w:val="05A5466E"/>
    <w:rsid w:val="05B73754"/>
    <w:rsid w:val="05B92CD1"/>
    <w:rsid w:val="05BA1B45"/>
    <w:rsid w:val="05BA3D18"/>
    <w:rsid w:val="05BAF647"/>
    <w:rsid w:val="05BE2A9A"/>
    <w:rsid w:val="05C2A5C6"/>
    <w:rsid w:val="05C3DE61"/>
    <w:rsid w:val="05C4309A"/>
    <w:rsid w:val="05C66837"/>
    <w:rsid w:val="05C8F404"/>
    <w:rsid w:val="05CB9037"/>
    <w:rsid w:val="05CB9F95"/>
    <w:rsid w:val="05CCC861"/>
    <w:rsid w:val="05CD940A"/>
    <w:rsid w:val="05CE8AB3"/>
    <w:rsid w:val="05CF699E"/>
    <w:rsid w:val="05D2E43A"/>
    <w:rsid w:val="05D2FA24"/>
    <w:rsid w:val="05D33194"/>
    <w:rsid w:val="05D34CDB"/>
    <w:rsid w:val="05D42711"/>
    <w:rsid w:val="05D54FC2"/>
    <w:rsid w:val="05D6535B"/>
    <w:rsid w:val="05DC270E"/>
    <w:rsid w:val="05DE5EA2"/>
    <w:rsid w:val="05E2F644"/>
    <w:rsid w:val="05E2FE51"/>
    <w:rsid w:val="05E94367"/>
    <w:rsid w:val="05ECD8E9"/>
    <w:rsid w:val="05EDE2AF"/>
    <w:rsid w:val="05EE9191"/>
    <w:rsid w:val="05EF4CF5"/>
    <w:rsid w:val="05F0D26C"/>
    <w:rsid w:val="05F7A378"/>
    <w:rsid w:val="05F8D39A"/>
    <w:rsid w:val="05F8DADB"/>
    <w:rsid w:val="05FA0CD8"/>
    <w:rsid w:val="05FC7C96"/>
    <w:rsid w:val="05FF5804"/>
    <w:rsid w:val="06082720"/>
    <w:rsid w:val="0608F1FB"/>
    <w:rsid w:val="0609C4E9"/>
    <w:rsid w:val="060D7E40"/>
    <w:rsid w:val="060F887E"/>
    <w:rsid w:val="061170E9"/>
    <w:rsid w:val="0613D716"/>
    <w:rsid w:val="0614222A"/>
    <w:rsid w:val="0615C0F4"/>
    <w:rsid w:val="06186C37"/>
    <w:rsid w:val="06197FA4"/>
    <w:rsid w:val="061DEEA7"/>
    <w:rsid w:val="062014AA"/>
    <w:rsid w:val="062573F3"/>
    <w:rsid w:val="06263AE2"/>
    <w:rsid w:val="0628AA03"/>
    <w:rsid w:val="062B6088"/>
    <w:rsid w:val="0631F020"/>
    <w:rsid w:val="0631F92A"/>
    <w:rsid w:val="0636FAFE"/>
    <w:rsid w:val="06389D28"/>
    <w:rsid w:val="0639876E"/>
    <w:rsid w:val="063EA11F"/>
    <w:rsid w:val="063F5977"/>
    <w:rsid w:val="06447A96"/>
    <w:rsid w:val="0644930F"/>
    <w:rsid w:val="06457916"/>
    <w:rsid w:val="06477A40"/>
    <w:rsid w:val="0648CB11"/>
    <w:rsid w:val="064A707A"/>
    <w:rsid w:val="064D52B2"/>
    <w:rsid w:val="0650A9CD"/>
    <w:rsid w:val="0654A90B"/>
    <w:rsid w:val="06576ED9"/>
    <w:rsid w:val="0657EABE"/>
    <w:rsid w:val="065D6BEA"/>
    <w:rsid w:val="06638443"/>
    <w:rsid w:val="066BA194"/>
    <w:rsid w:val="066C2476"/>
    <w:rsid w:val="066CAC64"/>
    <w:rsid w:val="066D4815"/>
    <w:rsid w:val="066DA62F"/>
    <w:rsid w:val="066F1819"/>
    <w:rsid w:val="066F3817"/>
    <w:rsid w:val="06703F01"/>
    <w:rsid w:val="06757266"/>
    <w:rsid w:val="0675EE8D"/>
    <w:rsid w:val="067613FE"/>
    <w:rsid w:val="06768B39"/>
    <w:rsid w:val="06796621"/>
    <w:rsid w:val="067B49D6"/>
    <w:rsid w:val="067FCE1F"/>
    <w:rsid w:val="06828CDC"/>
    <w:rsid w:val="06838B0A"/>
    <w:rsid w:val="068729AD"/>
    <w:rsid w:val="0687F972"/>
    <w:rsid w:val="068B0A57"/>
    <w:rsid w:val="06A219F0"/>
    <w:rsid w:val="06A25626"/>
    <w:rsid w:val="06A93760"/>
    <w:rsid w:val="06AA57E8"/>
    <w:rsid w:val="06B01FC6"/>
    <w:rsid w:val="06B0E6FD"/>
    <w:rsid w:val="06B5C2A9"/>
    <w:rsid w:val="06B84722"/>
    <w:rsid w:val="06B9C12F"/>
    <w:rsid w:val="06BB99B0"/>
    <w:rsid w:val="06BE5DE5"/>
    <w:rsid w:val="06BF0392"/>
    <w:rsid w:val="06BF693B"/>
    <w:rsid w:val="06C16CBB"/>
    <w:rsid w:val="06C406C4"/>
    <w:rsid w:val="06C772EE"/>
    <w:rsid w:val="06D053BF"/>
    <w:rsid w:val="06D41518"/>
    <w:rsid w:val="06D42EEA"/>
    <w:rsid w:val="06D496BC"/>
    <w:rsid w:val="06D60AC6"/>
    <w:rsid w:val="06DBBBAC"/>
    <w:rsid w:val="06DDB1B7"/>
    <w:rsid w:val="06DDC541"/>
    <w:rsid w:val="06DE7A9E"/>
    <w:rsid w:val="06E08212"/>
    <w:rsid w:val="06E33B3C"/>
    <w:rsid w:val="06E912B3"/>
    <w:rsid w:val="06E9D8E2"/>
    <w:rsid w:val="06EC6202"/>
    <w:rsid w:val="06EF072B"/>
    <w:rsid w:val="06F0CA8D"/>
    <w:rsid w:val="06F1E5A7"/>
    <w:rsid w:val="06F537C1"/>
    <w:rsid w:val="06F56E59"/>
    <w:rsid w:val="06F819EE"/>
    <w:rsid w:val="06FA686B"/>
    <w:rsid w:val="0702B3D8"/>
    <w:rsid w:val="0702DBBB"/>
    <w:rsid w:val="0705A46E"/>
    <w:rsid w:val="0706C548"/>
    <w:rsid w:val="0708A504"/>
    <w:rsid w:val="070D59E5"/>
    <w:rsid w:val="071022D5"/>
    <w:rsid w:val="0714178E"/>
    <w:rsid w:val="0716BE33"/>
    <w:rsid w:val="07190408"/>
    <w:rsid w:val="071E326E"/>
    <w:rsid w:val="07219D37"/>
    <w:rsid w:val="0723F00A"/>
    <w:rsid w:val="07243237"/>
    <w:rsid w:val="07281921"/>
    <w:rsid w:val="072B76BA"/>
    <w:rsid w:val="072D4525"/>
    <w:rsid w:val="072EE54B"/>
    <w:rsid w:val="0734FE8F"/>
    <w:rsid w:val="073DC8D9"/>
    <w:rsid w:val="074260BC"/>
    <w:rsid w:val="0746D502"/>
    <w:rsid w:val="074790E0"/>
    <w:rsid w:val="074C1590"/>
    <w:rsid w:val="074F059A"/>
    <w:rsid w:val="07522FD8"/>
    <w:rsid w:val="07527F84"/>
    <w:rsid w:val="0752FCC8"/>
    <w:rsid w:val="07571DED"/>
    <w:rsid w:val="075840EA"/>
    <w:rsid w:val="0759CC10"/>
    <w:rsid w:val="075BAABE"/>
    <w:rsid w:val="075E87FF"/>
    <w:rsid w:val="07718595"/>
    <w:rsid w:val="0773263A"/>
    <w:rsid w:val="0774C961"/>
    <w:rsid w:val="0774F598"/>
    <w:rsid w:val="0777A4C9"/>
    <w:rsid w:val="0778165E"/>
    <w:rsid w:val="0778ED9B"/>
    <w:rsid w:val="0779782F"/>
    <w:rsid w:val="077A8BCC"/>
    <w:rsid w:val="077D0B94"/>
    <w:rsid w:val="077D3A16"/>
    <w:rsid w:val="07853AAF"/>
    <w:rsid w:val="07872F67"/>
    <w:rsid w:val="0788FCE5"/>
    <w:rsid w:val="0789C7E6"/>
    <w:rsid w:val="078BC27B"/>
    <w:rsid w:val="079346EC"/>
    <w:rsid w:val="07955F06"/>
    <w:rsid w:val="079EF819"/>
    <w:rsid w:val="07A541E4"/>
    <w:rsid w:val="07A757F7"/>
    <w:rsid w:val="07A7C40C"/>
    <w:rsid w:val="07B275A7"/>
    <w:rsid w:val="07B449DF"/>
    <w:rsid w:val="07B44F4C"/>
    <w:rsid w:val="07B6439A"/>
    <w:rsid w:val="07B844EE"/>
    <w:rsid w:val="07BAF4DD"/>
    <w:rsid w:val="07BD27DE"/>
    <w:rsid w:val="07C00D26"/>
    <w:rsid w:val="07C10A71"/>
    <w:rsid w:val="07CB70E7"/>
    <w:rsid w:val="07D09C47"/>
    <w:rsid w:val="07D30989"/>
    <w:rsid w:val="07D475BF"/>
    <w:rsid w:val="07D5C07E"/>
    <w:rsid w:val="07D74968"/>
    <w:rsid w:val="07DCE051"/>
    <w:rsid w:val="07E28214"/>
    <w:rsid w:val="07EAA64C"/>
    <w:rsid w:val="07ECE9E2"/>
    <w:rsid w:val="07EF7DB1"/>
    <w:rsid w:val="07F3C0D2"/>
    <w:rsid w:val="07F50D08"/>
    <w:rsid w:val="07F8D3C9"/>
    <w:rsid w:val="07FF05C5"/>
    <w:rsid w:val="080352A4"/>
    <w:rsid w:val="08071553"/>
    <w:rsid w:val="080A3599"/>
    <w:rsid w:val="080BBFB2"/>
    <w:rsid w:val="080CA5AF"/>
    <w:rsid w:val="081081DC"/>
    <w:rsid w:val="08124830"/>
    <w:rsid w:val="0818A7A5"/>
    <w:rsid w:val="0819FADA"/>
    <w:rsid w:val="081E7239"/>
    <w:rsid w:val="081F5A0C"/>
    <w:rsid w:val="081FA7F7"/>
    <w:rsid w:val="081FD1C2"/>
    <w:rsid w:val="0821346B"/>
    <w:rsid w:val="08227BD5"/>
    <w:rsid w:val="08230562"/>
    <w:rsid w:val="08240FE0"/>
    <w:rsid w:val="08254F92"/>
    <w:rsid w:val="08278053"/>
    <w:rsid w:val="082A960F"/>
    <w:rsid w:val="082CC173"/>
    <w:rsid w:val="082F1A53"/>
    <w:rsid w:val="0834B712"/>
    <w:rsid w:val="083AE8E2"/>
    <w:rsid w:val="0840BB65"/>
    <w:rsid w:val="0840FBBB"/>
    <w:rsid w:val="08416119"/>
    <w:rsid w:val="08418ADA"/>
    <w:rsid w:val="0841960E"/>
    <w:rsid w:val="084833D5"/>
    <w:rsid w:val="084B3BAD"/>
    <w:rsid w:val="084E0212"/>
    <w:rsid w:val="084FF13F"/>
    <w:rsid w:val="08516705"/>
    <w:rsid w:val="0851AE66"/>
    <w:rsid w:val="0853E4C1"/>
    <w:rsid w:val="0855E12A"/>
    <w:rsid w:val="08568094"/>
    <w:rsid w:val="08573DC7"/>
    <w:rsid w:val="085854B4"/>
    <w:rsid w:val="0859AD1D"/>
    <w:rsid w:val="085A0DD6"/>
    <w:rsid w:val="085FA928"/>
    <w:rsid w:val="08601FFE"/>
    <w:rsid w:val="08612EB5"/>
    <w:rsid w:val="08644222"/>
    <w:rsid w:val="0866D0C8"/>
    <w:rsid w:val="08690EFB"/>
    <w:rsid w:val="086AF053"/>
    <w:rsid w:val="08717BD0"/>
    <w:rsid w:val="0877EA74"/>
    <w:rsid w:val="0878A1D0"/>
    <w:rsid w:val="0879BDEF"/>
    <w:rsid w:val="087B0149"/>
    <w:rsid w:val="087E4ADA"/>
    <w:rsid w:val="0881576D"/>
    <w:rsid w:val="0881ADA3"/>
    <w:rsid w:val="08830C97"/>
    <w:rsid w:val="088C190D"/>
    <w:rsid w:val="088C91DD"/>
    <w:rsid w:val="088D5D53"/>
    <w:rsid w:val="088EE6FC"/>
    <w:rsid w:val="08937AE5"/>
    <w:rsid w:val="0894C528"/>
    <w:rsid w:val="089AA28E"/>
    <w:rsid w:val="08A4E474"/>
    <w:rsid w:val="08A51F85"/>
    <w:rsid w:val="08A653AA"/>
    <w:rsid w:val="08A7CEB9"/>
    <w:rsid w:val="08A7CFB5"/>
    <w:rsid w:val="08B1A0EC"/>
    <w:rsid w:val="08B64C80"/>
    <w:rsid w:val="08B7C481"/>
    <w:rsid w:val="08BCBD19"/>
    <w:rsid w:val="08BEE502"/>
    <w:rsid w:val="08C0B4A8"/>
    <w:rsid w:val="08C8DCE9"/>
    <w:rsid w:val="08C9ABC0"/>
    <w:rsid w:val="08CD2097"/>
    <w:rsid w:val="08D0D58F"/>
    <w:rsid w:val="08D2E69E"/>
    <w:rsid w:val="08D354F3"/>
    <w:rsid w:val="08D3AE0E"/>
    <w:rsid w:val="08D4CCE3"/>
    <w:rsid w:val="08D6DCC0"/>
    <w:rsid w:val="08D779B2"/>
    <w:rsid w:val="08DBB6A8"/>
    <w:rsid w:val="08DCE986"/>
    <w:rsid w:val="08DDAAFF"/>
    <w:rsid w:val="08E8F515"/>
    <w:rsid w:val="08ED4CDC"/>
    <w:rsid w:val="08F06355"/>
    <w:rsid w:val="08F5D971"/>
    <w:rsid w:val="08FEDDC2"/>
    <w:rsid w:val="09070DC1"/>
    <w:rsid w:val="090A3C4E"/>
    <w:rsid w:val="090C836B"/>
    <w:rsid w:val="090F1701"/>
    <w:rsid w:val="091F254E"/>
    <w:rsid w:val="0920E658"/>
    <w:rsid w:val="09233726"/>
    <w:rsid w:val="0923C114"/>
    <w:rsid w:val="092B3617"/>
    <w:rsid w:val="092C5D64"/>
    <w:rsid w:val="09303A3E"/>
    <w:rsid w:val="0930C6AC"/>
    <w:rsid w:val="09383967"/>
    <w:rsid w:val="09396A22"/>
    <w:rsid w:val="093C533F"/>
    <w:rsid w:val="093D0E85"/>
    <w:rsid w:val="09446EBC"/>
    <w:rsid w:val="0945459D"/>
    <w:rsid w:val="09455417"/>
    <w:rsid w:val="0945E49E"/>
    <w:rsid w:val="0948ADED"/>
    <w:rsid w:val="094B3B46"/>
    <w:rsid w:val="094E2F0F"/>
    <w:rsid w:val="095111A3"/>
    <w:rsid w:val="09528587"/>
    <w:rsid w:val="09553194"/>
    <w:rsid w:val="0958A93A"/>
    <w:rsid w:val="095A441B"/>
    <w:rsid w:val="095A4425"/>
    <w:rsid w:val="095B8C69"/>
    <w:rsid w:val="096015DB"/>
    <w:rsid w:val="096073A5"/>
    <w:rsid w:val="09636607"/>
    <w:rsid w:val="09640E33"/>
    <w:rsid w:val="09658817"/>
    <w:rsid w:val="09674B09"/>
    <w:rsid w:val="096AC58B"/>
    <w:rsid w:val="096D60AB"/>
    <w:rsid w:val="096E1684"/>
    <w:rsid w:val="097187D3"/>
    <w:rsid w:val="09795723"/>
    <w:rsid w:val="097A52BE"/>
    <w:rsid w:val="097FA9C4"/>
    <w:rsid w:val="09801996"/>
    <w:rsid w:val="09807231"/>
    <w:rsid w:val="098189D2"/>
    <w:rsid w:val="0987B478"/>
    <w:rsid w:val="0989A5A0"/>
    <w:rsid w:val="098B30EA"/>
    <w:rsid w:val="098BA8AD"/>
    <w:rsid w:val="098FCD9F"/>
    <w:rsid w:val="0994538B"/>
    <w:rsid w:val="0995B966"/>
    <w:rsid w:val="099A7BF2"/>
    <w:rsid w:val="099AC4FD"/>
    <w:rsid w:val="099DED68"/>
    <w:rsid w:val="099F3C55"/>
    <w:rsid w:val="099FDB3A"/>
    <w:rsid w:val="09A07499"/>
    <w:rsid w:val="09A08818"/>
    <w:rsid w:val="09A0DF46"/>
    <w:rsid w:val="09A1354F"/>
    <w:rsid w:val="09A1A2A1"/>
    <w:rsid w:val="09A1FC8A"/>
    <w:rsid w:val="09A8B3C0"/>
    <w:rsid w:val="09B1D82C"/>
    <w:rsid w:val="09B2BFE5"/>
    <w:rsid w:val="09B3729E"/>
    <w:rsid w:val="09B64040"/>
    <w:rsid w:val="09B645FE"/>
    <w:rsid w:val="09B65622"/>
    <w:rsid w:val="09B87DC5"/>
    <w:rsid w:val="09BED7D2"/>
    <w:rsid w:val="09BF41CD"/>
    <w:rsid w:val="09C78F9A"/>
    <w:rsid w:val="09CAD843"/>
    <w:rsid w:val="09CDE0F5"/>
    <w:rsid w:val="09D95A7F"/>
    <w:rsid w:val="09DADF0E"/>
    <w:rsid w:val="09DD18D0"/>
    <w:rsid w:val="09E33E82"/>
    <w:rsid w:val="09E45086"/>
    <w:rsid w:val="09E52B1E"/>
    <w:rsid w:val="09E718B9"/>
    <w:rsid w:val="09E840FE"/>
    <w:rsid w:val="09EA1386"/>
    <w:rsid w:val="09EF57A7"/>
    <w:rsid w:val="09EF85B4"/>
    <w:rsid w:val="09F08A8B"/>
    <w:rsid w:val="09F88F5D"/>
    <w:rsid w:val="09FBC602"/>
    <w:rsid w:val="0A016C39"/>
    <w:rsid w:val="0A01A010"/>
    <w:rsid w:val="0A065D5B"/>
    <w:rsid w:val="0A080D10"/>
    <w:rsid w:val="0A110C4A"/>
    <w:rsid w:val="0A12F208"/>
    <w:rsid w:val="0A16DC8E"/>
    <w:rsid w:val="0A170161"/>
    <w:rsid w:val="0A17078E"/>
    <w:rsid w:val="0A1A9984"/>
    <w:rsid w:val="0A1CBF5D"/>
    <w:rsid w:val="0A20BD26"/>
    <w:rsid w:val="0A26B345"/>
    <w:rsid w:val="0A28DF3E"/>
    <w:rsid w:val="0A2CADAC"/>
    <w:rsid w:val="0A327FDB"/>
    <w:rsid w:val="0A34A3F0"/>
    <w:rsid w:val="0A36890D"/>
    <w:rsid w:val="0A3DA571"/>
    <w:rsid w:val="0A409632"/>
    <w:rsid w:val="0A448D5D"/>
    <w:rsid w:val="0A468D64"/>
    <w:rsid w:val="0A515317"/>
    <w:rsid w:val="0A595FF1"/>
    <w:rsid w:val="0A5C9D9B"/>
    <w:rsid w:val="0A5D9D2B"/>
    <w:rsid w:val="0A5EFC68"/>
    <w:rsid w:val="0A5F5127"/>
    <w:rsid w:val="0A647E94"/>
    <w:rsid w:val="0A667344"/>
    <w:rsid w:val="0A676791"/>
    <w:rsid w:val="0A67741D"/>
    <w:rsid w:val="0A6C7A55"/>
    <w:rsid w:val="0A711880"/>
    <w:rsid w:val="0A74C252"/>
    <w:rsid w:val="0A79F8E7"/>
    <w:rsid w:val="0A7A6DC4"/>
    <w:rsid w:val="0A7EC17D"/>
    <w:rsid w:val="0A80E565"/>
    <w:rsid w:val="0A87E1E0"/>
    <w:rsid w:val="0A8A28E5"/>
    <w:rsid w:val="0A8AC75D"/>
    <w:rsid w:val="0A8B85F8"/>
    <w:rsid w:val="0A8EA169"/>
    <w:rsid w:val="0A94F021"/>
    <w:rsid w:val="0A98E491"/>
    <w:rsid w:val="0A9A160E"/>
    <w:rsid w:val="0A9B5EC7"/>
    <w:rsid w:val="0A9B69B9"/>
    <w:rsid w:val="0A9C6651"/>
    <w:rsid w:val="0AA3BED0"/>
    <w:rsid w:val="0AA3CDFE"/>
    <w:rsid w:val="0AA9D71A"/>
    <w:rsid w:val="0AA9FAA4"/>
    <w:rsid w:val="0AAF1AF9"/>
    <w:rsid w:val="0AB13FBE"/>
    <w:rsid w:val="0AB1AB35"/>
    <w:rsid w:val="0AB2471F"/>
    <w:rsid w:val="0AB39DAC"/>
    <w:rsid w:val="0ABB638A"/>
    <w:rsid w:val="0ABC1BDF"/>
    <w:rsid w:val="0ABDB949"/>
    <w:rsid w:val="0AD3CC3E"/>
    <w:rsid w:val="0AD42CA2"/>
    <w:rsid w:val="0AD57A28"/>
    <w:rsid w:val="0AD6F7B1"/>
    <w:rsid w:val="0AE00472"/>
    <w:rsid w:val="0AE24B20"/>
    <w:rsid w:val="0AE37D82"/>
    <w:rsid w:val="0AE66A2B"/>
    <w:rsid w:val="0AE8B50D"/>
    <w:rsid w:val="0AE8C872"/>
    <w:rsid w:val="0AF1A027"/>
    <w:rsid w:val="0AF4DB83"/>
    <w:rsid w:val="0AF8E169"/>
    <w:rsid w:val="0AF99052"/>
    <w:rsid w:val="0AFB9404"/>
    <w:rsid w:val="0AFCD8C0"/>
    <w:rsid w:val="0AFE350F"/>
    <w:rsid w:val="0B016088"/>
    <w:rsid w:val="0B04842F"/>
    <w:rsid w:val="0B074DC7"/>
    <w:rsid w:val="0B099FC7"/>
    <w:rsid w:val="0B09E133"/>
    <w:rsid w:val="0B0DE3DA"/>
    <w:rsid w:val="0B13A073"/>
    <w:rsid w:val="0B151C99"/>
    <w:rsid w:val="0B1AA61A"/>
    <w:rsid w:val="0B1DF946"/>
    <w:rsid w:val="0B24D629"/>
    <w:rsid w:val="0B26929C"/>
    <w:rsid w:val="0B2726FB"/>
    <w:rsid w:val="0B2BB462"/>
    <w:rsid w:val="0B34CDDE"/>
    <w:rsid w:val="0B383844"/>
    <w:rsid w:val="0B39B20B"/>
    <w:rsid w:val="0B40A468"/>
    <w:rsid w:val="0B40D474"/>
    <w:rsid w:val="0B4341C2"/>
    <w:rsid w:val="0B4473C5"/>
    <w:rsid w:val="0B4547B2"/>
    <w:rsid w:val="0B4607CE"/>
    <w:rsid w:val="0B4D7415"/>
    <w:rsid w:val="0B4E42CF"/>
    <w:rsid w:val="0B51F4C8"/>
    <w:rsid w:val="0B54D2B2"/>
    <w:rsid w:val="0B55F894"/>
    <w:rsid w:val="0B57467A"/>
    <w:rsid w:val="0B5D3D25"/>
    <w:rsid w:val="0B5D92CB"/>
    <w:rsid w:val="0B5DD2A1"/>
    <w:rsid w:val="0B60C8EA"/>
    <w:rsid w:val="0B64B71E"/>
    <w:rsid w:val="0B656D37"/>
    <w:rsid w:val="0B66B9B1"/>
    <w:rsid w:val="0B6DB298"/>
    <w:rsid w:val="0B714793"/>
    <w:rsid w:val="0B74D3DA"/>
    <w:rsid w:val="0B78DE6D"/>
    <w:rsid w:val="0B7A0759"/>
    <w:rsid w:val="0B7F3B9B"/>
    <w:rsid w:val="0B80CCD9"/>
    <w:rsid w:val="0B869B69"/>
    <w:rsid w:val="0B884347"/>
    <w:rsid w:val="0B8C1FFD"/>
    <w:rsid w:val="0B9C326D"/>
    <w:rsid w:val="0B9E919F"/>
    <w:rsid w:val="0BA0A258"/>
    <w:rsid w:val="0BA5B77C"/>
    <w:rsid w:val="0BA679DB"/>
    <w:rsid w:val="0BA6E12B"/>
    <w:rsid w:val="0BA916EE"/>
    <w:rsid w:val="0BAB989D"/>
    <w:rsid w:val="0BAF6B27"/>
    <w:rsid w:val="0BB0497B"/>
    <w:rsid w:val="0BB2897E"/>
    <w:rsid w:val="0BB52787"/>
    <w:rsid w:val="0BB6EFFD"/>
    <w:rsid w:val="0BB75403"/>
    <w:rsid w:val="0BC07E6B"/>
    <w:rsid w:val="0BC61028"/>
    <w:rsid w:val="0BC6A129"/>
    <w:rsid w:val="0BC7F5BC"/>
    <w:rsid w:val="0BCC63DF"/>
    <w:rsid w:val="0BD2943D"/>
    <w:rsid w:val="0BD6BA9D"/>
    <w:rsid w:val="0BDC1500"/>
    <w:rsid w:val="0BDE0F09"/>
    <w:rsid w:val="0BEB7F7D"/>
    <w:rsid w:val="0BECA63A"/>
    <w:rsid w:val="0BECD734"/>
    <w:rsid w:val="0BECEA23"/>
    <w:rsid w:val="0BF16A85"/>
    <w:rsid w:val="0BF5116E"/>
    <w:rsid w:val="0BFA39DE"/>
    <w:rsid w:val="0BFB55E3"/>
    <w:rsid w:val="0BFC52DD"/>
    <w:rsid w:val="0BFF9074"/>
    <w:rsid w:val="0C06E0B5"/>
    <w:rsid w:val="0C0BDA75"/>
    <w:rsid w:val="0C0C571F"/>
    <w:rsid w:val="0C0EF4CD"/>
    <w:rsid w:val="0C11E598"/>
    <w:rsid w:val="0C1B85D8"/>
    <w:rsid w:val="0C1E1E96"/>
    <w:rsid w:val="0C2132C8"/>
    <w:rsid w:val="0C23D632"/>
    <w:rsid w:val="0C251BB0"/>
    <w:rsid w:val="0C256FE5"/>
    <w:rsid w:val="0C28FAA2"/>
    <w:rsid w:val="0C2D3621"/>
    <w:rsid w:val="0C2D558A"/>
    <w:rsid w:val="0C34A788"/>
    <w:rsid w:val="0C352E4E"/>
    <w:rsid w:val="0C3C9834"/>
    <w:rsid w:val="0C3CD157"/>
    <w:rsid w:val="0C3D7865"/>
    <w:rsid w:val="0C3FE6C8"/>
    <w:rsid w:val="0C4335BC"/>
    <w:rsid w:val="0C48443F"/>
    <w:rsid w:val="0C4B9007"/>
    <w:rsid w:val="0C4D659C"/>
    <w:rsid w:val="0C512AB2"/>
    <w:rsid w:val="0C54891A"/>
    <w:rsid w:val="0C5564C5"/>
    <w:rsid w:val="0C56C3BD"/>
    <w:rsid w:val="0C57E019"/>
    <w:rsid w:val="0C5AE398"/>
    <w:rsid w:val="0C5BC5FE"/>
    <w:rsid w:val="0C5D612F"/>
    <w:rsid w:val="0C5D9C71"/>
    <w:rsid w:val="0C5F6246"/>
    <w:rsid w:val="0C5FC5E3"/>
    <w:rsid w:val="0C611B53"/>
    <w:rsid w:val="0C63E886"/>
    <w:rsid w:val="0C66189C"/>
    <w:rsid w:val="0C67C316"/>
    <w:rsid w:val="0C69FB7E"/>
    <w:rsid w:val="0C6D582C"/>
    <w:rsid w:val="0C745FC4"/>
    <w:rsid w:val="0C75D70B"/>
    <w:rsid w:val="0C76ACC3"/>
    <w:rsid w:val="0C781C33"/>
    <w:rsid w:val="0C8003C5"/>
    <w:rsid w:val="0C83CD49"/>
    <w:rsid w:val="0C84F6A5"/>
    <w:rsid w:val="0C850B0A"/>
    <w:rsid w:val="0C88FBA0"/>
    <w:rsid w:val="0C8ACA30"/>
    <w:rsid w:val="0C8D2B49"/>
    <w:rsid w:val="0C925FD6"/>
    <w:rsid w:val="0C939ED5"/>
    <w:rsid w:val="0C940B13"/>
    <w:rsid w:val="0C97D587"/>
    <w:rsid w:val="0C9D4200"/>
    <w:rsid w:val="0C9DDA80"/>
    <w:rsid w:val="0CA6E1C2"/>
    <w:rsid w:val="0CB08A92"/>
    <w:rsid w:val="0CB3CEB0"/>
    <w:rsid w:val="0CB795E3"/>
    <w:rsid w:val="0CBD2515"/>
    <w:rsid w:val="0CBEC54B"/>
    <w:rsid w:val="0CC58036"/>
    <w:rsid w:val="0CC5DE55"/>
    <w:rsid w:val="0CC8CFD5"/>
    <w:rsid w:val="0CC8D433"/>
    <w:rsid w:val="0CCE3B85"/>
    <w:rsid w:val="0CD58388"/>
    <w:rsid w:val="0CD65AEB"/>
    <w:rsid w:val="0CE18AFC"/>
    <w:rsid w:val="0CE2A672"/>
    <w:rsid w:val="0CE33725"/>
    <w:rsid w:val="0CE446F8"/>
    <w:rsid w:val="0CE6138A"/>
    <w:rsid w:val="0CE67857"/>
    <w:rsid w:val="0CE71F2D"/>
    <w:rsid w:val="0CE83E52"/>
    <w:rsid w:val="0CEAFAF3"/>
    <w:rsid w:val="0CF1568B"/>
    <w:rsid w:val="0CF16AF8"/>
    <w:rsid w:val="0CF6912D"/>
    <w:rsid w:val="0CF95504"/>
    <w:rsid w:val="0CFA389E"/>
    <w:rsid w:val="0CFA537E"/>
    <w:rsid w:val="0CFAC5C6"/>
    <w:rsid w:val="0CFAE13E"/>
    <w:rsid w:val="0CFC79BA"/>
    <w:rsid w:val="0D029C4D"/>
    <w:rsid w:val="0D09F1F8"/>
    <w:rsid w:val="0D0A10C8"/>
    <w:rsid w:val="0D0ADBB8"/>
    <w:rsid w:val="0D0C417C"/>
    <w:rsid w:val="0D0D8E26"/>
    <w:rsid w:val="0D10A925"/>
    <w:rsid w:val="0D10E0F7"/>
    <w:rsid w:val="0D12A00E"/>
    <w:rsid w:val="0D1809A6"/>
    <w:rsid w:val="0D1B9E71"/>
    <w:rsid w:val="0D1BF7E4"/>
    <w:rsid w:val="0D1DFF6D"/>
    <w:rsid w:val="0D1F5B1B"/>
    <w:rsid w:val="0D2019AD"/>
    <w:rsid w:val="0D205E77"/>
    <w:rsid w:val="0D22745C"/>
    <w:rsid w:val="0D2A3A1C"/>
    <w:rsid w:val="0D2D5DB2"/>
    <w:rsid w:val="0D2E39A7"/>
    <w:rsid w:val="0D2F87F6"/>
    <w:rsid w:val="0D303434"/>
    <w:rsid w:val="0D354823"/>
    <w:rsid w:val="0D385A13"/>
    <w:rsid w:val="0D3A8C89"/>
    <w:rsid w:val="0D3D3FBC"/>
    <w:rsid w:val="0D3DBAC7"/>
    <w:rsid w:val="0D489469"/>
    <w:rsid w:val="0D4A6A02"/>
    <w:rsid w:val="0D53887C"/>
    <w:rsid w:val="0D53CADD"/>
    <w:rsid w:val="0D558A6B"/>
    <w:rsid w:val="0D5F117B"/>
    <w:rsid w:val="0D5F827D"/>
    <w:rsid w:val="0D604B68"/>
    <w:rsid w:val="0D64DFAD"/>
    <w:rsid w:val="0D66DE96"/>
    <w:rsid w:val="0D6D8262"/>
    <w:rsid w:val="0D6F4722"/>
    <w:rsid w:val="0D724CE3"/>
    <w:rsid w:val="0D756351"/>
    <w:rsid w:val="0D763291"/>
    <w:rsid w:val="0D76E3D2"/>
    <w:rsid w:val="0D7A7144"/>
    <w:rsid w:val="0D7B2DFD"/>
    <w:rsid w:val="0D7E49D0"/>
    <w:rsid w:val="0D7FB330"/>
    <w:rsid w:val="0D809694"/>
    <w:rsid w:val="0D836060"/>
    <w:rsid w:val="0D8512EB"/>
    <w:rsid w:val="0D864693"/>
    <w:rsid w:val="0D86F4F1"/>
    <w:rsid w:val="0D88CBE4"/>
    <w:rsid w:val="0D8D1982"/>
    <w:rsid w:val="0D8DF433"/>
    <w:rsid w:val="0D8E7E6E"/>
    <w:rsid w:val="0D8ED9C6"/>
    <w:rsid w:val="0D906175"/>
    <w:rsid w:val="0DAB862C"/>
    <w:rsid w:val="0DB4CF86"/>
    <w:rsid w:val="0DB58693"/>
    <w:rsid w:val="0DB6A900"/>
    <w:rsid w:val="0DB9BCBC"/>
    <w:rsid w:val="0DBB5578"/>
    <w:rsid w:val="0DBCD49E"/>
    <w:rsid w:val="0DBE5D3D"/>
    <w:rsid w:val="0DBED237"/>
    <w:rsid w:val="0DC09981"/>
    <w:rsid w:val="0DC0F5E9"/>
    <w:rsid w:val="0DC14C83"/>
    <w:rsid w:val="0DC3AB79"/>
    <w:rsid w:val="0DC5452F"/>
    <w:rsid w:val="0DC7C84D"/>
    <w:rsid w:val="0DCB7D39"/>
    <w:rsid w:val="0DCD5B5F"/>
    <w:rsid w:val="0DD15C45"/>
    <w:rsid w:val="0DD3BC60"/>
    <w:rsid w:val="0DD8FE68"/>
    <w:rsid w:val="0DD9549C"/>
    <w:rsid w:val="0DDDD57C"/>
    <w:rsid w:val="0DDF4469"/>
    <w:rsid w:val="0DE4A914"/>
    <w:rsid w:val="0DE76411"/>
    <w:rsid w:val="0DE9313F"/>
    <w:rsid w:val="0DE9DA48"/>
    <w:rsid w:val="0DEB8EBB"/>
    <w:rsid w:val="0DEF6D0D"/>
    <w:rsid w:val="0DEFF666"/>
    <w:rsid w:val="0DF06C0E"/>
    <w:rsid w:val="0DF9FCB8"/>
    <w:rsid w:val="0DFA9C37"/>
    <w:rsid w:val="0E04157C"/>
    <w:rsid w:val="0E05BA3B"/>
    <w:rsid w:val="0E1400BD"/>
    <w:rsid w:val="0E16F8A4"/>
    <w:rsid w:val="0E2051B9"/>
    <w:rsid w:val="0E2A4980"/>
    <w:rsid w:val="0E317A8B"/>
    <w:rsid w:val="0E3A9635"/>
    <w:rsid w:val="0E451E69"/>
    <w:rsid w:val="0E45F64D"/>
    <w:rsid w:val="0E488C19"/>
    <w:rsid w:val="0E49F6EF"/>
    <w:rsid w:val="0E4A0A2B"/>
    <w:rsid w:val="0E4B624C"/>
    <w:rsid w:val="0E501462"/>
    <w:rsid w:val="0E50C80A"/>
    <w:rsid w:val="0E51B0BE"/>
    <w:rsid w:val="0E528CC4"/>
    <w:rsid w:val="0E53DB33"/>
    <w:rsid w:val="0E59174D"/>
    <w:rsid w:val="0E5A3A03"/>
    <w:rsid w:val="0E5C2257"/>
    <w:rsid w:val="0E647E11"/>
    <w:rsid w:val="0E64A70B"/>
    <w:rsid w:val="0E659CAF"/>
    <w:rsid w:val="0E65E693"/>
    <w:rsid w:val="0E6B68A5"/>
    <w:rsid w:val="0E6B92AD"/>
    <w:rsid w:val="0E6D8178"/>
    <w:rsid w:val="0E6EF7AE"/>
    <w:rsid w:val="0E7263EF"/>
    <w:rsid w:val="0E74F4E4"/>
    <w:rsid w:val="0E7543DE"/>
    <w:rsid w:val="0E7A05D1"/>
    <w:rsid w:val="0E85983F"/>
    <w:rsid w:val="0E88FCAA"/>
    <w:rsid w:val="0E89D647"/>
    <w:rsid w:val="0E8EF0F8"/>
    <w:rsid w:val="0E9130E0"/>
    <w:rsid w:val="0E923480"/>
    <w:rsid w:val="0E94E40C"/>
    <w:rsid w:val="0E9873AC"/>
    <w:rsid w:val="0E99A1BB"/>
    <w:rsid w:val="0EA4BD12"/>
    <w:rsid w:val="0EA7D492"/>
    <w:rsid w:val="0EAD802F"/>
    <w:rsid w:val="0EADE9B7"/>
    <w:rsid w:val="0EAE5A3D"/>
    <w:rsid w:val="0EB4BA79"/>
    <w:rsid w:val="0EBE9650"/>
    <w:rsid w:val="0EC351D6"/>
    <w:rsid w:val="0EC5531E"/>
    <w:rsid w:val="0EC61F40"/>
    <w:rsid w:val="0EC8AF0D"/>
    <w:rsid w:val="0ECE1D27"/>
    <w:rsid w:val="0ECF2912"/>
    <w:rsid w:val="0ED1F093"/>
    <w:rsid w:val="0ED2F5EB"/>
    <w:rsid w:val="0ED3FF16"/>
    <w:rsid w:val="0ED83256"/>
    <w:rsid w:val="0EDC3DDF"/>
    <w:rsid w:val="0EDCDC9F"/>
    <w:rsid w:val="0EDEE5D4"/>
    <w:rsid w:val="0EE27FA0"/>
    <w:rsid w:val="0EE9618E"/>
    <w:rsid w:val="0EECAA63"/>
    <w:rsid w:val="0EEE5777"/>
    <w:rsid w:val="0EEE67E4"/>
    <w:rsid w:val="0EF1029F"/>
    <w:rsid w:val="0EF2D3DB"/>
    <w:rsid w:val="0EF5F92D"/>
    <w:rsid w:val="0EF94A59"/>
    <w:rsid w:val="0EFB69ED"/>
    <w:rsid w:val="0EFBFA8C"/>
    <w:rsid w:val="0EFC30E2"/>
    <w:rsid w:val="0EFC8C5F"/>
    <w:rsid w:val="0EFEF89F"/>
    <w:rsid w:val="0F007D22"/>
    <w:rsid w:val="0F08ADB9"/>
    <w:rsid w:val="0F0932B2"/>
    <w:rsid w:val="0F098D6E"/>
    <w:rsid w:val="0F0D8CD2"/>
    <w:rsid w:val="0F0E2805"/>
    <w:rsid w:val="0F0F017C"/>
    <w:rsid w:val="0F114295"/>
    <w:rsid w:val="0F19613B"/>
    <w:rsid w:val="0F1963AE"/>
    <w:rsid w:val="0F1DE347"/>
    <w:rsid w:val="0F25BDED"/>
    <w:rsid w:val="0F2DA88C"/>
    <w:rsid w:val="0F2EB7B6"/>
    <w:rsid w:val="0F32F29E"/>
    <w:rsid w:val="0F381689"/>
    <w:rsid w:val="0F383452"/>
    <w:rsid w:val="0F40A123"/>
    <w:rsid w:val="0F4115A9"/>
    <w:rsid w:val="0F414838"/>
    <w:rsid w:val="0F46FFA7"/>
    <w:rsid w:val="0F47C6AB"/>
    <w:rsid w:val="0F4D535D"/>
    <w:rsid w:val="0F4DC770"/>
    <w:rsid w:val="0F4E1F5E"/>
    <w:rsid w:val="0F4E36FE"/>
    <w:rsid w:val="0F50DC66"/>
    <w:rsid w:val="0F518B3B"/>
    <w:rsid w:val="0F533C91"/>
    <w:rsid w:val="0F54F9F6"/>
    <w:rsid w:val="0F55C93A"/>
    <w:rsid w:val="0F55D142"/>
    <w:rsid w:val="0F56C6E7"/>
    <w:rsid w:val="0F5A535B"/>
    <w:rsid w:val="0F5EF3DA"/>
    <w:rsid w:val="0F5FB1EA"/>
    <w:rsid w:val="0F61FDA1"/>
    <w:rsid w:val="0F64EFD7"/>
    <w:rsid w:val="0F6D0803"/>
    <w:rsid w:val="0F6DF634"/>
    <w:rsid w:val="0F6F04F8"/>
    <w:rsid w:val="0F6FAC9D"/>
    <w:rsid w:val="0F6FDC0E"/>
    <w:rsid w:val="0F727FF2"/>
    <w:rsid w:val="0F747725"/>
    <w:rsid w:val="0F78642B"/>
    <w:rsid w:val="0F7908C7"/>
    <w:rsid w:val="0F7BE93C"/>
    <w:rsid w:val="0F8433C5"/>
    <w:rsid w:val="0F8FC1DD"/>
    <w:rsid w:val="0F9235A2"/>
    <w:rsid w:val="0F935891"/>
    <w:rsid w:val="0F9AD00E"/>
    <w:rsid w:val="0F9B5825"/>
    <w:rsid w:val="0F9FD6C4"/>
    <w:rsid w:val="0FA0F653"/>
    <w:rsid w:val="0FA7125C"/>
    <w:rsid w:val="0FA97BB8"/>
    <w:rsid w:val="0FA984C5"/>
    <w:rsid w:val="0FAB3483"/>
    <w:rsid w:val="0FB0896E"/>
    <w:rsid w:val="0FB1FAED"/>
    <w:rsid w:val="0FB39247"/>
    <w:rsid w:val="0FB52B61"/>
    <w:rsid w:val="0FB56AA0"/>
    <w:rsid w:val="0FB654E6"/>
    <w:rsid w:val="0FB7B357"/>
    <w:rsid w:val="0FBE412A"/>
    <w:rsid w:val="0FC1A0BC"/>
    <w:rsid w:val="0FC27F6E"/>
    <w:rsid w:val="0FC6AEED"/>
    <w:rsid w:val="0FC6D997"/>
    <w:rsid w:val="0FC9634E"/>
    <w:rsid w:val="0FC9DC78"/>
    <w:rsid w:val="0FCA4BAE"/>
    <w:rsid w:val="0FCB31BC"/>
    <w:rsid w:val="0FCD56EE"/>
    <w:rsid w:val="0FCF376E"/>
    <w:rsid w:val="0FD42E49"/>
    <w:rsid w:val="0FD649DA"/>
    <w:rsid w:val="0FDA1892"/>
    <w:rsid w:val="0FDA3FAF"/>
    <w:rsid w:val="0FDCFCB6"/>
    <w:rsid w:val="0FDF625B"/>
    <w:rsid w:val="0FE05D9F"/>
    <w:rsid w:val="0FE2B25D"/>
    <w:rsid w:val="0FE34A2A"/>
    <w:rsid w:val="0FEAE6B8"/>
    <w:rsid w:val="0FEB6638"/>
    <w:rsid w:val="0FEC073E"/>
    <w:rsid w:val="0FEF9074"/>
    <w:rsid w:val="0FF09FFB"/>
    <w:rsid w:val="0FF0B973"/>
    <w:rsid w:val="0FF172FB"/>
    <w:rsid w:val="0FF2BEA0"/>
    <w:rsid w:val="0FF83337"/>
    <w:rsid w:val="0FF856BA"/>
    <w:rsid w:val="0FF92AF6"/>
    <w:rsid w:val="0FFBF441"/>
    <w:rsid w:val="0FFF935A"/>
    <w:rsid w:val="10047ECB"/>
    <w:rsid w:val="100B76BE"/>
    <w:rsid w:val="100E5299"/>
    <w:rsid w:val="100F1211"/>
    <w:rsid w:val="1014F6FC"/>
    <w:rsid w:val="1018A781"/>
    <w:rsid w:val="10194CB7"/>
    <w:rsid w:val="1019B9E7"/>
    <w:rsid w:val="101B1E32"/>
    <w:rsid w:val="101CF49E"/>
    <w:rsid w:val="101ED6D0"/>
    <w:rsid w:val="101F37D5"/>
    <w:rsid w:val="101FD61F"/>
    <w:rsid w:val="1020E2E0"/>
    <w:rsid w:val="102383BC"/>
    <w:rsid w:val="1029EDDA"/>
    <w:rsid w:val="102B4B52"/>
    <w:rsid w:val="102BB696"/>
    <w:rsid w:val="1034CAAD"/>
    <w:rsid w:val="103625C4"/>
    <w:rsid w:val="10372BE5"/>
    <w:rsid w:val="103EDB1E"/>
    <w:rsid w:val="103F2315"/>
    <w:rsid w:val="1041CA30"/>
    <w:rsid w:val="1042D851"/>
    <w:rsid w:val="10434A35"/>
    <w:rsid w:val="104C150B"/>
    <w:rsid w:val="1054E577"/>
    <w:rsid w:val="105550F1"/>
    <w:rsid w:val="1055B9E5"/>
    <w:rsid w:val="1055D85C"/>
    <w:rsid w:val="10569EC0"/>
    <w:rsid w:val="105A180D"/>
    <w:rsid w:val="105BC71E"/>
    <w:rsid w:val="105D0D90"/>
    <w:rsid w:val="105F926C"/>
    <w:rsid w:val="1060BC09"/>
    <w:rsid w:val="1061497D"/>
    <w:rsid w:val="10641CDB"/>
    <w:rsid w:val="10645B35"/>
    <w:rsid w:val="1069286C"/>
    <w:rsid w:val="106E2FCC"/>
    <w:rsid w:val="106F9ABD"/>
    <w:rsid w:val="1070D4FA"/>
    <w:rsid w:val="10735BD4"/>
    <w:rsid w:val="1073930F"/>
    <w:rsid w:val="107A0902"/>
    <w:rsid w:val="107A3D66"/>
    <w:rsid w:val="107BA378"/>
    <w:rsid w:val="107FACBC"/>
    <w:rsid w:val="10802B92"/>
    <w:rsid w:val="1080E6CD"/>
    <w:rsid w:val="10840B18"/>
    <w:rsid w:val="1086A46F"/>
    <w:rsid w:val="108832A3"/>
    <w:rsid w:val="108A2092"/>
    <w:rsid w:val="108A476E"/>
    <w:rsid w:val="108AB57B"/>
    <w:rsid w:val="108BD783"/>
    <w:rsid w:val="108E92BA"/>
    <w:rsid w:val="108EC789"/>
    <w:rsid w:val="109129FF"/>
    <w:rsid w:val="109B79F2"/>
    <w:rsid w:val="109EDEE2"/>
    <w:rsid w:val="10A3678C"/>
    <w:rsid w:val="10A8568F"/>
    <w:rsid w:val="10A9AD17"/>
    <w:rsid w:val="10ADA74E"/>
    <w:rsid w:val="10AFB1F2"/>
    <w:rsid w:val="10AFF7DE"/>
    <w:rsid w:val="10BCAC0C"/>
    <w:rsid w:val="10BEAFDD"/>
    <w:rsid w:val="10C47E79"/>
    <w:rsid w:val="10CE13F7"/>
    <w:rsid w:val="10CFCC7C"/>
    <w:rsid w:val="10D0AFC3"/>
    <w:rsid w:val="10E17C71"/>
    <w:rsid w:val="10E31439"/>
    <w:rsid w:val="10E439A9"/>
    <w:rsid w:val="10E87EEE"/>
    <w:rsid w:val="10E90656"/>
    <w:rsid w:val="10EA72A1"/>
    <w:rsid w:val="10F754A9"/>
    <w:rsid w:val="10FB3A37"/>
    <w:rsid w:val="10FCF211"/>
    <w:rsid w:val="10FE3130"/>
    <w:rsid w:val="1101F016"/>
    <w:rsid w:val="110290A4"/>
    <w:rsid w:val="1106541A"/>
    <w:rsid w:val="110D3F48"/>
    <w:rsid w:val="1114512E"/>
    <w:rsid w:val="11198EDB"/>
    <w:rsid w:val="111CCE03"/>
    <w:rsid w:val="111EC52E"/>
    <w:rsid w:val="11276CFC"/>
    <w:rsid w:val="1134163A"/>
    <w:rsid w:val="11368B11"/>
    <w:rsid w:val="113C9D65"/>
    <w:rsid w:val="113EA67E"/>
    <w:rsid w:val="113F006B"/>
    <w:rsid w:val="1140568B"/>
    <w:rsid w:val="11421BE1"/>
    <w:rsid w:val="1145A697"/>
    <w:rsid w:val="11473B0C"/>
    <w:rsid w:val="114874D3"/>
    <w:rsid w:val="11499BE2"/>
    <w:rsid w:val="1149A9A9"/>
    <w:rsid w:val="114A20DA"/>
    <w:rsid w:val="114F51EF"/>
    <w:rsid w:val="11506079"/>
    <w:rsid w:val="1153D433"/>
    <w:rsid w:val="11596EE9"/>
    <w:rsid w:val="115DB4E7"/>
    <w:rsid w:val="115EF585"/>
    <w:rsid w:val="11603004"/>
    <w:rsid w:val="11636881"/>
    <w:rsid w:val="1165FEC8"/>
    <w:rsid w:val="116AF113"/>
    <w:rsid w:val="116E586B"/>
    <w:rsid w:val="116FA993"/>
    <w:rsid w:val="1170BA89"/>
    <w:rsid w:val="117AA495"/>
    <w:rsid w:val="117C823D"/>
    <w:rsid w:val="117E354D"/>
    <w:rsid w:val="1180842D"/>
    <w:rsid w:val="118177B2"/>
    <w:rsid w:val="118A047E"/>
    <w:rsid w:val="118B2653"/>
    <w:rsid w:val="118D55AB"/>
    <w:rsid w:val="118D7A5D"/>
    <w:rsid w:val="1191B724"/>
    <w:rsid w:val="1195D2CF"/>
    <w:rsid w:val="11972267"/>
    <w:rsid w:val="1197735B"/>
    <w:rsid w:val="11995720"/>
    <w:rsid w:val="11999162"/>
    <w:rsid w:val="11A5A86C"/>
    <w:rsid w:val="11A73FAE"/>
    <w:rsid w:val="11AB0E3D"/>
    <w:rsid w:val="11AB79A5"/>
    <w:rsid w:val="11AF763B"/>
    <w:rsid w:val="11B645C8"/>
    <w:rsid w:val="11B85265"/>
    <w:rsid w:val="11B87AE1"/>
    <w:rsid w:val="11BFA095"/>
    <w:rsid w:val="11C21130"/>
    <w:rsid w:val="11C6F532"/>
    <w:rsid w:val="11CCBB61"/>
    <w:rsid w:val="11D07167"/>
    <w:rsid w:val="11D576FF"/>
    <w:rsid w:val="11DADEC8"/>
    <w:rsid w:val="11DE9625"/>
    <w:rsid w:val="11E2AA1F"/>
    <w:rsid w:val="11E6F257"/>
    <w:rsid w:val="11ECC4C6"/>
    <w:rsid w:val="11ED0AFF"/>
    <w:rsid w:val="11EE1729"/>
    <w:rsid w:val="11F12511"/>
    <w:rsid w:val="11FD0695"/>
    <w:rsid w:val="11FD4AE4"/>
    <w:rsid w:val="11FE58F8"/>
    <w:rsid w:val="11FF0EF1"/>
    <w:rsid w:val="11FF2AB4"/>
    <w:rsid w:val="120043B3"/>
    <w:rsid w:val="12008F9D"/>
    <w:rsid w:val="1206F5F7"/>
    <w:rsid w:val="12082EBB"/>
    <w:rsid w:val="120C26D0"/>
    <w:rsid w:val="120C580D"/>
    <w:rsid w:val="120D6284"/>
    <w:rsid w:val="120FB786"/>
    <w:rsid w:val="1217517C"/>
    <w:rsid w:val="1217DDAA"/>
    <w:rsid w:val="12182FD9"/>
    <w:rsid w:val="12210662"/>
    <w:rsid w:val="1227A122"/>
    <w:rsid w:val="12288705"/>
    <w:rsid w:val="122AA03E"/>
    <w:rsid w:val="122C59CD"/>
    <w:rsid w:val="122CC1ED"/>
    <w:rsid w:val="1231A72E"/>
    <w:rsid w:val="12325402"/>
    <w:rsid w:val="12347E66"/>
    <w:rsid w:val="123598BC"/>
    <w:rsid w:val="123B782B"/>
    <w:rsid w:val="1242068D"/>
    <w:rsid w:val="12482657"/>
    <w:rsid w:val="1249CAFE"/>
    <w:rsid w:val="124E10A0"/>
    <w:rsid w:val="124E1530"/>
    <w:rsid w:val="125961BF"/>
    <w:rsid w:val="125B1981"/>
    <w:rsid w:val="125C5BAF"/>
    <w:rsid w:val="125DBDCE"/>
    <w:rsid w:val="125E08BF"/>
    <w:rsid w:val="125FC288"/>
    <w:rsid w:val="126A5619"/>
    <w:rsid w:val="126BE9E9"/>
    <w:rsid w:val="126C19DE"/>
    <w:rsid w:val="126DF05F"/>
    <w:rsid w:val="12701089"/>
    <w:rsid w:val="1270AB08"/>
    <w:rsid w:val="12712766"/>
    <w:rsid w:val="12716AEC"/>
    <w:rsid w:val="1277DA0D"/>
    <w:rsid w:val="127F13AA"/>
    <w:rsid w:val="12833CFD"/>
    <w:rsid w:val="12859C92"/>
    <w:rsid w:val="1285D7B0"/>
    <w:rsid w:val="1287EA2F"/>
    <w:rsid w:val="128DAF25"/>
    <w:rsid w:val="128FDCCC"/>
    <w:rsid w:val="1292849E"/>
    <w:rsid w:val="1295FAC9"/>
    <w:rsid w:val="1296BF1E"/>
    <w:rsid w:val="129F1FE9"/>
    <w:rsid w:val="12A15887"/>
    <w:rsid w:val="12A2523B"/>
    <w:rsid w:val="12A456C5"/>
    <w:rsid w:val="12A96C33"/>
    <w:rsid w:val="12AC7A33"/>
    <w:rsid w:val="12AE436B"/>
    <w:rsid w:val="12AE582A"/>
    <w:rsid w:val="12AFD0FB"/>
    <w:rsid w:val="12B37E97"/>
    <w:rsid w:val="12B727F7"/>
    <w:rsid w:val="12BE72FD"/>
    <w:rsid w:val="12BEA38F"/>
    <w:rsid w:val="12BF4CB6"/>
    <w:rsid w:val="12C2C092"/>
    <w:rsid w:val="12C4A9F9"/>
    <w:rsid w:val="12C66865"/>
    <w:rsid w:val="12C6B966"/>
    <w:rsid w:val="12CC1CC7"/>
    <w:rsid w:val="12D0D3A0"/>
    <w:rsid w:val="12D19171"/>
    <w:rsid w:val="12D1F912"/>
    <w:rsid w:val="12D2B44E"/>
    <w:rsid w:val="12D47D25"/>
    <w:rsid w:val="12E046E1"/>
    <w:rsid w:val="12E2C8CE"/>
    <w:rsid w:val="12E69019"/>
    <w:rsid w:val="12E9A9C0"/>
    <w:rsid w:val="12ECB998"/>
    <w:rsid w:val="12ED986B"/>
    <w:rsid w:val="12EDAE5B"/>
    <w:rsid w:val="12EE3FF7"/>
    <w:rsid w:val="12F0970A"/>
    <w:rsid w:val="12F2C82A"/>
    <w:rsid w:val="12F45DF4"/>
    <w:rsid w:val="12F71377"/>
    <w:rsid w:val="12FB6E07"/>
    <w:rsid w:val="13031CBE"/>
    <w:rsid w:val="1304817F"/>
    <w:rsid w:val="130700BF"/>
    <w:rsid w:val="13081E28"/>
    <w:rsid w:val="130D9896"/>
    <w:rsid w:val="130DB49B"/>
    <w:rsid w:val="13101D79"/>
    <w:rsid w:val="1310FB62"/>
    <w:rsid w:val="1311091A"/>
    <w:rsid w:val="13183379"/>
    <w:rsid w:val="1319B711"/>
    <w:rsid w:val="131AAC98"/>
    <w:rsid w:val="131ADD4C"/>
    <w:rsid w:val="131AE46C"/>
    <w:rsid w:val="1321D67B"/>
    <w:rsid w:val="1322F5FC"/>
    <w:rsid w:val="132450EB"/>
    <w:rsid w:val="1324B7E3"/>
    <w:rsid w:val="1324D6DA"/>
    <w:rsid w:val="1324F700"/>
    <w:rsid w:val="1329E51E"/>
    <w:rsid w:val="132E729F"/>
    <w:rsid w:val="133A089D"/>
    <w:rsid w:val="133E66B1"/>
    <w:rsid w:val="1343A646"/>
    <w:rsid w:val="13447F07"/>
    <w:rsid w:val="1345B8CF"/>
    <w:rsid w:val="1348B089"/>
    <w:rsid w:val="134A5A16"/>
    <w:rsid w:val="134D665D"/>
    <w:rsid w:val="134E6280"/>
    <w:rsid w:val="13525748"/>
    <w:rsid w:val="13541033"/>
    <w:rsid w:val="135BAD31"/>
    <w:rsid w:val="135CAA5C"/>
    <w:rsid w:val="135E6182"/>
    <w:rsid w:val="135F109A"/>
    <w:rsid w:val="13612FFC"/>
    <w:rsid w:val="1362A490"/>
    <w:rsid w:val="136594D5"/>
    <w:rsid w:val="136612E0"/>
    <w:rsid w:val="13668B45"/>
    <w:rsid w:val="136D0D12"/>
    <w:rsid w:val="136D1AD2"/>
    <w:rsid w:val="136E8E8E"/>
    <w:rsid w:val="136EAD74"/>
    <w:rsid w:val="13702413"/>
    <w:rsid w:val="13768D4F"/>
    <w:rsid w:val="1377FCF8"/>
    <w:rsid w:val="13798618"/>
    <w:rsid w:val="137A22D8"/>
    <w:rsid w:val="137BAFF2"/>
    <w:rsid w:val="137CACFB"/>
    <w:rsid w:val="137D6AF1"/>
    <w:rsid w:val="13841A4E"/>
    <w:rsid w:val="13849408"/>
    <w:rsid w:val="138C01C8"/>
    <w:rsid w:val="138CC88B"/>
    <w:rsid w:val="138FF2F6"/>
    <w:rsid w:val="139B6C4D"/>
    <w:rsid w:val="139CD29A"/>
    <w:rsid w:val="13A14B39"/>
    <w:rsid w:val="13A3DEEC"/>
    <w:rsid w:val="13A936D6"/>
    <w:rsid w:val="13B3792F"/>
    <w:rsid w:val="13B46A41"/>
    <w:rsid w:val="13B6053D"/>
    <w:rsid w:val="13B8658F"/>
    <w:rsid w:val="13BFD992"/>
    <w:rsid w:val="13C05A5D"/>
    <w:rsid w:val="13C28701"/>
    <w:rsid w:val="13C3527B"/>
    <w:rsid w:val="13C44F4C"/>
    <w:rsid w:val="13C4AED1"/>
    <w:rsid w:val="13CFAA01"/>
    <w:rsid w:val="13D20C0E"/>
    <w:rsid w:val="13D39443"/>
    <w:rsid w:val="13D445FA"/>
    <w:rsid w:val="13D6A165"/>
    <w:rsid w:val="13DADF75"/>
    <w:rsid w:val="13DD600D"/>
    <w:rsid w:val="13DDE5DD"/>
    <w:rsid w:val="13DECF8E"/>
    <w:rsid w:val="13E08F46"/>
    <w:rsid w:val="13E437B2"/>
    <w:rsid w:val="13E49E56"/>
    <w:rsid w:val="13E6E9A7"/>
    <w:rsid w:val="13E866A9"/>
    <w:rsid w:val="13F10AAF"/>
    <w:rsid w:val="13F3CD31"/>
    <w:rsid w:val="13F7EE05"/>
    <w:rsid w:val="13F9F7A1"/>
    <w:rsid w:val="13FA9213"/>
    <w:rsid w:val="13FE1DB2"/>
    <w:rsid w:val="14017A90"/>
    <w:rsid w:val="14056D19"/>
    <w:rsid w:val="140A03E7"/>
    <w:rsid w:val="140B5BBC"/>
    <w:rsid w:val="1417555E"/>
    <w:rsid w:val="14198964"/>
    <w:rsid w:val="141EC56D"/>
    <w:rsid w:val="1420B9D2"/>
    <w:rsid w:val="142931B2"/>
    <w:rsid w:val="142C01E7"/>
    <w:rsid w:val="142FC35D"/>
    <w:rsid w:val="1431BC8B"/>
    <w:rsid w:val="143598F8"/>
    <w:rsid w:val="143F9C0F"/>
    <w:rsid w:val="1442B803"/>
    <w:rsid w:val="1442C6A0"/>
    <w:rsid w:val="1444B950"/>
    <w:rsid w:val="1445ACDD"/>
    <w:rsid w:val="14496DD2"/>
    <w:rsid w:val="144A5E95"/>
    <w:rsid w:val="1451ECEC"/>
    <w:rsid w:val="14525DE7"/>
    <w:rsid w:val="1454C973"/>
    <w:rsid w:val="14553FCA"/>
    <w:rsid w:val="145549CE"/>
    <w:rsid w:val="1456C2DA"/>
    <w:rsid w:val="14572B84"/>
    <w:rsid w:val="1457804E"/>
    <w:rsid w:val="1459DF71"/>
    <w:rsid w:val="145B5712"/>
    <w:rsid w:val="145DBBFF"/>
    <w:rsid w:val="14647C33"/>
    <w:rsid w:val="1464867F"/>
    <w:rsid w:val="1465B501"/>
    <w:rsid w:val="1466C753"/>
    <w:rsid w:val="1469CED2"/>
    <w:rsid w:val="14748989"/>
    <w:rsid w:val="1478A419"/>
    <w:rsid w:val="147C9903"/>
    <w:rsid w:val="147D0A19"/>
    <w:rsid w:val="147DD9AA"/>
    <w:rsid w:val="1480B243"/>
    <w:rsid w:val="14822668"/>
    <w:rsid w:val="148415D4"/>
    <w:rsid w:val="14883003"/>
    <w:rsid w:val="1488B7DC"/>
    <w:rsid w:val="1488BC42"/>
    <w:rsid w:val="148A9C4E"/>
    <w:rsid w:val="14902963"/>
    <w:rsid w:val="149186D2"/>
    <w:rsid w:val="1492422A"/>
    <w:rsid w:val="149556FB"/>
    <w:rsid w:val="149ABFA7"/>
    <w:rsid w:val="149C47C3"/>
    <w:rsid w:val="149DF087"/>
    <w:rsid w:val="149ECFB4"/>
    <w:rsid w:val="14A02722"/>
    <w:rsid w:val="14A055F4"/>
    <w:rsid w:val="14A122A8"/>
    <w:rsid w:val="14A1F46E"/>
    <w:rsid w:val="14A92707"/>
    <w:rsid w:val="14AA80F5"/>
    <w:rsid w:val="14B30076"/>
    <w:rsid w:val="14B537B5"/>
    <w:rsid w:val="14B9D4C0"/>
    <w:rsid w:val="14BD27DE"/>
    <w:rsid w:val="14BEF4E4"/>
    <w:rsid w:val="14BF9956"/>
    <w:rsid w:val="14C1A1D9"/>
    <w:rsid w:val="14C2C958"/>
    <w:rsid w:val="14C4AB4D"/>
    <w:rsid w:val="14CB5B3E"/>
    <w:rsid w:val="14CC7276"/>
    <w:rsid w:val="14CEFCFA"/>
    <w:rsid w:val="14D3B3D7"/>
    <w:rsid w:val="14D50835"/>
    <w:rsid w:val="14D539BF"/>
    <w:rsid w:val="14D98090"/>
    <w:rsid w:val="14E1B1DF"/>
    <w:rsid w:val="14E40085"/>
    <w:rsid w:val="14E41C1F"/>
    <w:rsid w:val="14E939D3"/>
    <w:rsid w:val="14E9D905"/>
    <w:rsid w:val="14EB356E"/>
    <w:rsid w:val="14ED4045"/>
    <w:rsid w:val="14EE9D8C"/>
    <w:rsid w:val="14F3C2D8"/>
    <w:rsid w:val="14F5456A"/>
    <w:rsid w:val="14F7C893"/>
    <w:rsid w:val="14F941E4"/>
    <w:rsid w:val="14FB409B"/>
    <w:rsid w:val="14FE4A7F"/>
    <w:rsid w:val="15002D2E"/>
    <w:rsid w:val="15018868"/>
    <w:rsid w:val="1503436C"/>
    <w:rsid w:val="15039203"/>
    <w:rsid w:val="15041AB3"/>
    <w:rsid w:val="15073906"/>
    <w:rsid w:val="15082383"/>
    <w:rsid w:val="150FBB93"/>
    <w:rsid w:val="1517A722"/>
    <w:rsid w:val="1517FCB4"/>
    <w:rsid w:val="1519C464"/>
    <w:rsid w:val="151B6029"/>
    <w:rsid w:val="151D05D5"/>
    <w:rsid w:val="15200BB4"/>
    <w:rsid w:val="1520D2AF"/>
    <w:rsid w:val="15233C7F"/>
    <w:rsid w:val="152AC791"/>
    <w:rsid w:val="152BB537"/>
    <w:rsid w:val="152BF61A"/>
    <w:rsid w:val="152C6B0C"/>
    <w:rsid w:val="152C80D8"/>
    <w:rsid w:val="1535A026"/>
    <w:rsid w:val="153CDF75"/>
    <w:rsid w:val="153D07DF"/>
    <w:rsid w:val="1541A11A"/>
    <w:rsid w:val="1545A99F"/>
    <w:rsid w:val="15461B7B"/>
    <w:rsid w:val="154C483C"/>
    <w:rsid w:val="154E0836"/>
    <w:rsid w:val="154FFB74"/>
    <w:rsid w:val="1550EA42"/>
    <w:rsid w:val="15543D69"/>
    <w:rsid w:val="15564BC5"/>
    <w:rsid w:val="1556EB33"/>
    <w:rsid w:val="1557EE5A"/>
    <w:rsid w:val="15585958"/>
    <w:rsid w:val="15588D60"/>
    <w:rsid w:val="155A4881"/>
    <w:rsid w:val="155A6DBF"/>
    <w:rsid w:val="155BC771"/>
    <w:rsid w:val="155C22FC"/>
    <w:rsid w:val="155CCABC"/>
    <w:rsid w:val="155D5565"/>
    <w:rsid w:val="15682D3E"/>
    <w:rsid w:val="156CE271"/>
    <w:rsid w:val="156DE30C"/>
    <w:rsid w:val="15709CF8"/>
    <w:rsid w:val="1575A02F"/>
    <w:rsid w:val="1577900C"/>
    <w:rsid w:val="1583D4EC"/>
    <w:rsid w:val="1586F0DB"/>
    <w:rsid w:val="15896256"/>
    <w:rsid w:val="1593FCA5"/>
    <w:rsid w:val="1599E274"/>
    <w:rsid w:val="159F5B01"/>
    <w:rsid w:val="15A01D6B"/>
    <w:rsid w:val="15A2CC98"/>
    <w:rsid w:val="15A39EE7"/>
    <w:rsid w:val="15A3E137"/>
    <w:rsid w:val="15A52861"/>
    <w:rsid w:val="15A6D53B"/>
    <w:rsid w:val="15A9BE9E"/>
    <w:rsid w:val="15AC1133"/>
    <w:rsid w:val="15AD7686"/>
    <w:rsid w:val="15B002DC"/>
    <w:rsid w:val="15B0A7A9"/>
    <w:rsid w:val="15B0EF44"/>
    <w:rsid w:val="15B1D23A"/>
    <w:rsid w:val="15B38BD9"/>
    <w:rsid w:val="15BB159E"/>
    <w:rsid w:val="15BB5A05"/>
    <w:rsid w:val="15BBC4E2"/>
    <w:rsid w:val="15C4E050"/>
    <w:rsid w:val="15C77140"/>
    <w:rsid w:val="15C92F84"/>
    <w:rsid w:val="15CB455C"/>
    <w:rsid w:val="15CB5B78"/>
    <w:rsid w:val="15CB7DBC"/>
    <w:rsid w:val="15D17A6A"/>
    <w:rsid w:val="15D40983"/>
    <w:rsid w:val="15D66693"/>
    <w:rsid w:val="15D67329"/>
    <w:rsid w:val="15E390B2"/>
    <w:rsid w:val="15E44386"/>
    <w:rsid w:val="15E60FB9"/>
    <w:rsid w:val="15E9B93E"/>
    <w:rsid w:val="15EC7AF5"/>
    <w:rsid w:val="15F261A3"/>
    <w:rsid w:val="15F64AB7"/>
    <w:rsid w:val="15F6E15A"/>
    <w:rsid w:val="15F8355B"/>
    <w:rsid w:val="15F9AC0F"/>
    <w:rsid w:val="15FB7ABD"/>
    <w:rsid w:val="15FC3615"/>
    <w:rsid w:val="1600A80E"/>
    <w:rsid w:val="160135E5"/>
    <w:rsid w:val="1601F9F1"/>
    <w:rsid w:val="160A7840"/>
    <w:rsid w:val="160BE396"/>
    <w:rsid w:val="160CD01C"/>
    <w:rsid w:val="160CD59C"/>
    <w:rsid w:val="1612F328"/>
    <w:rsid w:val="1614B5E5"/>
    <w:rsid w:val="16188910"/>
    <w:rsid w:val="161CAD35"/>
    <w:rsid w:val="1620D946"/>
    <w:rsid w:val="1622D059"/>
    <w:rsid w:val="16237B76"/>
    <w:rsid w:val="162A58E6"/>
    <w:rsid w:val="162CDFCC"/>
    <w:rsid w:val="1630929A"/>
    <w:rsid w:val="16321C84"/>
    <w:rsid w:val="163B0C51"/>
    <w:rsid w:val="163B945F"/>
    <w:rsid w:val="163BAF4B"/>
    <w:rsid w:val="163E8073"/>
    <w:rsid w:val="163FB6FC"/>
    <w:rsid w:val="163FEF67"/>
    <w:rsid w:val="16445A62"/>
    <w:rsid w:val="16448000"/>
    <w:rsid w:val="16478387"/>
    <w:rsid w:val="16481296"/>
    <w:rsid w:val="164E0EB3"/>
    <w:rsid w:val="164F7053"/>
    <w:rsid w:val="16518C48"/>
    <w:rsid w:val="1651FE36"/>
    <w:rsid w:val="1652FE2F"/>
    <w:rsid w:val="16558889"/>
    <w:rsid w:val="16571285"/>
    <w:rsid w:val="1659E5D6"/>
    <w:rsid w:val="1659E622"/>
    <w:rsid w:val="165CA5D7"/>
    <w:rsid w:val="165D827D"/>
    <w:rsid w:val="165F4F0A"/>
    <w:rsid w:val="166043A9"/>
    <w:rsid w:val="166176E2"/>
    <w:rsid w:val="16619ECC"/>
    <w:rsid w:val="16640DD4"/>
    <w:rsid w:val="1668A310"/>
    <w:rsid w:val="166928B3"/>
    <w:rsid w:val="166A0041"/>
    <w:rsid w:val="166A02F5"/>
    <w:rsid w:val="1671548A"/>
    <w:rsid w:val="16730C44"/>
    <w:rsid w:val="1676F000"/>
    <w:rsid w:val="167C4995"/>
    <w:rsid w:val="167E9D1D"/>
    <w:rsid w:val="168A1CDC"/>
    <w:rsid w:val="168B00D4"/>
    <w:rsid w:val="168DF481"/>
    <w:rsid w:val="168DFD41"/>
    <w:rsid w:val="168EBFF7"/>
    <w:rsid w:val="168F0960"/>
    <w:rsid w:val="169380FA"/>
    <w:rsid w:val="16981E68"/>
    <w:rsid w:val="169B135F"/>
    <w:rsid w:val="16A552D5"/>
    <w:rsid w:val="16AC7584"/>
    <w:rsid w:val="16ACA19C"/>
    <w:rsid w:val="16AE9432"/>
    <w:rsid w:val="16B1906C"/>
    <w:rsid w:val="16B1AD4B"/>
    <w:rsid w:val="16B48BD1"/>
    <w:rsid w:val="16B4B46F"/>
    <w:rsid w:val="16B54975"/>
    <w:rsid w:val="16B6CECF"/>
    <w:rsid w:val="16B71F2D"/>
    <w:rsid w:val="16B79417"/>
    <w:rsid w:val="16B8AD2E"/>
    <w:rsid w:val="16C5148A"/>
    <w:rsid w:val="16C5B42C"/>
    <w:rsid w:val="16C6FEA0"/>
    <w:rsid w:val="16C7C00A"/>
    <w:rsid w:val="16CA00D3"/>
    <w:rsid w:val="16D00F6C"/>
    <w:rsid w:val="16D0CDA8"/>
    <w:rsid w:val="16D121F9"/>
    <w:rsid w:val="16D95737"/>
    <w:rsid w:val="16E4C93C"/>
    <w:rsid w:val="16E697CE"/>
    <w:rsid w:val="16E85A85"/>
    <w:rsid w:val="16E88C43"/>
    <w:rsid w:val="16E96A66"/>
    <w:rsid w:val="16EA2882"/>
    <w:rsid w:val="16EFDDE8"/>
    <w:rsid w:val="16F7CC0D"/>
    <w:rsid w:val="16FC0FA8"/>
    <w:rsid w:val="16FE12CC"/>
    <w:rsid w:val="16FE2219"/>
    <w:rsid w:val="16FF3005"/>
    <w:rsid w:val="17020558"/>
    <w:rsid w:val="1703B819"/>
    <w:rsid w:val="17045E8A"/>
    <w:rsid w:val="1706D288"/>
    <w:rsid w:val="170CBF10"/>
    <w:rsid w:val="1712DAC8"/>
    <w:rsid w:val="171506E2"/>
    <w:rsid w:val="17176A9A"/>
    <w:rsid w:val="171E5918"/>
    <w:rsid w:val="171E7276"/>
    <w:rsid w:val="1726EE05"/>
    <w:rsid w:val="1728FC23"/>
    <w:rsid w:val="1730180C"/>
    <w:rsid w:val="173108B8"/>
    <w:rsid w:val="17378AC6"/>
    <w:rsid w:val="1738893F"/>
    <w:rsid w:val="173B23B5"/>
    <w:rsid w:val="173C55B2"/>
    <w:rsid w:val="173E62B4"/>
    <w:rsid w:val="17403391"/>
    <w:rsid w:val="174256E4"/>
    <w:rsid w:val="1743B299"/>
    <w:rsid w:val="1744A1A8"/>
    <w:rsid w:val="17457292"/>
    <w:rsid w:val="1745D0A3"/>
    <w:rsid w:val="174680F9"/>
    <w:rsid w:val="17542D99"/>
    <w:rsid w:val="17562081"/>
    <w:rsid w:val="1759F8FD"/>
    <w:rsid w:val="175D2948"/>
    <w:rsid w:val="1761D86B"/>
    <w:rsid w:val="17666BFE"/>
    <w:rsid w:val="176B0464"/>
    <w:rsid w:val="176C6F8F"/>
    <w:rsid w:val="176DA4F4"/>
    <w:rsid w:val="1777B53D"/>
    <w:rsid w:val="177A3B0B"/>
    <w:rsid w:val="177BBC57"/>
    <w:rsid w:val="177BDB49"/>
    <w:rsid w:val="177D5EBB"/>
    <w:rsid w:val="17811A77"/>
    <w:rsid w:val="1782F109"/>
    <w:rsid w:val="178C60F2"/>
    <w:rsid w:val="178E49C7"/>
    <w:rsid w:val="1795882D"/>
    <w:rsid w:val="17958DEB"/>
    <w:rsid w:val="1795C507"/>
    <w:rsid w:val="179719FF"/>
    <w:rsid w:val="1797DF2A"/>
    <w:rsid w:val="17990581"/>
    <w:rsid w:val="179E9D0D"/>
    <w:rsid w:val="17A35C5B"/>
    <w:rsid w:val="17A6003C"/>
    <w:rsid w:val="17B53A28"/>
    <w:rsid w:val="17B7D97B"/>
    <w:rsid w:val="17B8EEDD"/>
    <w:rsid w:val="17BC2351"/>
    <w:rsid w:val="17BE1A68"/>
    <w:rsid w:val="17BE8FC1"/>
    <w:rsid w:val="17BF6DDE"/>
    <w:rsid w:val="17C357B0"/>
    <w:rsid w:val="17D2B59C"/>
    <w:rsid w:val="17D4BFDF"/>
    <w:rsid w:val="17D9A74D"/>
    <w:rsid w:val="17DBD3F8"/>
    <w:rsid w:val="17DF3194"/>
    <w:rsid w:val="17E0F95F"/>
    <w:rsid w:val="17E28D57"/>
    <w:rsid w:val="17E3CBFC"/>
    <w:rsid w:val="17E5599C"/>
    <w:rsid w:val="17EE5EF6"/>
    <w:rsid w:val="17F29F75"/>
    <w:rsid w:val="17F4BD04"/>
    <w:rsid w:val="17F8938E"/>
    <w:rsid w:val="17F9754F"/>
    <w:rsid w:val="17F9C71B"/>
    <w:rsid w:val="17FC883B"/>
    <w:rsid w:val="17FE22D0"/>
    <w:rsid w:val="17FE25BE"/>
    <w:rsid w:val="17FF8C20"/>
    <w:rsid w:val="180A943C"/>
    <w:rsid w:val="180DB4CD"/>
    <w:rsid w:val="1812A2B9"/>
    <w:rsid w:val="1813842A"/>
    <w:rsid w:val="18168A20"/>
    <w:rsid w:val="18186164"/>
    <w:rsid w:val="181C7563"/>
    <w:rsid w:val="181E9C20"/>
    <w:rsid w:val="182B9084"/>
    <w:rsid w:val="182BCC93"/>
    <w:rsid w:val="182E400E"/>
    <w:rsid w:val="1832B08E"/>
    <w:rsid w:val="1834167E"/>
    <w:rsid w:val="1839720E"/>
    <w:rsid w:val="183C7744"/>
    <w:rsid w:val="18417C59"/>
    <w:rsid w:val="18463895"/>
    <w:rsid w:val="1846660A"/>
    <w:rsid w:val="1849A949"/>
    <w:rsid w:val="184B7928"/>
    <w:rsid w:val="184F7435"/>
    <w:rsid w:val="184FE393"/>
    <w:rsid w:val="185243AB"/>
    <w:rsid w:val="18524850"/>
    <w:rsid w:val="18550D2B"/>
    <w:rsid w:val="18582741"/>
    <w:rsid w:val="185CEBAC"/>
    <w:rsid w:val="185F3452"/>
    <w:rsid w:val="18633C71"/>
    <w:rsid w:val="1865B449"/>
    <w:rsid w:val="1868DAC3"/>
    <w:rsid w:val="186A0BA0"/>
    <w:rsid w:val="186B64EA"/>
    <w:rsid w:val="18708C6F"/>
    <w:rsid w:val="18743F27"/>
    <w:rsid w:val="18749818"/>
    <w:rsid w:val="187F0D46"/>
    <w:rsid w:val="18807E53"/>
    <w:rsid w:val="1880C071"/>
    <w:rsid w:val="1887836E"/>
    <w:rsid w:val="1888F4FB"/>
    <w:rsid w:val="188A274C"/>
    <w:rsid w:val="18914E47"/>
    <w:rsid w:val="18947FDF"/>
    <w:rsid w:val="18999EA6"/>
    <w:rsid w:val="18A76F98"/>
    <w:rsid w:val="18A89BAD"/>
    <w:rsid w:val="18A91F2F"/>
    <w:rsid w:val="18A9CC8C"/>
    <w:rsid w:val="18B2524E"/>
    <w:rsid w:val="18BB5782"/>
    <w:rsid w:val="18C02414"/>
    <w:rsid w:val="18C08291"/>
    <w:rsid w:val="18C09F24"/>
    <w:rsid w:val="18C2A2F2"/>
    <w:rsid w:val="18C8FC34"/>
    <w:rsid w:val="18D16D3E"/>
    <w:rsid w:val="18D5A757"/>
    <w:rsid w:val="18D8332F"/>
    <w:rsid w:val="18DBDB56"/>
    <w:rsid w:val="18DC0BFC"/>
    <w:rsid w:val="18DE7B01"/>
    <w:rsid w:val="18E12321"/>
    <w:rsid w:val="18EE5C84"/>
    <w:rsid w:val="19029E27"/>
    <w:rsid w:val="1902D4EF"/>
    <w:rsid w:val="19084231"/>
    <w:rsid w:val="19093551"/>
    <w:rsid w:val="190A5DDB"/>
    <w:rsid w:val="190AADD7"/>
    <w:rsid w:val="190C491F"/>
    <w:rsid w:val="190F7F2F"/>
    <w:rsid w:val="190FC6D9"/>
    <w:rsid w:val="19136211"/>
    <w:rsid w:val="1913AF59"/>
    <w:rsid w:val="19145482"/>
    <w:rsid w:val="1918F1F4"/>
    <w:rsid w:val="191AEAEA"/>
    <w:rsid w:val="191D48B4"/>
    <w:rsid w:val="191DD1C6"/>
    <w:rsid w:val="19224A63"/>
    <w:rsid w:val="19272599"/>
    <w:rsid w:val="192DBA3D"/>
    <w:rsid w:val="192E0B5E"/>
    <w:rsid w:val="192FB236"/>
    <w:rsid w:val="1930CB13"/>
    <w:rsid w:val="19313159"/>
    <w:rsid w:val="1941DBD4"/>
    <w:rsid w:val="1943D9B9"/>
    <w:rsid w:val="1943F6BE"/>
    <w:rsid w:val="19493F34"/>
    <w:rsid w:val="194A994E"/>
    <w:rsid w:val="194DFEE6"/>
    <w:rsid w:val="19523B42"/>
    <w:rsid w:val="195497A6"/>
    <w:rsid w:val="195DD222"/>
    <w:rsid w:val="19650992"/>
    <w:rsid w:val="196BE5E4"/>
    <w:rsid w:val="196C4AD6"/>
    <w:rsid w:val="196DC4CC"/>
    <w:rsid w:val="196FF7DE"/>
    <w:rsid w:val="19751CAC"/>
    <w:rsid w:val="198132DB"/>
    <w:rsid w:val="19849CD6"/>
    <w:rsid w:val="1985BE63"/>
    <w:rsid w:val="1987F4D6"/>
    <w:rsid w:val="19899C0D"/>
    <w:rsid w:val="198E1A23"/>
    <w:rsid w:val="198FA8AE"/>
    <w:rsid w:val="1998DDCB"/>
    <w:rsid w:val="199A103D"/>
    <w:rsid w:val="199D3AB2"/>
    <w:rsid w:val="19A2619E"/>
    <w:rsid w:val="19A75A43"/>
    <w:rsid w:val="19AA76E7"/>
    <w:rsid w:val="19AB1A06"/>
    <w:rsid w:val="19AF256C"/>
    <w:rsid w:val="19AFFFC6"/>
    <w:rsid w:val="19B18F30"/>
    <w:rsid w:val="19B80D5E"/>
    <w:rsid w:val="19BBBC6F"/>
    <w:rsid w:val="19C09853"/>
    <w:rsid w:val="19C1D81D"/>
    <w:rsid w:val="19C4B52B"/>
    <w:rsid w:val="19C68D81"/>
    <w:rsid w:val="19CE5855"/>
    <w:rsid w:val="19D0AB9D"/>
    <w:rsid w:val="19D7D8EB"/>
    <w:rsid w:val="19D98713"/>
    <w:rsid w:val="19DB0F33"/>
    <w:rsid w:val="19DE8404"/>
    <w:rsid w:val="19DF716F"/>
    <w:rsid w:val="19E1B4EB"/>
    <w:rsid w:val="19E8CFBF"/>
    <w:rsid w:val="19EEB798"/>
    <w:rsid w:val="19F03606"/>
    <w:rsid w:val="19F7F762"/>
    <w:rsid w:val="19FBB58C"/>
    <w:rsid w:val="19FCB311"/>
    <w:rsid w:val="1A004714"/>
    <w:rsid w:val="1A008C73"/>
    <w:rsid w:val="1A0346F6"/>
    <w:rsid w:val="1A039C0E"/>
    <w:rsid w:val="1A03E04C"/>
    <w:rsid w:val="1A054F4C"/>
    <w:rsid w:val="1A060019"/>
    <w:rsid w:val="1A092FE6"/>
    <w:rsid w:val="1A144B68"/>
    <w:rsid w:val="1A14908E"/>
    <w:rsid w:val="1A17DECC"/>
    <w:rsid w:val="1A188140"/>
    <w:rsid w:val="1A19C433"/>
    <w:rsid w:val="1A203D74"/>
    <w:rsid w:val="1A233CEA"/>
    <w:rsid w:val="1A2441AA"/>
    <w:rsid w:val="1A252D8F"/>
    <w:rsid w:val="1A286716"/>
    <w:rsid w:val="1A30DDE8"/>
    <w:rsid w:val="1A31F00C"/>
    <w:rsid w:val="1A3A7276"/>
    <w:rsid w:val="1A3CEB33"/>
    <w:rsid w:val="1A4556AF"/>
    <w:rsid w:val="1A4994C6"/>
    <w:rsid w:val="1A4BE80D"/>
    <w:rsid w:val="1A4CE1B4"/>
    <w:rsid w:val="1A4FF288"/>
    <w:rsid w:val="1A50D0EF"/>
    <w:rsid w:val="1A51E690"/>
    <w:rsid w:val="1A53EEAD"/>
    <w:rsid w:val="1A54D9BA"/>
    <w:rsid w:val="1A570B7E"/>
    <w:rsid w:val="1A5723EE"/>
    <w:rsid w:val="1A579E94"/>
    <w:rsid w:val="1A57D8BA"/>
    <w:rsid w:val="1A58B49F"/>
    <w:rsid w:val="1A5F99C2"/>
    <w:rsid w:val="1A61D31F"/>
    <w:rsid w:val="1A6366DA"/>
    <w:rsid w:val="1A6691CA"/>
    <w:rsid w:val="1A6BC8C7"/>
    <w:rsid w:val="1A6CA5D0"/>
    <w:rsid w:val="1A7035E5"/>
    <w:rsid w:val="1A742EF4"/>
    <w:rsid w:val="1A76489C"/>
    <w:rsid w:val="1A84E391"/>
    <w:rsid w:val="1A874C57"/>
    <w:rsid w:val="1A885A12"/>
    <w:rsid w:val="1A8F7A0C"/>
    <w:rsid w:val="1A9232E6"/>
    <w:rsid w:val="1A93A395"/>
    <w:rsid w:val="1A96F51F"/>
    <w:rsid w:val="1A9C175E"/>
    <w:rsid w:val="1A9D8685"/>
    <w:rsid w:val="1A9E6A55"/>
    <w:rsid w:val="1AA242D6"/>
    <w:rsid w:val="1AAFF855"/>
    <w:rsid w:val="1AB0A039"/>
    <w:rsid w:val="1AB1235E"/>
    <w:rsid w:val="1AB30095"/>
    <w:rsid w:val="1AB66DC7"/>
    <w:rsid w:val="1AB73BD7"/>
    <w:rsid w:val="1AB8A6EA"/>
    <w:rsid w:val="1AB9D696"/>
    <w:rsid w:val="1ABC04C8"/>
    <w:rsid w:val="1ABC32F1"/>
    <w:rsid w:val="1ABEBF7F"/>
    <w:rsid w:val="1ABFC723"/>
    <w:rsid w:val="1AC0025C"/>
    <w:rsid w:val="1AC01381"/>
    <w:rsid w:val="1AC4F1F9"/>
    <w:rsid w:val="1AC5D97A"/>
    <w:rsid w:val="1AC6D697"/>
    <w:rsid w:val="1AC6DDE0"/>
    <w:rsid w:val="1AC7BFA4"/>
    <w:rsid w:val="1AC80F37"/>
    <w:rsid w:val="1AC97B48"/>
    <w:rsid w:val="1ACA0986"/>
    <w:rsid w:val="1AD0257C"/>
    <w:rsid w:val="1AD6DA5F"/>
    <w:rsid w:val="1ADA8EE5"/>
    <w:rsid w:val="1ADB7987"/>
    <w:rsid w:val="1ADBE65A"/>
    <w:rsid w:val="1ADE8889"/>
    <w:rsid w:val="1ADED923"/>
    <w:rsid w:val="1AE28215"/>
    <w:rsid w:val="1AE4D4C3"/>
    <w:rsid w:val="1AE87C7D"/>
    <w:rsid w:val="1AE896BB"/>
    <w:rsid w:val="1AEB8374"/>
    <w:rsid w:val="1AF335F8"/>
    <w:rsid w:val="1AF6E4CB"/>
    <w:rsid w:val="1AFEC42E"/>
    <w:rsid w:val="1AFF1590"/>
    <w:rsid w:val="1B00A33B"/>
    <w:rsid w:val="1B0230F2"/>
    <w:rsid w:val="1B03C088"/>
    <w:rsid w:val="1B093389"/>
    <w:rsid w:val="1B0B1C83"/>
    <w:rsid w:val="1B0D8F3F"/>
    <w:rsid w:val="1B0F0436"/>
    <w:rsid w:val="1B13519C"/>
    <w:rsid w:val="1B18F460"/>
    <w:rsid w:val="1B197100"/>
    <w:rsid w:val="1B1AA3BD"/>
    <w:rsid w:val="1B1B5B9A"/>
    <w:rsid w:val="1B1C6144"/>
    <w:rsid w:val="1B1D2574"/>
    <w:rsid w:val="1B1D5913"/>
    <w:rsid w:val="1B1EE3BF"/>
    <w:rsid w:val="1B23E722"/>
    <w:rsid w:val="1B2824FA"/>
    <w:rsid w:val="1B29EC51"/>
    <w:rsid w:val="1B311CAE"/>
    <w:rsid w:val="1B37C071"/>
    <w:rsid w:val="1B397C53"/>
    <w:rsid w:val="1B3C0299"/>
    <w:rsid w:val="1B3C86C1"/>
    <w:rsid w:val="1B4199DA"/>
    <w:rsid w:val="1B443EA6"/>
    <w:rsid w:val="1B475700"/>
    <w:rsid w:val="1B498FFC"/>
    <w:rsid w:val="1B4C8CFB"/>
    <w:rsid w:val="1B50E374"/>
    <w:rsid w:val="1B51F686"/>
    <w:rsid w:val="1B5399B4"/>
    <w:rsid w:val="1B60EEA5"/>
    <w:rsid w:val="1B64B37C"/>
    <w:rsid w:val="1B69E060"/>
    <w:rsid w:val="1B767FF1"/>
    <w:rsid w:val="1B795D9B"/>
    <w:rsid w:val="1B7DFE89"/>
    <w:rsid w:val="1B836D9D"/>
    <w:rsid w:val="1B925B74"/>
    <w:rsid w:val="1B936714"/>
    <w:rsid w:val="1B93BE3B"/>
    <w:rsid w:val="1B957529"/>
    <w:rsid w:val="1B974F5E"/>
    <w:rsid w:val="1B977446"/>
    <w:rsid w:val="1B983600"/>
    <w:rsid w:val="1B9A3B13"/>
    <w:rsid w:val="1BA0609D"/>
    <w:rsid w:val="1BAFE85B"/>
    <w:rsid w:val="1BB0719B"/>
    <w:rsid w:val="1BB1C43A"/>
    <w:rsid w:val="1BB728AB"/>
    <w:rsid w:val="1BBB8F1D"/>
    <w:rsid w:val="1BBC1595"/>
    <w:rsid w:val="1BBDDA22"/>
    <w:rsid w:val="1BBDE840"/>
    <w:rsid w:val="1BBFD708"/>
    <w:rsid w:val="1BC1E2DD"/>
    <w:rsid w:val="1BCAC756"/>
    <w:rsid w:val="1BCBF369"/>
    <w:rsid w:val="1BCC2FAA"/>
    <w:rsid w:val="1BD23E94"/>
    <w:rsid w:val="1BD304FD"/>
    <w:rsid w:val="1BD3C8FD"/>
    <w:rsid w:val="1BD6113A"/>
    <w:rsid w:val="1BD68E7B"/>
    <w:rsid w:val="1BDFEC1B"/>
    <w:rsid w:val="1BE4784A"/>
    <w:rsid w:val="1BEABFD0"/>
    <w:rsid w:val="1BEAC860"/>
    <w:rsid w:val="1BEE7F58"/>
    <w:rsid w:val="1BF1F2AD"/>
    <w:rsid w:val="1BF2540E"/>
    <w:rsid w:val="1BF54414"/>
    <w:rsid w:val="1BF6D34E"/>
    <w:rsid w:val="1BF91FC7"/>
    <w:rsid w:val="1BF98600"/>
    <w:rsid w:val="1BFCE77F"/>
    <w:rsid w:val="1BFDF8A2"/>
    <w:rsid w:val="1BFE29BF"/>
    <w:rsid w:val="1C054C3F"/>
    <w:rsid w:val="1C0A3D97"/>
    <w:rsid w:val="1C0F9B21"/>
    <w:rsid w:val="1C100F79"/>
    <w:rsid w:val="1C10D73E"/>
    <w:rsid w:val="1C1253D7"/>
    <w:rsid w:val="1C130812"/>
    <w:rsid w:val="1C1309F9"/>
    <w:rsid w:val="1C138763"/>
    <w:rsid w:val="1C13BE82"/>
    <w:rsid w:val="1C189582"/>
    <w:rsid w:val="1C1A59BB"/>
    <w:rsid w:val="1C1AC00A"/>
    <w:rsid w:val="1C21DE7C"/>
    <w:rsid w:val="1C222F7F"/>
    <w:rsid w:val="1C254485"/>
    <w:rsid w:val="1C2579E0"/>
    <w:rsid w:val="1C2A7AEA"/>
    <w:rsid w:val="1C2C0629"/>
    <w:rsid w:val="1C30CC09"/>
    <w:rsid w:val="1C316460"/>
    <w:rsid w:val="1C34D47E"/>
    <w:rsid w:val="1C37149D"/>
    <w:rsid w:val="1C43BE8B"/>
    <w:rsid w:val="1C474D5E"/>
    <w:rsid w:val="1C49BC1C"/>
    <w:rsid w:val="1C4D71C3"/>
    <w:rsid w:val="1C4E2925"/>
    <w:rsid w:val="1C545D74"/>
    <w:rsid w:val="1C55216A"/>
    <w:rsid w:val="1C55E8B7"/>
    <w:rsid w:val="1C5A1BEF"/>
    <w:rsid w:val="1C5BC223"/>
    <w:rsid w:val="1C5C66EE"/>
    <w:rsid w:val="1C69A19E"/>
    <w:rsid w:val="1C7330D9"/>
    <w:rsid w:val="1C73843E"/>
    <w:rsid w:val="1C7674BB"/>
    <w:rsid w:val="1C7899B5"/>
    <w:rsid w:val="1C7D7623"/>
    <w:rsid w:val="1C7DFD84"/>
    <w:rsid w:val="1C81BC4F"/>
    <w:rsid w:val="1C83560C"/>
    <w:rsid w:val="1C85232D"/>
    <w:rsid w:val="1C8BD410"/>
    <w:rsid w:val="1C8CB35A"/>
    <w:rsid w:val="1C8FC9EA"/>
    <w:rsid w:val="1C941394"/>
    <w:rsid w:val="1C9F058A"/>
    <w:rsid w:val="1C9F301F"/>
    <w:rsid w:val="1C9FB4F4"/>
    <w:rsid w:val="1CA0C56D"/>
    <w:rsid w:val="1CA4697F"/>
    <w:rsid w:val="1CA509C6"/>
    <w:rsid w:val="1CA66F87"/>
    <w:rsid w:val="1CAD4915"/>
    <w:rsid w:val="1CAE0FE8"/>
    <w:rsid w:val="1CAE11FC"/>
    <w:rsid w:val="1CAF7D06"/>
    <w:rsid w:val="1CAFC6C9"/>
    <w:rsid w:val="1CB3C9DC"/>
    <w:rsid w:val="1CB65982"/>
    <w:rsid w:val="1CBAC166"/>
    <w:rsid w:val="1CC27C60"/>
    <w:rsid w:val="1CC439A0"/>
    <w:rsid w:val="1CD237B5"/>
    <w:rsid w:val="1CD4335F"/>
    <w:rsid w:val="1CD4B80B"/>
    <w:rsid w:val="1CD63A81"/>
    <w:rsid w:val="1CD7179D"/>
    <w:rsid w:val="1CDA5B55"/>
    <w:rsid w:val="1CDE09BA"/>
    <w:rsid w:val="1CDE9476"/>
    <w:rsid w:val="1CE6E22C"/>
    <w:rsid w:val="1CF4BDC1"/>
    <w:rsid w:val="1CF4F919"/>
    <w:rsid w:val="1CF5B0D7"/>
    <w:rsid w:val="1CF87804"/>
    <w:rsid w:val="1CFB88DE"/>
    <w:rsid w:val="1D0247AF"/>
    <w:rsid w:val="1D03549C"/>
    <w:rsid w:val="1D0AA88E"/>
    <w:rsid w:val="1D1081F8"/>
    <w:rsid w:val="1D1154D2"/>
    <w:rsid w:val="1D12901D"/>
    <w:rsid w:val="1D17FC11"/>
    <w:rsid w:val="1D1C7460"/>
    <w:rsid w:val="1D1E7D3A"/>
    <w:rsid w:val="1D254929"/>
    <w:rsid w:val="1D286705"/>
    <w:rsid w:val="1D28B086"/>
    <w:rsid w:val="1D30B209"/>
    <w:rsid w:val="1D3511C0"/>
    <w:rsid w:val="1D372569"/>
    <w:rsid w:val="1D3B5270"/>
    <w:rsid w:val="1D3C80F9"/>
    <w:rsid w:val="1D3E7BE8"/>
    <w:rsid w:val="1D3EB5F8"/>
    <w:rsid w:val="1D489BBD"/>
    <w:rsid w:val="1D495A35"/>
    <w:rsid w:val="1D4AACA7"/>
    <w:rsid w:val="1D4B2A52"/>
    <w:rsid w:val="1D4E7ED8"/>
    <w:rsid w:val="1D4F407B"/>
    <w:rsid w:val="1D4F7170"/>
    <w:rsid w:val="1D53FAB1"/>
    <w:rsid w:val="1D559386"/>
    <w:rsid w:val="1D560A71"/>
    <w:rsid w:val="1D5F5BDE"/>
    <w:rsid w:val="1D60842E"/>
    <w:rsid w:val="1D631DEF"/>
    <w:rsid w:val="1D679096"/>
    <w:rsid w:val="1D6AC864"/>
    <w:rsid w:val="1D70C8DA"/>
    <w:rsid w:val="1D71CF73"/>
    <w:rsid w:val="1D74C53F"/>
    <w:rsid w:val="1D76B5DC"/>
    <w:rsid w:val="1D7BEFA4"/>
    <w:rsid w:val="1D7F7FA2"/>
    <w:rsid w:val="1D80EA36"/>
    <w:rsid w:val="1D81492C"/>
    <w:rsid w:val="1D8323DE"/>
    <w:rsid w:val="1D8615F1"/>
    <w:rsid w:val="1D8DDFCE"/>
    <w:rsid w:val="1D8E410F"/>
    <w:rsid w:val="1D8EA70B"/>
    <w:rsid w:val="1D903FCC"/>
    <w:rsid w:val="1D90FBBF"/>
    <w:rsid w:val="1D936DE9"/>
    <w:rsid w:val="1D93A419"/>
    <w:rsid w:val="1D94E3A4"/>
    <w:rsid w:val="1D98094A"/>
    <w:rsid w:val="1D9C8F9C"/>
    <w:rsid w:val="1D9D989D"/>
    <w:rsid w:val="1D9DA336"/>
    <w:rsid w:val="1D9F7F36"/>
    <w:rsid w:val="1DA1A119"/>
    <w:rsid w:val="1DA5C760"/>
    <w:rsid w:val="1DAC5D27"/>
    <w:rsid w:val="1DAD3DF9"/>
    <w:rsid w:val="1DAD5A96"/>
    <w:rsid w:val="1DAE6466"/>
    <w:rsid w:val="1DB2E617"/>
    <w:rsid w:val="1DB4864D"/>
    <w:rsid w:val="1DB92EA1"/>
    <w:rsid w:val="1DBF10E6"/>
    <w:rsid w:val="1DC4CD8D"/>
    <w:rsid w:val="1DC4D5C8"/>
    <w:rsid w:val="1DC4F146"/>
    <w:rsid w:val="1DC55065"/>
    <w:rsid w:val="1DC592A6"/>
    <w:rsid w:val="1DC85FDD"/>
    <w:rsid w:val="1DCBABD6"/>
    <w:rsid w:val="1DCC64C4"/>
    <w:rsid w:val="1DD44191"/>
    <w:rsid w:val="1DD614FA"/>
    <w:rsid w:val="1DDE8D83"/>
    <w:rsid w:val="1DDF854A"/>
    <w:rsid w:val="1DE1497E"/>
    <w:rsid w:val="1DE52000"/>
    <w:rsid w:val="1DEA0F86"/>
    <w:rsid w:val="1DED1F33"/>
    <w:rsid w:val="1DEF9E0F"/>
    <w:rsid w:val="1DEFB072"/>
    <w:rsid w:val="1DFB28CF"/>
    <w:rsid w:val="1DFCB7ED"/>
    <w:rsid w:val="1DFECE1A"/>
    <w:rsid w:val="1E017992"/>
    <w:rsid w:val="1E020315"/>
    <w:rsid w:val="1E09E600"/>
    <w:rsid w:val="1E11801D"/>
    <w:rsid w:val="1E1334CD"/>
    <w:rsid w:val="1E16AEF2"/>
    <w:rsid w:val="1E22A5D8"/>
    <w:rsid w:val="1E29606F"/>
    <w:rsid w:val="1E2A72DE"/>
    <w:rsid w:val="1E3057C1"/>
    <w:rsid w:val="1E3AAA44"/>
    <w:rsid w:val="1E3D0AA2"/>
    <w:rsid w:val="1E3F78E9"/>
    <w:rsid w:val="1E444A37"/>
    <w:rsid w:val="1E48D5F1"/>
    <w:rsid w:val="1E491EB4"/>
    <w:rsid w:val="1E4E326A"/>
    <w:rsid w:val="1E4E901D"/>
    <w:rsid w:val="1E4F15AE"/>
    <w:rsid w:val="1E5265A3"/>
    <w:rsid w:val="1E55101E"/>
    <w:rsid w:val="1E55F058"/>
    <w:rsid w:val="1E57ED70"/>
    <w:rsid w:val="1E58C567"/>
    <w:rsid w:val="1E5F6C5C"/>
    <w:rsid w:val="1E60985B"/>
    <w:rsid w:val="1E618CE8"/>
    <w:rsid w:val="1E62FEC2"/>
    <w:rsid w:val="1E641716"/>
    <w:rsid w:val="1E688A09"/>
    <w:rsid w:val="1E6A5694"/>
    <w:rsid w:val="1E6D34FE"/>
    <w:rsid w:val="1E754291"/>
    <w:rsid w:val="1E769B72"/>
    <w:rsid w:val="1E76B712"/>
    <w:rsid w:val="1E78709E"/>
    <w:rsid w:val="1E799DA2"/>
    <w:rsid w:val="1E872EFD"/>
    <w:rsid w:val="1E8950A2"/>
    <w:rsid w:val="1E89C09E"/>
    <w:rsid w:val="1E8BF05F"/>
    <w:rsid w:val="1E8E876E"/>
    <w:rsid w:val="1E995534"/>
    <w:rsid w:val="1E99881F"/>
    <w:rsid w:val="1E99D3DC"/>
    <w:rsid w:val="1E9C8BD9"/>
    <w:rsid w:val="1EA3EA01"/>
    <w:rsid w:val="1EA4E0F5"/>
    <w:rsid w:val="1EA61B79"/>
    <w:rsid w:val="1EAE49E8"/>
    <w:rsid w:val="1EAEA2A5"/>
    <w:rsid w:val="1EB14784"/>
    <w:rsid w:val="1EB7203E"/>
    <w:rsid w:val="1EBA41BD"/>
    <w:rsid w:val="1EBD32D4"/>
    <w:rsid w:val="1EBD9B71"/>
    <w:rsid w:val="1EBF0C10"/>
    <w:rsid w:val="1EC11ADF"/>
    <w:rsid w:val="1EC13A22"/>
    <w:rsid w:val="1EC49608"/>
    <w:rsid w:val="1EC5FDFF"/>
    <w:rsid w:val="1EC65127"/>
    <w:rsid w:val="1ED00014"/>
    <w:rsid w:val="1ED17129"/>
    <w:rsid w:val="1ED1D28D"/>
    <w:rsid w:val="1ED2DD1E"/>
    <w:rsid w:val="1ED435B5"/>
    <w:rsid w:val="1ED84C49"/>
    <w:rsid w:val="1EDB7A35"/>
    <w:rsid w:val="1EDB9AA1"/>
    <w:rsid w:val="1EE538C3"/>
    <w:rsid w:val="1EE8C607"/>
    <w:rsid w:val="1EE995A3"/>
    <w:rsid w:val="1EF4BBFE"/>
    <w:rsid w:val="1EF85837"/>
    <w:rsid w:val="1EF8A91D"/>
    <w:rsid w:val="1EF8BFE2"/>
    <w:rsid w:val="1EFA9D81"/>
    <w:rsid w:val="1EFD6415"/>
    <w:rsid w:val="1EFECE0A"/>
    <w:rsid w:val="1EFFCD89"/>
    <w:rsid w:val="1F0058B6"/>
    <w:rsid w:val="1F050CB6"/>
    <w:rsid w:val="1F0857DF"/>
    <w:rsid w:val="1F0F9563"/>
    <w:rsid w:val="1F127F3B"/>
    <w:rsid w:val="1F12C0AA"/>
    <w:rsid w:val="1F15C546"/>
    <w:rsid w:val="1F174925"/>
    <w:rsid w:val="1F1924A1"/>
    <w:rsid w:val="1F199C70"/>
    <w:rsid w:val="1F1A8B3C"/>
    <w:rsid w:val="1F1AE0FC"/>
    <w:rsid w:val="1F23C097"/>
    <w:rsid w:val="1F25657C"/>
    <w:rsid w:val="1F2E1B7C"/>
    <w:rsid w:val="1F308597"/>
    <w:rsid w:val="1F313E72"/>
    <w:rsid w:val="1F31BEA4"/>
    <w:rsid w:val="1F326638"/>
    <w:rsid w:val="1F35CB73"/>
    <w:rsid w:val="1F3725A3"/>
    <w:rsid w:val="1F3C1A83"/>
    <w:rsid w:val="1F3EDFB3"/>
    <w:rsid w:val="1F3F3E7F"/>
    <w:rsid w:val="1F3FB69E"/>
    <w:rsid w:val="1F45E016"/>
    <w:rsid w:val="1F4A8461"/>
    <w:rsid w:val="1F4D6000"/>
    <w:rsid w:val="1F4F0ED9"/>
    <w:rsid w:val="1F52F323"/>
    <w:rsid w:val="1F55F64C"/>
    <w:rsid w:val="1F5A8FDE"/>
    <w:rsid w:val="1F5AE0CA"/>
    <w:rsid w:val="1F66AFD7"/>
    <w:rsid w:val="1F6A3F4D"/>
    <w:rsid w:val="1F6E679D"/>
    <w:rsid w:val="1F72A342"/>
    <w:rsid w:val="1F759617"/>
    <w:rsid w:val="1F75AE4F"/>
    <w:rsid w:val="1F78530C"/>
    <w:rsid w:val="1F7CC55E"/>
    <w:rsid w:val="1F7F707F"/>
    <w:rsid w:val="1F802E5E"/>
    <w:rsid w:val="1F871A3B"/>
    <w:rsid w:val="1F8CA4A2"/>
    <w:rsid w:val="1F8FCC66"/>
    <w:rsid w:val="1F910355"/>
    <w:rsid w:val="1F9F8047"/>
    <w:rsid w:val="1F9F8445"/>
    <w:rsid w:val="1FA4D1E3"/>
    <w:rsid w:val="1FA761F2"/>
    <w:rsid w:val="1FB10EFE"/>
    <w:rsid w:val="1FB18FD5"/>
    <w:rsid w:val="1FB28AEB"/>
    <w:rsid w:val="1FB3B8C2"/>
    <w:rsid w:val="1FB433DD"/>
    <w:rsid w:val="1FB5B151"/>
    <w:rsid w:val="1FB62A88"/>
    <w:rsid w:val="1FBB05F8"/>
    <w:rsid w:val="1FBF4133"/>
    <w:rsid w:val="1FBFB278"/>
    <w:rsid w:val="1FC34CF7"/>
    <w:rsid w:val="1FC39D69"/>
    <w:rsid w:val="1FC594A7"/>
    <w:rsid w:val="1FC6909B"/>
    <w:rsid w:val="1FC758C5"/>
    <w:rsid w:val="1FCE1EB5"/>
    <w:rsid w:val="1FD5D900"/>
    <w:rsid w:val="1FD854A2"/>
    <w:rsid w:val="1FDA5B75"/>
    <w:rsid w:val="1FDC816E"/>
    <w:rsid w:val="1FDDEF11"/>
    <w:rsid w:val="1FDE3F94"/>
    <w:rsid w:val="1FE25055"/>
    <w:rsid w:val="1FE261E5"/>
    <w:rsid w:val="1FE41D30"/>
    <w:rsid w:val="1FE43D12"/>
    <w:rsid w:val="1FE55EE9"/>
    <w:rsid w:val="1FE8D939"/>
    <w:rsid w:val="1FE9C0A2"/>
    <w:rsid w:val="1FEAEAFB"/>
    <w:rsid w:val="1FF17B24"/>
    <w:rsid w:val="1FF5B3C9"/>
    <w:rsid w:val="1FF615C5"/>
    <w:rsid w:val="1FF89FA8"/>
    <w:rsid w:val="1FFC074D"/>
    <w:rsid w:val="1FFDB42B"/>
    <w:rsid w:val="1FFEB9B7"/>
    <w:rsid w:val="1FFF2664"/>
    <w:rsid w:val="1FFFC286"/>
    <w:rsid w:val="200127A7"/>
    <w:rsid w:val="20063B8B"/>
    <w:rsid w:val="200D6064"/>
    <w:rsid w:val="2012192A"/>
    <w:rsid w:val="2013AB3F"/>
    <w:rsid w:val="20164981"/>
    <w:rsid w:val="201B1CCA"/>
    <w:rsid w:val="201F649A"/>
    <w:rsid w:val="2023D8D5"/>
    <w:rsid w:val="2024AE6E"/>
    <w:rsid w:val="202A077B"/>
    <w:rsid w:val="202F1A0D"/>
    <w:rsid w:val="20320D20"/>
    <w:rsid w:val="203609DD"/>
    <w:rsid w:val="203783F4"/>
    <w:rsid w:val="2039675C"/>
    <w:rsid w:val="203A1CE9"/>
    <w:rsid w:val="203A4A3B"/>
    <w:rsid w:val="203E56C2"/>
    <w:rsid w:val="2046C615"/>
    <w:rsid w:val="2049EB9D"/>
    <w:rsid w:val="204B9DAD"/>
    <w:rsid w:val="204BCF85"/>
    <w:rsid w:val="204C106C"/>
    <w:rsid w:val="204E22C0"/>
    <w:rsid w:val="2050988F"/>
    <w:rsid w:val="20556911"/>
    <w:rsid w:val="20562600"/>
    <w:rsid w:val="2056C3AB"/>
    <w:rsid w:val="20588016"/>
    <w:rsid w:val="205AFD44"/>
    <w:rsid w:val="20607E5A"/>
    <w:rsid w:val="206270D5"/>
    <w:rsid w:val="20650C0C"/>
    <w:rsid w:val="20669A60"/>
    <w:rsid w:val="20675488"/>
    <w:rsid w:val="2067C1D5"/>
    <w:rsid w:val="206BA508"/>
    <w:rsid w:val="206FD7BB"/>
    <w:rsid w:val="2070A00D"/>
    <w:rsid w:val="207213D3"/>
    <w:rsid w:val="2077DF7F"/>
    <w:rsid w:val="20784464"/>
    <w:rsid w:val="207BDDFB"/>
    <w:rsid w:val="207C0E1B"/>
    <w:rsid w:val="207C374B"/>
    <w:rsid w:val="207C8DD3"/>
    <w:rsid w:val="207C9422"/>
    <w:rsid w:val="207DCA13"/>
    <w:rsid w:val="2082BE6C"/>
    <w:rsid w:val="2082CA8A"/>
    <w:rsid w:val="20859B8A"/>
    <w:rsid w:val="208610B3"/>
    <w:rsid w:val="2089B525"/>
    <w:rsid w:val="208AEA58"/>
    <w:rsid w:val="20901358"/>
    <w:rsid w:val="2091DEC3"/>
    <w:rsid w:val="2093F1EE"/>
    <w:rsid w:val="20960DF8"/>
    <w:rsid w:val="2098C9F3"/>
    <w:rsid w:val="209A51DF"/>
    <w:rsid w:val="209ADC43"/>
    <w:rsid w:val="209B39B1"/>
    <w:rsid w:val="209DD19C"/>
    <w:rsid w:val="209ECA25"/>
    <w:rsid w:val="20A1835E"/>
    <w:rsid w:val="20A2BCE8"/>
    <w:rsid w:val="20A488F2"/>
    <w:rsid w:val="20A6CCC9"/>
    <w:rsid w:val="20A70A2D"/>
    <w:rsid w:val="20A84690"/>
    <w:rsid w:val="20A87012"/>
    <w:rsid w:val="20AB59EC"/>
    <w:rsid w:val="20AE57D9"/>
    <w:rsid w:val="20AE94F6"/>
    <w:rsid w:val="20AF1881"/>
    <w:rsid w:val="20AFBB1C"/>
    <w:rsid w:val="20B2A166"/>
    <w:rsid w:val="20B3901D"/>
    <w:rsid w:val="20B45645"/>
    <w:rsid w:val="20BAA477"/>
    <w:rsid w:val="20C124E9"/>
    <w:rsid w:val="20C6F1E5"/>
    <w:rsid w:val="20C8BEF3"/>
    <w:rsid w:val="20CA9D63"/>
    <w:rsid w:val="20D27D52"/>
    <w:rsid w:val="20D2E424"/>
    <w:rsid w:val="20D8B71C"/>
    <w:rsid w:val="20D99209"/>
    <w:rsid w:val="20D9A7C3"/>
    <w:rsid w:val="20DD36CD"/>
    <w:rsid w:val="20E4317C"/>
    <w:rsid w:val="20E4337A"/>
    <w:rsid w:val="20E866EF"/>
    <w:rsid w:val="20EA33D2"/>
    <w:rsid w:val="20EAD0A5"/>
    <w:rsid w:val="20EBBE99"/>
    <w:rsid w:val="20F0A3D4"/>
    <w:rsid w:val="20F49488"/>
    <w:rsid w:val="20F88DB4"/>
    <w:rsid w:val="20FA2AB5"/>
    <w:rsid w:val="20FA3833"/>
    <w:rsid w:val="20FC0E1C"/>
    <w:rsid w:val="20FE804A"/>
    <w:rsid w:val="20FED412"/>
    <w:rsid w:val="20FF1395"/>
    <w:rsid w:val="20FF4367"/>
    <w:rsid w:val="21034632"/>
    <w:rsid w:val="210494DE"/>
    <w:rsid w:val="2105FD68"/>
    <w:rsid w:val="2108A1CB"/>
    <w:rsid w:val="210B473E"/>
    <w:rsid w:val="2113FF78"/>
    <w:rsid w:val="211A83EF"/>
    <w:rsid w:val="211D81D5"/>
    <w:rsid w:val="211FDD5D"/>
    <w:rsid w:val="21213790"/>
    <w:rsid w:val="2121C464"/>
    <w:rsid w:val="21262058"/>
    <w:rsid w:val="21293AAD"/>
    <w:rsid w:val="212DE639"/>
    <w:rsid w:val="212F0F24"/>
    <w:rsid w:val="21341592"/>
    <w:rsid w:val="21354ED8"/>
    <w:rsid w:val="21366426"/>
    <w:rsid w:val="2136F80D"/>
    <w:rsid w:val="214251BB"/>
    <w:rsid w:val="2144136C"/>
    <w:rsid w:val="21475420"/>
    <w:rsid w:val="214A013F"/>
    <w:rsid w:val="214A6E50"/>
    <w:rsid w:val="214B0389"/>
    <w:rsid w:val="214BA150"/>
    <w:rsid w:val="214C0422"/>
    <w:rsid w:val="214CA122"/>
    <w:rsid w:val="214DD442"/>
    <w:rsid w:val="214F9BD1"/>
    <w:rsid w:val="21505FDB"/>
    <w:rsid w:val="2152A7A0"/>
    <w:rsid w:val="2152C96E"/>
    <w:rsid w:val="215336BA"/>
    <w:rsid w:val="2154AA12"/>
    <w:rsid w:val="21550F0F"/>
    <w:rsid w:val="2156E859"/>
    <w:rsid w:val="21580FEA"/>
    <w:rsid w:val="2158AD66"/>
    <w:rsid w:val="2158D29E"/>
    <w:rsid w:val="215C5D5B"/>
    <w:rsid w:val="215FF83F"/>
    <w:rsid w:val="21697A3A"/>
    <w:rsid w:val="216A5D93"/>
    <w:rsid w:val="216FF7BF"/>
    <w:rsid w:val="21723C9A"/>
    <w:rsid w:val="2172B2EC"/>
    <w:rsid w:val="21734A9B"/>
    <w:rsid w:val="2173D9F8"/>
    <w:rsid w:val="2175AF73"/>
    <w:rsid w:val="2178FE33"/>
    <w:rsid w:val="217AE121"/>
    <w:rsid w:val="217D2D68"/>
    <w:rsid w:val="21866F58"/>
    <w:rsid w:val="2188F41C"/>
    <w:rsid w:val="218926FB"/>
    <w:rsid w:val="218A6F92"/>
    <w:rsid w:val="218B0607"/>
    <w:rsid w:val="218C56E3"/>
    <w:rsid w:val="218D90C0"/>
    <w:rsid w:val="218DAD07"/>
    <w:rsid w:val="218E1028"/>
    <w:rsid w:val="21945004"/>
    <w:rsid w:val="2198AB53"/>
    <w:rsid w:val="219A2F64"/>
    <w:rsid w:val="21A17399"/>
    <w:rsid w:val="21A18D06"/>
    <w:rsid w:val="21A1CAE1"/>
    <w:rsid w:val="21A212AD"/>
    <w:rsid w:val="21A92B6B"/>
    <w:rsid w:val="21AB32FD"/>
    <w:rsid w:val="21AE1C22"/>
    <w:rsid w:val="21B0DFD0"/>
    <w:rsid w:val="21B4C608"/>
    <w:rsid w:val="21B68449"/>
    <w:rsid w:val="21C039E5"/>
    <w:rsid w:val="21C051E1"/>
    <w:rsid w:val="21C1E4AD"/>
    <w:rsid w:val="21C357A3"/>
    <w:rsid w:val="21C5EFE2"/>
    <w:rsid w:val="21C9D8A3"/>
    <w:rsid w:val="21CCD186"/>
    <w:rsid w:val="21D36E97"/>
    <w:rsid w:val="21D47ABA"/>
    <w:rsid w:val="21D6F375"/>
    <w:rsid w:val="21EA604D"/>
    <w:rsid w:val="21EDF627"/>
    <w:rsid w:val="21F5245E"/>
    <w:rsid w:val="21F67F77"/>
    <w:rsid w:val="21F73053"/>
    <w:rsid w:val="21F86012"/>
    <w:rsid w:val="21F8E0F4"/>
    <w:rsid w:val="21FCBD64"/>
    <w:rsid w:val="21FF56F5"/>
    <w:rsid w:val="2204EA74"/>
    <w:rsid w:val="2206BE7F"/>
    <w:rsid w:val="2209854F"/>
    <w:rsid w:val="220B6B24"/>
    <w:rsid w:val="221259AB"/>
    <w:rsid w:val="2215B105"/>
    <w:rsid w:val="2215EEBD"/>
    <w:rsid w:val="22192259"/>
    <w:rsid w:val="221D47F5"/>
    <w:rsid w:val="221F2311"/>
    <w:rsid w:val="22203CC0"/>
    <w:rsid w:val="2225EBAD"/>
    <w:rsid w:val="22273427"/>
    <w:rsid w:val="222AAB10"/>
    <w:rsid w:val="222F7045"/>
    <w:rsid w:val="22329181"/>
    <w:rsid w:val="22373D15"/>
    <w:rsid w:val="223B2535"/>
    <w:rsid w:val="22408918"/>
    <w:rsid w:val="2242441A"/>
    <w:rsid w:val="2246F510"/>
    <w:rsid w:val="2247DEAF"/>
    <w:rsid w:val="224A31FD"/>
    <w:rsid w:val="224A3E6A"/>
    <w:rsid w:val="224B7854"/>
    <w:rsid w:val="225378E7"/>
    <w:rsid w:val="2255EDC1"/>
    <w:rsid w:val="225799D8"/>
    <w:rsid w:val="225A6007"/>
    <w:rsid w:val="225D46E8"/>
    <w:rsid w:val="2261CCB1"/>
    <w:rsid w:val="2264FBF1"/>
    <w:rsid w:val="22664FA9"/>
    <w:rsid w:val="22665E3C"/>
    <w:rsid w:val="226F3578"/>
    <w:rsid w:val="2271F029"/>
    <w:rsid w:val="2272BB5C"/>
    <w:rsid w:val="2275F959"/>
    <w:rsid w:val="22781292"/>
    <w:rsid w:val="2278B3F0"/>
    <w:rsid w:val="22823181"/>
    <w:rsid w:val="22865174"/>
    <w:rsid w:val="2288D3EA"/>
    <w:rsid w:val="22899F56"/>
    <w:rsid w:val="22910E1B"/>
    <w:rsid w:val="2291953C"/>
    <w:rsid w:val="2291D8B6"/>
    <w:rsid w:val="2291E183"/>
    <w:rsid w:val="2291F816"/>
    <w:rsid w:val="22948CBE"/>
    <w:rsid w:val="22985F14"/>
    <w:rsid w:val="2299D074"/>
    <w:rsid w:val="229E6DF3"/>
    <w:rsid w:val="229F18E6"/>
    <w:rsid w:val="22A351E6"/>
    <w:rsid w:val="22A9ECCD"/>
    <w:rsid w:val="22B053FD"/>
    <w:rsid w:val="22B07580"/>
    <w:rsid w:val="22B5FFE7"/>
    <w:rsid w:val="22BA2F87"/>
    <w:rsid w:val="22C3EFEC"/>
    <w:rsid w:val="22C592A7"/>
    <w:rsid w:val="22C75AE0"/>
    <w:rsid w:val="22D10995"/>
    <w:rsid w:val="22D1A320"/>
    <w:rsid w:val="22D581E8"/>
    <w:rsid w:val="22D76837"/>
    <w:rsid w:val="22D8118A"/>
    <w:rsid w:val="22DB49CB"/>
    <w:rsid w:val="22DD41F7"/>
    <w:rsid w:val="22DEAA00"/>
    <w:rsid w:val="22DEF0A6"/>
    <w:rsid w:val="22E38727"/>
    <w:rsid w:val="22E7EBD9"/>
    <w:rsid w:val="22E9327D"/>
    <w:rsid w:val="22E96759"/>
    <w:rsid w:val="22EA2EA8"/>
    <w:rsid w:val="22EC5445"/>
    <w:rsid w:val="22EEF229"/>
    <w:rsid w:val="22F26833"/>
    <w:rsid w:val="22F2C401"/>
    <w:rsid w:val="22F5AB44"/>
    <w:rsid w:val="22F980B4"/>
    <w:rsid w:val="22FA6DFD"/>
    <w:rsid w:val="22FB3B40"/>
    <w:rsid w:val="2300A49F"/>
    <w:rsid w:val="23019D06"/>
    <w:rsid w:val="230205D5"/>
    <w:rsid w:val="2302AB04"/>
    <w:rsid w:val="23042ABD"/>
    <w:rsid w:val="23061564"/>
    <w:rsid w:val="230C26A7"/>
    <w:rsid w:val="230FB4E5"/>
    <w:rsid w:val="23103F48"/>
    <w:rsid w:val="2316C2D2"/>
    <w:rsid w:val="2316C2FF"/>
    <w:rsid w:val="2319CC3E"/>
    <w:rsid w:val="231A7FAA"/>
    <w:rsid w:val="231FF78E"/>
    <w:rsid w:val="23220D73"/>
    <w:rsid w:val="23248083"/>
    <w:rsid w:val="2325CB67"/>
    <w:rsid w:val="232B6C4E"/>
    <w:rsid w:val="232B990E"/>
    <w:rsid w:val="232CF93C"/>
    <w:rsid w:val="232F8D72"/>
    <w:rsid w:val="233AA1BD"/>
    <w:rsid w:val="233DD621"/>
    <w:rsid w:val="23435F16"/>
    <w:rsid w:val="2343E6D7"/>
    <w:rsid w:val="23458D67"/>
    <w:rsid w:val="23499300"/>
    <w:rsid w:val="234E496F"/>
    <w:rsid w:val="23540B17"/>
    <w:rsid w:val="2355EE11"/>
    <w:rsid w:val="23562B5A"/>
    <w:rsid w:val="23582A4A"/>
    <w:rsid w:val="235A8808"/>
    <w:rsid w:val="2364BD8C"/>
    <w:rsid w:val="236500C8"/>
    <w:rsid w:val="23660066"/>
    <w:rsid w:val="2368F12A"/>
    <w:rsid w:val="23695110"/>
    <w:rsid w:val="236D20BA"/>
    <w:rsid w:val="236D68F4"/>
    <w:rsid w:val="236F12D5"/>
    <w:rsid w:val="23718436"/>
    <w:rsid w:val="2373A59E"/>
    <w:rsid w:val="23745BDC"/>
    <w:rsid w:val="23746876"/>
    <w:rsid w:val="23768310"/>
    <w:rsid w:val="2377B1FE"/>
    <w:rsid w:val="237ECEC3"/>
    <w:rsid w:val="23804106"/>
    <w:rsid w:val="2382DE18"/>
    <w:rsid w:val="2384547A"/>
    <w:rsid w:val="2385C140"/>
    <w:rsid w:val="23884C32"/>
    <w:rsid w:val="239071D8"/>
    <w:rsid w:val="2391413D"/>
    <w:rsid w:val="23965F3D"/>
    <w:rsid w:val="239907B3"/>
    <w:rsid w:val="239B0003"/>
    <w:rsid w:val="239B24E2"/>
    <w:rsid w:val="239E2C8E"/>
    <w:rsid w:val="23A5BB13"/>
    <w:rsid w:val="23ABD17B"/>
    <w:rsid w:val="23B1BCA0"/>
    <w:rsid w:val="23B285D8"/>
    <w:rsid w:val="23B58FF1"/>
    <w:rsid w:val="23B76F37"/>
    <w:rsid w:val="23B9848A"/>
    <w:rsid w:val="23BDD5DF"/>
    <w:rsid w:val="23BF2066"/>
    <w:rsid w:val="23C0FF5B"/>
    <w:rsid w:val="23C3DD1D"/>
    <w:rsid w:val="23C5B213"/>
    <w:rsid w:val="23C983D8"/>
    <w:rsid w:val="23D421EF"/>
    <w:rsid w:val="23D5911B"/>
    <w:rsid w:val="23D949F4"/>
    <w:rsid w:val="23E0F74A"/>
    <w:rsid w:val="23E1F1E9"/>
    <w:rsid w:val="23E7FF05"/>
    <w:rsid w:val="23EE469A"/>
    <w:rsid w:val="23EF2259"/>
    <w:rsid w:val="23F0AAA1"/>
    <w:rsid w:val="23F0E273"/>
    <w:rsid w:val="23F1B996"/>
    <w:rsid w:val="23F451EC"/>
    <w:rsid w:val="23F4C2D8"/>
    <w:rsid w:val="23F985FE"/>
    <w:rsid w:val="23FC5786"/>
    <w:rsid w:val="23FD6C37"/>
    <w:rsid w:val="23FFB308"/>
    <w:rsid w:val="24003775"/>
    <w:rsid w:val="2400B160"/>
    <w:rsid w:val="240802F7"/>
    <w:rsid w:val="2408B826"/>
    <w:rsid w:val="240A66C7"/>
    <w:rsid w:val="240CE5CB"/>
    <w:rsid w:val="240DB144"/>
    <w:rsid w:val="240E6565"/>
    <w:rsid w:val="24120396"/>
    <w:rsid w:val="24125156"/>
    <w:rsid w:val="24149CF8"/>
    <w:rsid w:val="24151D2A"/>
    <w:rsid w:val="24152D07"/>
    <w:rsid w:val="241FF037"/>
    <w:rsid w:val="24200F3B"/>
    <w:rsid w:val="2425E48F"/>
    <w:rsid w:val="242603AD"/>
    <w:rsid w:val="242617DB"/>
    <w:rsid w:val="242A122E"/>
    <w:rsid w:val="242D95CF"/>
    <w:rsid w:val="2433546F"/>
    <w:rsid w:val="243ABE49"/>
    <w:rsid w:val="243B5391"/>
    <w:rsid w:val="243F6EBD"/>
    <w:rsid w:val="244297D2"/>
    <w:rsid w:val="24435ED0"/>
    <w:rsid w:val="244A4C34"/>
    <w:rsid w:val="244BDF54"/>
    <w:rsid w:val="244D12D9"/>
    <w:rsid w:val="244EFE22"/>
    <w:rsid w:val="24508334"/>
    <w:rsid w:val="2452108A"/>
    <w:rsid w:val="2453FCD1"/>
    <w:rsid w:val="24545B38"/>
    <w:rsid w:val="2454693C"/>
    <w:rsid w:val="2454CD6A"/>
    <w:rsid w:val="245B148A"/>
    <w:rsid w:val="245E623D"/>
    <w:rsid w:val="245E69FE"/>
    <w:rsid w:val="246BAC75"/>
    <w:rsid w:val="24750D45"/>
    <w:rsid w:val="247662E9"/>
    <w:rsid w:val="2477F632"/>
    <w:rsid w:val="24788BCA"/>
    <w:rsid w:val="248558C6"/>
    <w:rsid w:val="2485AC7E"/>
    <w:rsid w:val="248806AD"/>
    <w:rsid w:val="248B2681"/>
    <w:rsid w:val="248C37B0"/>
    <w:rsid w:val="248F1784"/>
    <w:rsid w:val="248F2524"/>
    <w:rsid w:val="2490604D"/>
    <w:rsid w:val="24916502"/>
    <w:rsid w:val="24945806"/>
    <w:rsid w:val="249607D8"/>
    <w:rsid w:val="249BAFE6"/>
    <w:rsid w:val="249EBAE8"/>
    <w:rsid w:val="24A101B2"/>
    <w:rsid w:val="24A52713"/>
    <w:rsid w:val="24A52E19"/>
    <w:rsid w:val="24A73661"/>
    <w:rsid w:val="24AD6CC1"/>
    <w:rsid w:val="24AE2EFA"/>
    <w:rsid w:val="24AF62F7"/>
    <w:rsid w:val="24B42A26"/>
    <w:rsid w:val="24B517AE"/>
    <w:rsid w:val="24B55A25"/>
    <w:rsid w:val="24B945C3"/>
    <w:rsid w:val="24B9F955"/>
    <w:rsid w:val="24BBFD79"/>
    <w:rsid w:val="24BFD8E0"/>
    <w:rsid w:val="24C3E437"/>
    <w:rsid w:val="24C42617"/>
    <w:rsid w:val="24C9C28E"/>
    <w:rsid w:val="24CC8582"/>
    <w:rsid w:val="24CEDEBA"/>
    <w:rsid w:val="24D6A9C2"/>
    <w:rsid w:val="24DAD718"/>
    <w:rsid w:val="24DD5B02"/>
    <w:rsid w:val="24E55705"/>
    <w:rsid w:val="24E61D88"/>
    <w:rsid w:val="24E671EB"/>
    <w:rsid w:val="24ED0F96"/>
    <w:rsid w:val="24EED68A"/>
    <w:rsid w:val="24F6D0F0"/>
    <w:rsid w:val="24FAD719"/>
    <w:rsid w:val="24FB5869"/>
    <w:rsid w:val="24FC37DA"/>
    <w:rsid w:val="24FC60AC"/>
    <w:rsid w:val="24FCB9F6"/>
    <w:rsid w:val="24FE73A3"/>
    <w:rsid w:val="24FFC849"/>
    <w:rsid w:val="25019019"/>
    <w:rsid w:val="2501E035"/>
    <w:rsid w:val="2503345B"/>
    <w:rsid w:val="250686A2"/>
    <w:rsid w:val="250BAFF4"/>
    <w:rsid w:val="250BBFE1"/>
    <w:rsid w:val="250D12B2"/>
    <w:rsid w:val="250DC983"/>
    <w:rsid w:val="250E6351"/>
    <w:rsid w:val="250E739A"/>
    <w:rsid w:val="25108F26"/>
    <w:rsid w:val="25114E88"/>
    <w:rsid w:val="2511C2DB"/>
    <w:rsid w:val="2521F5B6"/>
    <w:rsid w:val="25264CB0"/>
    <w:rsid w:val="2527FF7E"/>
    <w:rsid w:val="252CA8AB"/>
    <w:rsid w:val="252E2B50"/>
    <w:rsid w:val="25312DFA"/>
    <w:rsid w:val="25335105"/>
    <w:rsid w:val="25391200"/>
    <w:rsid w:val="253BDD3D"/>
    <w:rsid w:val="253E7926"/>
    <w:rsid w:val="2540DB84"/>
    <w:rsid w:val="25455995"/>
    <w:rsid w:val="2547C58B"/>
    <w:rsid w:val="254A21DF"/>
    <w:rsid w:val="254EB057"/>
    <w:rsid w:val="2556A792"/>
    <w:rsid w:val="2558395D"/>
    <w:rsid w:val="255DB924"/>
    <w:rsid w:val="2563AC51"/>
    <w:rsid w:val="25679E75"/>
    <w:rsid w:val="2567CE06"/>
    <w:rsid w:val="25696D70"/>
    <w:rsid w:val="256CA990"/>
    <w:rsid w:val="2570BB77"/>
    <w:rsid w:val="2573FFF5"/>
    <w:rsid w:val="257749B8"/>
    <w:rsid w:val="2577CEB0"/>
    <w:rsid w:val="257A33FF"/>
    <w:rsid w:val="257CEC69"/>
    <w:rsid w:val="257F0CFB"/>
    <w:rsid w:val="258105EB"/>
    <w:rsid w:val="25842723"/>
    <w:rsid w:val="2584CD79"/>
    <w:rsid w:val="2586068B"/>
    <w:rsid w:val="258720B3"/>
    <w:rsid w:val="259016F9"/>
    <w:rsid w:val="259125F9"/>
    <w:rsid w:val="2593EC46"/>
    <w:rsid w:val="259440A8"/>
    <w:rsid w:val="2594DA07"/>
    <w:rsid w:val="259766F2"/>
    <w:rsid w:val="259771F9"/>
    <w:rsid w:val="259A0F75"/>
    <w:rsid w:val="259AE564"/>
    <w:rsid w:val="25AA7826"/>
    <w:rsid w:val="25ACAAF7"/>
    <w:rsid w:val="25AE032A"/>
    <w:rsid w:val="25B38D1C"/>
    <w:rsid w:val="25B4D05A"/>
    <w:rsid w:val="25B58328"/>
    <w:rsid w:val="25BA2343"/>
    <w:rsid w:val="25C1FC8F"/>
    <w:rsid w:val="25C320C4"/>
    <w:rsid w:val="25C3F0FE"/>
    <w:rsid w:val="25CAA72B"/>
    <w:rsid w:val="25CBBA1D"/>
    <w:rsid w:val="25CCA1FB"/>
    <w:rsid w:val="25CF38D0"/>
    <w:rsid w:val="25D93202"/>
    <w:rsid w:val="25DA56E6"/>
    <w:rsid w:val="25E338D3"/>
    <w:rsid w:val="25E69381"/>
    <w:rsid w:val="25ECB8E0"/>
    <w:rsid w:val="25EE6274"/>
    <w:rsid w:val="25F0EE83"/>
    <w:rsid w:val="25F67A17"/>
    <w:rsid w:val="25F808A4"/>
    <w:rsid w:val="25F950FA"/>
    <w:rsid w:val="25F95592"/>
    <w:rsid w:val="25F9B8E3"/>
    <w:rsid w:val="25FA6084"/>
    <w:rsid w:val="25FA7A44"/>
    <w:rsid w:val="25FE5F62"/>
    <w:rsid w:val="25FEB590"/>
    <w:rsid w:val="25FF187A"/>
    <w:rsid w:val="2600156B"/>
    <w:rsid w:val="26019330"/>
    <w:rsid w:val="2602CB7F"/>
    <w:rsid w:val="260713D5"/>
    <w:rsid w:val="260761F0"/>
    <w:rsid w:val="260F9CCB"/>
    <w:rsid w:val="26102D1E"/>
    <w:rsid w:val="26157F8B"/>
    <w:rsid w:val="2618F647"/>
    <w:rsid w:val="261B468D"/>
    <w:rsid w:val="2625B27E"/>
    <w:rsid w:val="26262632"/>
    <w:rsid w:val="2626BEB4"/>
    <w:rsid w:val="262E12CE"/>
    <w:rsid w:val="262E16B9"/>
    <w:rsid w:val="26358DC7"/>
    <w:rsid w:val="2635E92B"/>
    <w:rsid w:val="26379073"/>
    <w:rsid w:val="263A0238"/>
    <w:rsid w:val="263A7196"/>
    <w:rsid w:val="26476D2F"/>
    <w:rsid w:val="2648AE82"/>
    <w:rsid w:val="264CD13A"/>
    <w:rsid w:val="2653A2E2"/>
    <w:rsid w:val="2655051A"/>
    <w:rsid w:val="265C6A76"/>
    <w:rsid w:val="265E99B0"/>
    <w:rsid w:val="26600CD5"/>
    <w:rsid w:val="26603098"/>
    <w:rsid w:val="26663398"/>
    <w:rsid w:val="266CADBD"/>
    <w:rsid w:val="2682E348"/>
    <w:rsid w:val="26841D55"/>
    <w:rsid w:val="26871709"/>
    <w:rsid w:val="2687502C"/>
    <w:rsid w:val="268ABA7F"/>
    <w:rsid w:val="268DAFD9"/>
    <w:rsid w:val="268DB7CE"/>
    <w:rsid w:val="2692E709"/>
    <w:rsid w:val="2693F27B"/>
    <w:rsid w:val="2696864D"/>
    <w:rsid w:val="269718F1"/>
    <w:rsid w:val="26981FCA"/>
    <w:rsid w:val="269A9A2D"/>
    <w:rsid w:val="269AF074"/>
    <w:rsid w:val="269BFD23"/>
    <w:rsid w:val="269DA285"/>
    <w:rsid w:val="26A0C593"/>
    <w:rsid w:val="26A1A7A8"/>
    <w:rsid w:val="26A350D9"/>
    <w:rsid w:val="26A56AB2"/>
    <w:rsid w:val="26AACDE6"/>
    <w:rsid w:val="26AEE1A7"/>
    <w:rsid w:val="26B31C9F"/>
    <w:rsid w:val="26BC902F"/>
    <w:rsid w:val="26BD84FE"/>
    <w:rsid w:val="26BE772F"/>
    <w:rsid w:val="26BFBCDF"/>
    <w:rsid w:val="26C06F11"/>
    <w:rsid w:val="26C65BB5"/>
    <w:rsid w:val="26C7EC6E"/>
    <w:rsid w:val="26D0D017"/>
    <w:rsid w:val="26D4ED5F"/>
    <w:rsid w:val="26D72249"/>
    <w:rsid w:val="26D8D71E"/>
    <w:rsid w:val="26D91588"/>
    <w:rsid w:val="26D984BE"/>
    <w:rsid w:val="26DA4F47"/>
    <w:rsid w:val="26DF965B"/>
    <w:rsid w:val="26E07C67"/>
    <w:rsid w:val="26E18F3B"/>
    <w:rsid w:val="26E31104"/>
    <w:rsid w:val="26E3E138"/>
    <w:rsid w:val="26E448B5"/>
    <w:rsid w:val="26E48DB6"/>
    <w:rsid w:val="26E7A0F7"/>
    <w:rsid w:val="26EA86DE"/>
    <w:rsid w:val="26EEF038"/>
    <w:rsid w:val="26F501EF"/>
    <w:rsid w:val="26F775E5"/>
    <w:rsid w:val="26FA7C5F"/>
    <w:rsid w:val="26FB0C49"/>
    <w:rsid w:val="26FBA0F4"/>
    <w:rsid w:val="26FCB7F0"/>
    <w:rsid w:val="2700EB8E"/>
    <w:rsid w:val="27042079"/>
    <w:rsid w:val="27077443"/>
    <w:rsid w:val="2709EE20"/>
    <w:rsid w:val="270BF1D7"/>
    <w:rsid w:val="270C6BE3"/>
    <w:rsid w:val="270CBBC5"/>
    <w:rsid w:val="271404BD"/>
    <w:rsid w:val="27145DCC"/>
    <w:rsid w:val="27147EA5"/>
    <w:rsid w:val="27210A9A"/>
    <w:rsid w:val="27220798"/>
    <w:rsid w:val="2722B8B9"/>
    <w:rsid w:val="2723034F"/>
    <w:rsid w:val="27264206"/>
    <w:rsid w:val="272A3D84"/>
    <w:rsid w:val="272AAC14"/>
    <w:rsid w:val="272DC221"/>
    <w:rsid w:val="27331F38"/>
    <w:rsid w:val="27343E30"/>
    <w:rsid w:val="273792EE"/>
    <w:rsid w:val="273DE4DF"/>
    <w:rsid w:val="27418726"/>
    <w:rsid w:val="274356F6"/>
    <w:rsid w:val="27496AE8"/>
    <w:rsid w:val="274AE48D"/>
    <w:rsid w:val="2752DB57"/>
    <w:rsid w:val="275659E7"/>
    <w:rsid w:val="2758EA8F"/>
    <w:rsid w:val="275D8FBB"/>
    <w:rsid w:val="275FB8FE"/>
    <w:rsid w:val="27657F81"/>
    <w:rsid w:val="27662758"/>
    <w:rsid w:val="27686E15"/>
    <w:rsid w:val="276A97FF"/>
    <w:rsid w:val="276E35A5"/>
    <w:rsid w:val="276E64DF"/>
    <w:rsid w:val="2770248B"/>
    <w:rsid w:val="2771739C"/>
    <w:rsid w:val="27720C13"/>
    <w:rsid w:val="27773E7E"/>
    <w:rsid w:val="2778DF4F"/>
    <w:rsid w:val="2778EB46"/>
    <w:rsid w:val="277BFFE8"/>
    <w:rsid w:val="277D6BE7"/>
    <w:rsid w:val="277E1611"/>
    <w:rsid w:val="2780485E"/>
    <w:rsid w:val="2780786E"/>
    <w:rsid w:val="27836DF0"/>
    <w:rsid w:val="2788D6EB"/>
    <w:rsid w:val="278E8A26"/>
    <w:rsid w:val="27922407"/>
    <w:rsid w:val="27923949"/>
    <w:rsid w:val="27931951"/>
    <w:rsid w:val="27935F0D"/>
    <w:rsid w:val="279D0E4E"/>
    <w:rsid w:val="27A3EB48"/>
    <w:rsid w:val="27A60165"/>
    <w:rsid w:val="27A6AF9D"/>
    <w:rsid w:val="27A7CC32"/>
    <w:rsid w:val="27A8341B"/>
    <w:rsid w:val="27AE1A6F"/>
    <w:rsid w:val="27B41C9B"/>
    <w:rsid w:val="27B45C16"/>
    <w:rsid w:val="27B45D09"/>
    <w:rsid w:val="27B5609D"/>
    <w:rsid w:val="27BBBAFB"/>
    <w:rsid w:val="27BCBC0C"/>
    <w:rsid w:val="27BCDFD3"/>
    <w:rsid w:val="27C56700"/>
    <w:rsid w:val="27C56E32"/>
    <w:rsid w:val="27C5F44C"/>
    <w:rsid w:val="27C92B5C"/>
    <w:rsid w:val="27CDE34C"/>
    <w:rsid w:val="27CED503"/>
    <w:rsid w:val="27CF2C71"/>
    <w:rsid w:val="27D144EB"/>
    <w:rsid w:val="27D3B060"/>
    <w:rsid w:val="27D869A9"/>
    <w:rsid w:val="27DC9263"/>
    <w:rsid w:val="27E3D27A"/>
    <w:rsid w:val="27E54058"/>
    <w:rsid w:val="27E7FC51"/>
    <w:rsid w:val="27ED76C8"/>
    <w:rsid w:val="27EECE03"/>
    <w:rsid w:val="27F8FC26"/>
    <w:rsid w:val="27FAC197"/>
    <w:rsid w:val="27FBE012"/>
    <w:rsid w:val="27FC563C"/>
    <w:rsid w:val="280177E7"/>
    <w:rsid w:val="28056E30"/>
    <w:rsid w:val="280B15AA"/>
    <w:rsid w:val="280EB4F4"/>
    <w:rsid w:val="2811F8AC"/>
    <w:rsid w:val="28146425"/>
    <w:rsid w:val="2817BEB9"/>
    <w:rsid w:val="281C2304"/>
    <w:rsid w:val="281EF976"/>
    <w:rsid w:val="2821F29E"/>
    <w:rsid w:val="28238B3E"/>
    <w:rsid w:val="282BB80A"/>
    <w:rsid w:val="282BE034"/>
    <w:rsid w:val="282EAFE6"/>
    <w:rsid w:val="283240BB"/>
    <w:rsid w:val="28333095"/>
    <w:rsid w:val="2835563A"/>
    <w:rsid w:val="28364BA3"/>
    <w:rsid w:val="283BA754"/>
    <w:rsid w:val="2847EBC9"/>
    <w:rsid w:val="2848E87D"/>
    <w:rsid w:val="284B6143"/>
    <w:rsid w:val="2851F061"/>
    <w:rsid w:val="285698BA"/>
    <w:rsid w:val="28598FF4"/>
    <w:rsid w:val="2859B788"/>
    <w:rsid w:val="2860865F"/>
    <w:rsid w:val="28616EB8"/>
    <w:rsid w:val="28648651"/>
    <w:rsid w:val="2864A557"/>
    <w:rsid w:val="2864B373"/>
    <w:rsid w:val="28660986"/>
    <w:rsid w:val="286AD475"/>
    <w:rsid w:val="286C2496"/>
    <w:rsid w:val="28725318"/>
    <w:rsid w:val="28767757"/>
    <w:rsid w:val="2878322D"/>
    <w:rsid w:val="287E81EB"/>
    <w:rsid w:val="2883D487"/>
    <w:rsid w:val="28864438"/>
    <w:rsid w:val="288FA36F"/>
    <w:rsid w:val="28936823"/>
    <w:rsid w:val="2894F813"/>
    <w:rsid w:val="2895AA39"/>
    <w:rsid w:val="28967FA3"/>
    <w:rsid w:val="28988300"/>
    <w:rsid w:val="289C8572"/>
    <w:rsid w:val="289EBE7E"/>
    <w:rsid w:val="28A044CB"/>
    <w:rsid w:val="28A169B2"/>
    <w:rsid w:val="28A346A9"/>
    <w:rsid w:val="28A3C943"/>
    <w:rsid w:val="28A4D44C"/>
    <w:rsid w:val="28ACD87B"/>
    <w:rsid w:val="28B40A66"/>
    <w:rsid w:val="28B63B79"/>
    <w:rsid w:val="28B77453"/>
    <w:rsid w:val="28B7D92C"/>
    <w:rsid w:val="28B8FB6F"/>
    <w:rsid w:val="28BDBFC2"/>
    <w:rsid w:val="28BEC265"/>
    <w:rsid w:val="28CA6AD6"/>
    <w:rsid w:val="28CAD60A"/>
    <w:rsid w:val="28CED8E2"/>
    <w:rsid w:val="28D04EAA"/>
    <w:rsid w:val="28D0CF35"/>
    <w:rsid w:val="28D2A985"/>
    <w:rsid w:val="28D42E62"/>
    <w:rsid w:val="28D80191"/>
    <w:rsid w:val="28DDE792"/>
    <w:rsid w:val="28E05433"/>
    <w:rsid w:val="28E52740"/>
    <w:rsid w:val="28E8770C"/>
    <w:rsid w:val="28EC176A"/>
    <w:rsid w:val="28EC2898"/>
    <w:rsid w:val="28ED3D59"/>
    <w:rsid w:val="28EDDA0C"/>
    <w:rsid w:val="28F1409A"/>
    <w:rsid w:val="28F2B682"/>
    <w:rsid w:val="28F384C3"/>
    <w:rsid w:val="28F4AA4D"/>
    <w:rsid w:val="28F53E81"/>
    <w:rsid w:val="28F8E61C"/>
    <w:rsid w:val="28F91448"/>
    <w:rsid w:val="28FD1915"/>
    <w:rsid w:val="28FDA259"/>
    <w:rsid w:val="29011745"/>
    <w:rsid w:val="290A5086"/>
    <w:rsid w:val="290B105A"/>
    <w:rsid w:val="290ECFAA"/>
    <w:rsid w:val="29176E9D"/>
    <w:rsid w:val="2917F056"/>
    <w:rsid w:val="2918DF88"/>
    <w:rsid w:val="291B9EDE"/>
    <w:rsid w:val="29238FC7"/>
    <w:rsid w:val="292AED74"/>
    <w:rsid w:val="292EADE3"/>
    <w:rsid w:val="2930111D"/>
    <w:rsid w:val="2930D552"/>
    <w:rsid w:val="2934FC6D"/>
    <w:rsid w:val="2935656E"/>
    <w:rsid w:val="29362DC2"/>
    <w:rsid w:val="2938FF2B"/>
    <w:rsid w:val="293DD95E"/>
    <w:rsid w:val="293F5753"/>
    <w:rsid w:val="293F5E1B"/>
    <w:rsid w:val="29401391"/>
    <w:rsid w:val="29408AE9"/>
    <w:rsid w:val="29562009"/>
    <w:rsid w:val="29568A08"/>
    <w:rsid w:val="29589517"/>
    <w:rsid w:val="2958F5AD"/>
    <w:rsid w:val="295D7CB7"/>
    <w:rsid w:val="295DFAAE"/>
    <w:rsid w:val="2960D600"/>
    <w:rsid w:val="29615C1F"/>
    <w:rsid w:val="29693537"/>
    <w:rsid w:val="2969B0A3"/>
    <w:rsid w:val="296DC126"/>
    <w:rsid w:val="296FE66F"/>
    <w:rsid w:val="2972308A"/>
    <w:rsid w:val="297548E4"/>
    <w:rsid w:val="2975ADCD"/>
    <w:rsid w:val="2978AD5F"/>
    <w:rsid w:val="297BD594"/>
    <w:rsid w:val="297F0BC6"/>
    <w:rsid w:val="29829FFD"/>
    <w:rsid w:val="2982D368"/>
    <w:rsid w:val="29866F6A"/>
    <w:rsid w:val="29868BBB"/>
    <w:rsid w:val="2986961B"/>
    <w:rsid w:val="29884B0D"/>
    <w:rsid w:val="2988550D"/>
    <w:rsid w:val="298ADAB4"/>
    <w:rsid w:val="298FD943"/>
    <w:rsid w:val="2991A288"/>
    <w:rsid w:val="29924516"/>
    <w:rsid w:val="29938BEE"/>
    <w:rsid w:val="299499D9"/>
    <w:rsid w:val="29950C42"/>
    <w:rsid w:val="29958C83"/>
    <w:rsid w:val="29980218"/>
    <w:rsid w:val="29984527"/>
    <w:rsid w:val="299B61FC"/>
    <w:rsid w:val="299EB090"/>
    <w:rsid w:val="299F86E9"/>
    <w:rsid w:val="29A1D29A"/>
    <w:rsid w:val="29A4ACC4"/>
    <w:rsid w:val="29AA7E13"/>
    <w:rsid w:val="29AC688F"/>
    <w:rsid w:val="29AD9D9D"/>
    <w:rsid w:val="29AE35BB"/>
    <w:rsid w:val="29B2B466"/>
    <w:rsid w:val="29B3FBE7"/>
    <w:rsid w:val="29BD02A9"/>
    <w:rsid w:val="29BF1566"/>
    <w:rsid w:val="29C4CFCC"/>
    <w:rsid w:val="29C54403"/>
    <w:rsid w:val="29D10C06"/>
    <w:rsid w:val="29D597A7"/>
    <w:rsid w:val="29D726C5"/>
    <w:rsid w:val="29D7D3FD"/>
    <w:rsid w:val="29D939BB"/>
    <w:rsid w:val="29DA3AF4"/>
    <w:rsid w:val="29DBD7DC"/>
    <w:rsid w:val="29DD90E9"/>
    <w:rsid w:val="29E1C77C"/>
    <w:rsid w:val="29E240AF"/>
    <w:rsid w:val="29EE3D2F"/>
    <w:rsid w:val="29EF3D4D"/>
    <w:rsid w:val="29F1287A"/>
    <w:rsid w:val="29F3DE65"/>
    <w:rsid w:val="29F7CBE9"/>
    <w:rsid w:val="29F98928"/>
    <w:rsid w:val="29FEFBEF"/>
    <w:rsid w:val="2A011F20"/>
    <w:rsid w:val="2A0B102B"/>
    <w:rsid w:val="2A0FDD82"/>
    <w:rsid w:val="2A11327B"/>
    <w:rsid w:val="2A11FA55"/>
    <w:rsid w:val="2A1CA558"/>
    <w:rsid w:val="2A1E75C7"/>
    <w:rsid w:val="2A1EE0F7"/>
    <w:rsid w:val="2A24567B"/>
    <w:rsid w:val="2A24FC72"/>
    <w:rsid w:val="2A2A0F51"/>
    <w:rsid w:val="2A2C9417"/>
    <w:rsid w:val="2A31CB47"/>
    <w:rsid w:val="2A332BF5"/>
    <w:rsid w:val="2A33B55E"/>
    <w:rsid w:val="2A3A3535"/>
    <w:rsid w:val="2A41992C"/>
    <w:rsid w:val="2A4313DD"/>
    <w:rsid w:val="2A443534"/>
    <w:rsid w:val="2A47BD3A"/>
    <w:rsid w:val="2A4860CE"/>
    <w:rsid w:val="2A48A08C"/>
    <w:rsid w:val="2A48AC6C"/>
    <w:rsid w:val="2A4A3772"/>
    <w:rsid w:val="2A4ACB71"/>
    <w:rsid w:val="2A51F806"/>
    <w:rsid w:val="2A54C881"/>
    <w:rsid w:val="2A60DDC5"/>
    <w:rsid w:val="2A624078"/>
    <w:rsid w:val="2A635BDF"/>
    <w:rsid w:val="2A6380B1"/>
    <w:rsid w:val="2A7BF02C"/>
    <w:rsid w:val="2A8022DD"/>
    <w:rsid w:val="2A81F132"/>
    <w:rsid w:val="2A83CCA0"/>
    <w:rsid w:val="2A89F512"/>
    <w:rsid w:val="2A8D08F7"/>
    <w:rsid w:val="2A900B04"/>
    <w:rsid w:val="2A972D52"/>
    <w:rsid w:val="2A975CFA"/>
    <w:rsid w:val="2A978F50"/>
    <w:rsid w:val="2A9C6321"/>
    <w:rsid w:val="2A9CFC7D"/>
    <w:rsid w:val="2AA2BD23"/>
    <w:rsid w:val="2AA8115C"/>
    <w:rsid w:val="2AAC4ED0"/>
    <w:rsid w:val="2AAEE9AA"/>
    <w:rsid w:val="2AB17D7E"/>
    <w:rsid w:val="2AB4E5B8"/>
    <w:rsid w:val="2AB7C964"/>
    <w:rsid w:val="2AB93C39"/>
    <w:rsid w:val="2ABC3CC6"/>
    <w:rsid w:val="2ABCAB05"/>
    <w:rsid w:val="2ABD3D02"/>
    <w:rsid w:val="2ABDC8B9"/>
    <w:rsid w:val="2ABDE091"/>
    <w:rsid w:val="2AC640CE"/>
    <w:rsid w:val="2AC85CF4"/>
    <w:rsid w:val="2ACD6687"/>
    <w:rsid w:val="2ACDEFD9"/>
    <w:rsid w:val="2AD75C42"/>
    <w:rsid w:val="2AD85F84"/>
    <w:rsid w:val="2ADA9C8D"/>
    <w:rsid w:val="2ADD4260"/>
    <w:rsid w:val="2ADD788D"/>
    <w:rsid w:val="2ADEF683"/>
    <w:rsid w:val="2ADF3B08"/>
    <w:rsid w:val="2AE2A3CF"/>
    <w:rsid w:val="2AE5CAB8"/>
    <w:rsid w:val="2AE620E2"/>
    <w:rsid w:val="2AE7829B"/>
    <w:rsid w:val="2AE942BA"/>
    <w:rsid w:val="2AEAFFAF"/>
    <w:rsid w:val="2AF0DAD9"/>
    <w:rsid w:val="2AF106B6"/>
    <w:rsid w:val="2AF19522"/>
    <w:rsid w:val="2AF4B558"/>
    <w:rsid w:val="2AF8D5AB"/>
    <w:rsid w:val="2AF91886"/>
    <w:rsid w:val="2B02040B"/>
    <w:rsid w:val="2B03BF0C"/>
    <w:rsid w:val="2B09EB23"/>
    <w:rsid w:val="2B0DFB86"/>
    <w:rsid w:val="2B0E6336"/>
    <w:rsid w:val="2B134D4D"/>
    <w:rsid w:val="2B14D9C4"/>
    <w:rsid w:val="2B19B3F4"/>
    <w:rsid w:val="2B19D0AA"/>
    <w:rsid w:val="2B1B439F"/>
    <w:rsid w:val="2B1CDA71"/>
    <w:rsid w:val="2B205A31"/>
    <w:rsid w:val="2B20CA02"/>
    <w:rsid w:val="2B240209"/>
    <w:rsid w:val="2B2496A3"/>
    <w:rsid w:val="2B2B3F8D"/>
    <w:rsid w:val="2B30195C"/>
    <w:rsid w:val="2B30EDF0"/>
    <w:rsid w:val="2B379309"/>
    <w:rsid w:val="2B38754D"/>
    <w:rsid w:val="2B411A66"/>
    <w:rsid w:val="2B429E2D"/>
    <w:rsid w:val="2B481FBD"/>
    <w:rsid w:val="2B4C2522"/>
    <w:rsid w:val="2B51B31A"/>
    <w:rsid w:val="2B55A62E"/>
    <w:rsid w:val="2B5851CE"/>
    <w:rsid w:val="2B6068E9"/>
    <w:rsid w:val="2B6523F3"/>
    <w:rsid w:val="2B690341"/>
    <w:rsid w:val="2B6BE7D0"/>
    <w:rsid w:val="2B6C31F3"/>
    <w:rsid w:val="2B70C252"/>
    <w:rsid w:val="2B763221"/>
    <w:rsid w:val="2B7AD35D"/>
    <w:rsid w:val="2B7B90FC"/>
    <w:rsid w:val="2B7F9D47"/>
    <w:rsid w:val="2B7FD46A"/>
    <w:rsid w:val="2B84621E"/>
    <w:rsid w:val="2B8A8222"/>
    <w:rsid w:val="2B8CA6B1"/>
    <w:rsid w:val="2B8D594C"/>
    <w:rsid w:val="2B8F7B85"/>
    <w:rsid w:val="2B91FBD1"/>
    <w:rsid w:val="2B931F4A"/>
    <w:rsid w:val="2B93B8AE"/>
    <w:rsid w:val="2B952397"/>
    <w:rsid w:val="2B952F69"/>
    <w:rsid w:val="2B972AC4"/>
    <w:rsid w:val="2B981829"/>
    <w:rsid w:val="2B985351"/>
    <w:rsid w:val="2B9CAD55"/>
    <w:rsid w:val="2B9DC98B"/>
    <w:rsid w:val="2B9E114E"/>
    <w:rsid w:val="2BA172B0"/>
    <w:rsid w:val="2BA36CA1"/>
    <w:rsid w:val="2BA4BBDC"/>
    <w:rsid w:val="2BABA9AB"/>
    <w:rsid w:val="2BB8BE24"/>
    <w:rsid w:val="2BB90387"/>
    <w:rsid w:val="2BBBE0EC"/>
    <w:rsid w:val="2BBF0034"/>
    <w:rsid w:val="2BC67663"/>
    <w:rsid w:val="2BC76B5B"/>
    <w:rsid w:val="2BD4616F"/>
    <w:rsid w:val="2BD75B74"/>
    <w:rsid w:val="2BE05BD5"/>
    <w:rsid w:val="2BE1A013"/>
    <w:rsid w:val="2BE38721"/>
    <w:rsid w:val="2BE61848"/>
    <w:rsid w:val="2BEBEC22"/>
    <w:rsid w:val="2BF0956F"/>
    <w:rsid w:val="2BF0E2DD"/>
    <w:rsid w:val="2BF39FFB"/>
    <w:rsid w:val="2BFA636B"/>
    <w:rsid w:val="2BFEC01A"/>
    <w:rsid w:val="2BFECFE8"/>
    <w:rsid w:val="2BFEDED7"/>
    <w:rsid w:val="2C02E33B"/>
    <w:rsid w:val="2C039AC2"/>
    <w:rsid w:val="2C03ED6A"/>
    <w:rsid w:val="2C060EB5"/>
    <w:rsid w:val="2C0AD430"/>
    <w:rsid w:val="2C0D2EFA"/>
    <w:rsid w:val="2C0EBE3E"/>
    <w:rsid w:val="2C114326"/>
    <w:rsid w:val="2C139E56"/>
    <w:rsid w:val="2C153410"/>
    <w:rsid w:val="2C1664DE"/>
    <w:rsid w:val="2C16EB68"/>
    <w:rsid w:val="2C25739C"/>
    <w:rsid w:val="2C2579AC"/>
    <w:rsid w:val="2C25F487"/>
    <w:rsid w:val="2C285AC7"/>
    <w:rsid w:val="2C2D8C43"/>
    <w:rsid w:val="2C2E093E"/>
    <w:rsid w:val="2C32C046"/>
    <w:rsid w:val="2C32DFEC"/>
    <w:rsid w:val="2C3451FE"/>
    <w:rsid w:val="2C34E118"/>
    <w:rsid w:val="2C3768BD"/>
    <w:rsid w:val="2C37A9B2"/>
    <w:rsid w:val="2C385A33"/>
    <w:rsid w:val="2C3A7C48"/>
    <w:rsid w:val="2C3BF7C3"/>
    <w:rsid w:val="2C447D67"/>
    <w:rsid w:val="2C45E8C6"/>
    <w:rsid w:val="2C492561"/>
    <w:rsid w:val="2C4B0D6F"/>
    <w:rsid w:val="2C4E89EF"/>
    <w:rsid w:val="2C50E599"/>
    <w:rsid w:val="2C529E26"/>
    <w:rsid w:val="2C52F795"/>
    <w:rsid w:val="2C5335AD"/>
    <w:rsid w:val="2C54CB25"/>
    <w:rsid w:val="2C5C3558"/>
    <w:rsid w:val="2C5E9042"/>
    <w:rsid w:val="2C5EE1DA"/>
    <w:rsid w:val="2C5F1BA7"/>
    <w:rsid w:val="2C5F940A"/>
    <w:rsid w:val="2C60F4BC"/>
    <w:rsid w:val="2C688EB3"/>
    <w:rsid w:val="2C69EFC6"/>
    <w:rsid w:val="2C70A7BB"/>
    <w:rsid w:val="2C7D96D2"/>
    <w:rsid w:val="2C7DBAF8"/>
    <w:rsid w:val="2C8091AF"/>
    <w:rsid w:val="2C875B71"/>
    <w:rsid w:val="2C875C79"/>
    <w:rsid w:val="2C8C8BCB"/>
    <w:rsid w:val="2C8DA52F"/>
    <w:rsid w:val="2C924DB2"/>
    <w:rsid w:val="2C93E159"/>
    <w:rsid w:val="2C9D3DA2"/>
    <w:rsid w:val="2C9EC1A4"/>
    <w:rsid w:val="2CA0BE3C"/>
    <w:rsid w:val="2CA5DEA2"/>
    <w:rsid w:val="2CA6C98B"/>
    <w:rsid w:val="2CA6D168"/>
    <w:rsid w:val="2CADA76A"/>
    <w:rsid w:val="2CAF446D"/>
    <w:rsid w:val="2CB97E55"/>
    <w:rsid w:val="2CB98197"/>
    <w:rsid w:val="2CBB5329"/>
    <w:rsid w:val="2CBF1054"/>
    <w:rsid w:val="2CC25FD0"/>
    <w:rsid w:val="2CC7FE85"/>
    <w:rsid w:val="2CCB0308"/>
    <w:rsid w:val="2CCC2847"/>
    <w:rsid w:val="2CD12C20"/>
    <w:rsid w:val="2CD2AD22"/>
    <w:rsid w:val="2CD365E4"/>
    <w:rsid w:val="2CDCEC91"/>
    <w:rsid w:val="2CE64C85"/>
    <w:rsid w:val="2CEE1DC2"/>
    <w:rsid w:val="2CEE68FA"/>
    <w:rsid w:val="2CF30AF0"/>
    <w:rsid w:val="2CF9719A"/>
    <w:rsid w:val="2CFA5ED5"/>
    <w:rsid w:val="2CFD43C0"/>
    <w:rsid w:val="2D043792"/>
    <w:rsid w:val="2D060E8B"/>
    <w:rsid w:val="2D072A9F"/>
    <w:rsid w:val="2D076B37"/>
    <w:rsid w:val="2D087CC1"/>
    <w:rsid w:val="2D0A84FB"/>
    <w:rsid w:val="2D188F0B"/>
    <w:rsid w:val="2D1B5A29"/>
    <w:rsid w:val="2D1D1504"/>
    <w:rsid w:val="2D1F3CE2"/>
    <w:rsid w:val="2D26EC33"/>
    <w:rsid w:val="2D27E8B5"/>
    <w:rsid w:val="2D28A4FB"/>
    <w:rsid w:val="2D34455E"/>
    <w:rsid w:val="2D376FA7"/>
    <w:rsid w:val="2D37B4CC"/>
    <w:rsid w:val="2D382DDB"/>
    <w:rsid w:val="2D3BF54D"/>
    <w:rsid w:val="2D3D043B"/>
    <w:rsid w:val="2D3F1BC1"/>
    <w:rsid w:val="2D3F6139"/>
    <w:rsid w:val="2D3FD7BD"/>
    <w:rsid w:val="2D417CEA"/>
    <w:rsid w:val="2D4538C5"/>
    <w:rsid w:val="2D4EB2AF"/>
    <w:rsid w:val="2D4FE786"/>
    <w:rsid w:val="2D5048BD"/>
    <w:rsid w:val="2D506969"/>
    <w:rsid w:val="2D56FAD7"/>
    <w:rsid w:val="2D589138"/>
    <w:rsid w:val="2D59CE70"/>
    <w:rsid w:val="2D5B92E1"/>
    <w:rsid w:val="2D5D6EBE"/>
    <w:rsid w:val="2D6239E1"/>
    <w:rsid w:val="2D69D48F"/>
    <w:rsid w:val="2D6AC70C"/>
    <w:rsid w:val="2D6B6230"/>
    <w:rsid w:val="2D6BB341"/>
    <w:rsid w:val="2D7292A6"/>
    <w:rsid w:val="2D7577CD"/>
    <w:rsid w:val="2D7739AD"/>
    <w:rsid w:val="2D7E27D8"/>
    <w:rsid w:val="2D7F5CD2"/>
    <w:rsid w:val="2D845516"/>
    <w:rsid w:val="2D849632"/>
    <w:rsid w:val="2D884837"/>
    <w:rsid w:val="2D8CB5BB"/>
    <w:rsid w:val="2D90FA2B"/>
    <w:rsid w:val="2D91D42B"/>
    <w:rsid w:val="2D92C98A"/>
    <w:rsid w:val="2D948A65"/>
    <w:rsid w:val="2D9A93ED"/>
    <w:rsid w:val="2DA6694A"/>
    <w:rsid w:val="2DA93012"/>
    <w:rsid w:val="2DABF1B3"/>
    <w:rsid w:val="2DADD938"/>
    <w:rsid w:val="2DAF423C"/>
    <w:rsid w:val="2DB14686"/>
    <w:rsid w:val="2DB2D47A"/>
    <w:rsid w:val="2DB8ACDB"/>
    <w:rsid w:val="2DBE706E"/>
    <w:rsid w:val="2DBE8AE9"/>
    <w:rsid w:val="2DBF4C51"/>
    <w:rsid w:val="2DC36B80"/>
    <w:rsid w:val="2DC44862"/>
    <w:rsid w:val="2DC841F5"/>
    <w:rsid w:val="2DCB43B2"/>
    <w:rsid w:val="2DCCD47D"/>
    <w:rsid w:val="2DCDF5A1"/>
    <w:rsid w:val="2DCFD8E8"/>
    <w:rsid w:val="2DCFE05F"/>
    <w:rsid w:val="2DD0F19E"/>
    <w:rsid w:val="2DD25D64"/>
    <w:rsid w:val="2DD5C6F1"/>
    <w:rsid w:val="2DDAF03B"/>
    <w:rsid w:val="2DDB8E41"/>
    <w:rsid w:val="2DDDBBA8"/>
    <w:rsid w:val="2DE39770"/>
    <w:rsid w:val="2DE8E36B"/>
    <w:rsid w:val="2DEA031B"/>
    <w:rsid w:val="2DF1F9F8"/>
    <w:rsid w:val="2DFD439D"/>
    <w:rsid w:val="2DFEDD9A"/>
    <w:rsid w:val="2E0053CE"/>
    <w:rsid w:val="2E01E822"/>
    <w:rsid w:val="2E065758"/>
    <w:rsid w:val="2E0690ED"/>
    <w:rsid w:val="2E074AF3"/>
    <w:rsid w:val="2E098627"/>
    <w:rsid w:val="2E0ABEF7"/>
    <w:rsid w:val="2E0D969F"/>
    <w:rsid w:val="2E1423A8"/>
    <w:rsid w:val="2E1A85F3"/>
    <w:rsid w:val="2E1BEB31"/>
    <w:rsid w:val="2E1D5539"/>
    <w:rsid w:val="2E1F4468"/>
    <w:rsid w:val="2E205A65"/>
    <w:rsid w:val="2E2B3E0A"/>
    <w:rsid w:val="2E2FE520"/>
    <w:rsid w:val="2E342EE7"/>
    <w:rsid w:val="2E3604EF"/>
    <w:rsid w:val="2E36F811"/>
    <w:rsid w:val="2E40F8C8"/>
    <w:rsid w:val="2E4316CF"/>
    <w:rsid w:val="2E431C7C"/>
    <w:rsid w:val="2E46D1DA"/>
    <w:rsid w:val="2E48286D"/>
    <w:rsid w:val="2E48DEB5"/>
    <w:rsid w:val="2E4AF188"/>
    <w:rsid w:val="2E4C7E4C"/>
    <w:rsid w:val="2E5163F5"/>
    <w:rsid w:val="2E5BD135"/>
    <w:rsid w:val="2E5D516B"/>
    <w:rsid w:val="2E6586E2"/>
    <w:rsid w:val="2E683E00"/>
    <w:rsid w:val="2E6A314D"/>
    <w:rsid w:val="2E6D4FEF"/>
    <w:rsid w:val="2E70BA6B"/>
    <w:rsid w:val="2E73BB7D"/>
    <w:rsid w:val="2E743AD6"/>
    <w:rsid w:val="2E78251D"/>
    <w:rsid w:val="2E782AC5"/>
    <w:rsid w:val="2E7DED09"/>
    <w:rsid w:val="2E7FAA95"/>
    <w:rsid w:val="2E83DB1F"/>
    <w:rsid w:val="2E8C4854"/>
    <w:rsid w:val="2E8F50A8"/>
    <w:rsid w:val="2E930E04"/>
    <w:rsid w:val="2E94600C"/>
    <w:rsid w:val="2E95E645"/>
    <w:rsid w:val="2EA067CF"/>
    <w:rsid w:val="2EA66C0F"/>
    <w:rsid w:val="2EAB4984"/>
    <w:rsid w:val="2EABAE40"/>
    <w:rsid w:val="2EB496FB"/>
    <w:rsid w:val="2EB67AA1"/>
    <w:rsid w:val="2EB6A745"/>
    <w:rsid w:val="2EB830D7"/>
    <w:rsid w:val="2EBB47BE"/>
    <w:rsid w:val="2EBB49F1"/>
    <w:rsid w:val="2EBCB7FB"/>
    <w:rsid w:val="2EC07B74"/>
    <w:rsid w:val="2EC33229"/>
    <w:rsid w:val="2EC7FE3B"/>
    <w:rsid w:val="2EC8A0D5"/>
    <w:rsid w:val="2ECC7EAC"/>
    <w:rsid w:val="2ECD9F2F"/>
    <w:rsid w:val="2ECE9515"/>
    <w:rsid w:val="2ECFFEFB"/>
    <w:rsid w:val="2ED53199"/>
    <w:rsid w:val="2ED69E15"/>
    <w:rsid w:val="2EDA5E8B"/>
    <w:rsid w:val="2EDB67F1"/>
    <w:rsid w:val="2EE01912"/>
    <w:rsid w:val="2EE097A1"/>
    <w:rsid w:val="2EE18202"/>
    <w:rsid w:val="2EE4CF9C"/>
    <w:rsid w:val="2EE4F022"/>
    <w:rsid w:val="2EE5A3A8"/>
    <w:rsid w:val="2EE5A5B0"/>
    <w:rsid w:val="2EF3D8A9"/>
    <w:rsid w:val="2EF774D0"/>
    <w:rsid w:val="2EFB2A5D"/>
    <w:rsid w:val="2EFD4DB3"/>
    <w:rsid w:val="2EFDE481"/>
    <w:rsid w:val="2EFED66D"/>
    <w:rsid w:val="2F00497D"/>
    <w:rsid w:val="2F012FF2"/>
    <w:rsid w:val="2F02248D"/>
    <w:rsid w:val="2F04FBF1"/>
    <w:rsid w:val="2F08EB8A"/>
    <w:rsid w:val="2F0CEC96"/>
    <w:rsid w:val="2F0FDB05"/>
    <w:rsid w:val="2F10EC43"/>
    <w:rsid w:val="2F11B52E"/>
    <w:rsid w:val="2F151F84"/>
    <w:rsid w:val="2F156829"/>
    <w:rsid w:val="2F1A1F26"/>
    <w:rsid w:val="2F1EDE1A"/>
    <w:rsid w:val="2F1FF2F9"/>
    <w:rsid w:val="2F2012AA"/>
    <w:rsid w:val="2F21F31E"/>
    <w:rsid w:val="2F24294E"/>
    <w:rsid w:val="2F250658"/>
    <w:rsid w:val="2F259C9C"/>
    <w:rsid w:val="2F25BD27"/>
    <w:rsid w:val="2F2BC6CA"/>
    <w:rsid w:val="2F33F664"/>
    <w:rsid w:val="2F35FD8A"/>
    <w:rsid w:val="2F378098"/>
    <w:rsid w:val="2F3954C0"/>
    <w:rsid w:val="2F3ABA50"/>
    <w:rsid w:val="2F3F14CF"/>
    <w:rsid w:val="2F454A84"/>
    <w:rsid w:val="2F45C172"/>
    <w:rsid w:val="2F499FDB"/>
    <w:rsid w:val="2F4C2868"/>
    <w:rsid w:val="2F4C35BC"/>
    <w:rsid w:val="2F5A28F0"/>
    <w:rsid w:val="2F5BD862"/>
    <w:rsid w:val="2F5D9F65"/>
    <w:rsid w:val="2F6CFC1B"/>
    <w:rsid w:val="2F6DF1DC"/>
    <w:rsid w:val="2F73FE53"/>
    <w:rsid w:val="2F76DA42"/>
    <w:rsid w:val="2F78E5DB"/>
    <w:rsid w:val="2F7BB84C"/>
    <w:rsid w:val="2F7E5170"/>
    <w:rsid w:val="2F8A8F59"/>
    <w:rsid w:val="2F8C0C0E"/>
    <w:rsid w:val="2F8DFCB0"/>
    <w:rsid w:val="2F9211BA"/>
    <w:rsid w:val="2F927E01"/>
    <w:rsid w:val="2F92F1F8"/>
    <w:rsid w:val="2F9341DF"/>
    <w:rsid w:val="2F938054"/>
    <w:rsid w:val="2F95A350"/>
    <w:rsid w:val="2F9736D4"/>
    <w:rsid w:val="2F98A6C9"/>
    <w:rsid w:val="2F9E1782"/>
    <w:rsid w:val="2FA32D3C"/>
    <w:rsid w:val="2FA53432"/>
    <w:rsid w:val="2FA57D9D"/>
    <w:rsid w:val="2FA8BF91"/>
    <w:rsid w:val="2FA926D6"/>
    <w:rsid w:val="2FA9439B"/>
    <w:rsid w:val="2FAA1FEC"/>
    <w:rsid w:val="2FACF112"/>
    <w:rsid w:val="2FB03838"/>
    <w:rsid w:val="2FB065E8"/>
    <w:rsid w:val="2FB6033B"/>
    <w:rsid w:val="2FBCF823"/>
    <w:rsid w:val="2FBF123C"/>
    <w:rsid w:val="2FC31B90"/>
    <w:rsid w:val="2FC36AB0"/>
    <w:rsid w:val="2FD0532C"/>
    <w:rsid w:val="2FD284B1"/>
    <w:rsid w:val="2FDB2A98"/>
    <w:rsid w:val="2FDB42FE"/>
    <w:rsid w:val="2FDD0E88"/>
    <w:rsid w:val="2FDD835B"/>
    <w:rsid w:val="2FDF857D"/>
    <w:rsid w:val="2FE02E0B"/>
    <w:rsid w:val="2FE39B95"/>
    <w:rsid w:val="2FECC41A"/>
    <w:rsid w:val="2FF786B8"/>
    <w:rsid w:val="2FFC53B2"/>
    <w:rsid w:val="30033929"/>
    <w:rsid w:val="300BAEBF"/>
    <w:rsid w:val="30187457"/>
    <w:rsid w:val="301AF0E4"/>
    <w:rsid w:val="30211FB6"/>
    <w:rsid w:val="30230230"/>
    <w:rsid w:val="302339AF"/>
    <w:rsid w:val="30290473"/>
    <w:rsid w:val="302AF180"/>
    <w:rsid w:val="302C99E5"/>
    <w:rsid w:val="3035E986"/>
    <w:rsid w:val="30397157"/>
    <w:rsid w:val="303E152E"/>
    <w:rsid w:val="30419485"/>
    <w:rsid w:val="30446840"/>
    <w:rsid w:val="3044E99C"/>
    <w:rsid w:val="304D5FE5"/>
    <w:rsid w:val="3055EB9F"/>
    <w:rsid w:val="30571394"/>
    <w:rsid w:val="30597258"/>
    <w:rsid w:val="305AF98D"/>
    <w:rsid w:val="305DF105"/>
    <w:rsid w:val="305FED12"/>
    <w:rsid w:val="3063E3D4"/>
    <w:rsid w:val="3065E510"/>
    <w:rsid w:val="3068A873"/>
    <w:rsid w:val="306A6E4F"/>
    <w:rsid w:val="306B1D61"/>
    <w:rsid w:val="306E2893"/>
    <w:rsid w:val="306F98BC"/>
    <w:rsid w:val="306F9E04"/>
    <w:rsid w:val="306FC479"/>
    <w:rsid w:val="3070C77B"/>
    <w:rsid w:val="3075FCAE"/>
    <w:rsid w:val="307DD96D"/>
    <w:rsid w:val="307EB811"/>
    <w:rsid w:val="30850F99"/>
    <w:rsid w:val="308575D2"/>
    <w:rsid w:val="308A23AF"/>
    <w:rsid w:val="308B3337"/>
    <w:rsid w:val="308B954B"/>
    <w:rsid w:val="308BB3DA"/>
    <w:rsid w:val="308CEDD2"/>
    <w:rsid w:val="308F522B"/>
    <w:rsid w:val="308FF0F9"/>
    <w:rsid w:val="3092CE1E"/>
    <w:rsid w:val="30932F02"/>
    <w:rsid w:val="3093CAC1"/>
    <w:rsid w:val="30976C28"/>
    <w:rsid w:val="30998358"/>
    <w:rsid w:val="309DA347"/>
    <w:rsid w:val="309F082C"/>
    <w:rsid w:val="30A1EA6C"/>
    <w:rsid w:val="30A72477"/>
    <w:rsid w:val="30A92F23"/>
    <w:rsid w:val="30AF6679"/>
    <w:rsid w:val="30B29CC7"/>
    <w:rsid w:val="30B2BCF1"/>
    <w:rsid w:val="30B58E98"/>
    <w:rsid w:val="30B78435"/>
    <w:rsid w:val="30B9783D"/>
    <w:rsid w:val="30BE669E"/>
    <w:rsid w:val="30C041D3"/>
    <w:rsid w:val="30C3BEAF"/>
    <w:rsid w:val="30C555EB"/>
    <w:rsid w:val="30D3A407"/>
    <w:rsid w:val="30DBA895"/>
    <w:rsid w:val="30DCB063"/>
    <w:rsid w:val="30DF451A"/>
    <w:rsid w:val="30E2D470"/>
    <w:rsid w:val="30E39689"/>
    <w:rsid w:val="30E3D0C8"/>
    <w:rsid w:val="30E4D5FC"/>
    <w:rsid w:val="30EB160C"/>
    <w:rsid w:val="30ECAEF6"/>
    <w:rsid w:val="30ED26D9"/>
    <w:rsid w:val="30ED56A8"/>
    <w:rsid w:val="30F2C600"/>
    <w:rsid w:val="30F354E2"/>
    <w:rsid w:val="30F8546B"/>
    <w:rsid w:val="30F96F9E"/>
    <w:rsid w:val="30FB0131"/>
    <w:rsid w:val="30FD6093"/>
    <w:rsid w:val="310367B9"/>
    <w:rsid w:val="31057D2F"/>
    <w:rsid w:val="3105C416"/>
    <w:rsid w:val="3108A612"/>
    <w:rsid w:val="31095636"/>
    <w:rsid w:val="311017AE"/>
    <w:rsid w:val="3110AC78"/>
    <w:rsid w:val="3116D6DB"/>
    <w:rsid w:val="311761D3"/>
    <w:rsid w:val="311B5976"/>
    <w:rsid w:val="31204276"/>
    <w:rsid w:val="3120AF08"/>
    <w:rsid w:val="3124358B"/>
    <w:rsid w:val="3124FE32"/>
    <w:rsid w:val="31274E98"/>
    <w:rsid w:val="3128104D"/>
    <w:rsid w:val="312AC091"/>
    <w:rsid w:val="31310F85"/>
    <w:rsid w:val="3136E08D"/>
    <w:rsid w:val="3138102F"/>
    <w:rsid w:val="31386888"/>
    <w:rsid w:val="313E2534"/>
    <w:rsid w:val="313E28EC"/>
    <w:rsid w:val="313F2E50"/>
    <w:rsid w:val="313F751E"/>
    <w:rsid w:val="31434A0A"/>
    <w:rsid w:val="31499915"/>
    <w:rsid w:val="314B6C2A"/>
    <w:rsid w:val="314BB0AF"/>
    <w:rsid w:val="314FEDA4"/>
    <w:rsid w:val="3150DAAC"/>
    <w:rsid w:val="315288AC"/>
    <w:rsid w:val="315303E5"/>
    <w:rsid w:val="315A56B9"/>
    <w:rsid w:val="3164F7B8"/>
    <w:rsid w:val="316A6230"/>
    <w:rsid w:val="31737A2E"/>
    <w:rsid w:val="3174C6E4"/>
    <w:rsid w:val="317674C0"/>
    <w:rsid w:val="31781D74"/>
    <w:rsid w:val="3178500D"/>
    <w:rsid w:val="3178E74C"/>
    <w:rsid w:val="317C8B95"/>
    <w:rsid w:val="317E6090"/>
    <w:rsid w:val="317FB23E"/>
    <w:rsid w:val="3181B811"/>
    <w:rsid w:val="31824D59"/>
    <w:rsid w:val="318513A4"/>
    <w:rsid w:val="318645A0"/>
    <w:rsid w:val="3190E04D"/>
    <w:rsid w:val="31940BCE"/>
    <w:rsid w:val="3195DA8E"/>
    <w:rsid w:val="31964716"/>
    <w:rsid w:val="319851D8"/>
    <w:rsid w:val="319F34CB"/>
    <w:rsid w:val="319F68FC"/>
    <w:rsid w:val="31A410C4"/>
    <w:rsid w:val="31A55F9D"/>
    <w:rsid w:val="31A79419"/>
    <w:rsid w:val="31A82089"/>
    <w:rsid w:val="31AC5F17"/>
    <w:rsid w:val="31ACB3FD"/>
    <w:rsid w:val="31ADA2D9"/>
    <w:rsid w:val="31B28821"/>
    <w:rsid w:val="31B36A07"/>
    <w:rsid w:val="31B50EC5"/>
    <w:rsid w:val="31B69AD0"/>
    <w:rsid w:val="31B70E24"/>
    <w:rsid w:val="31BC0B29"/>
    <w:rsid w:val="31C00D3A"/>
    <w:rsid w:val="31C9BC09"/>
    <w:rsid w:val="31CAA036"/>
    <w:rsid w:val="31CED815"/>
    <w:rsid w:val="31D7DAAF"/>
    <w:rsid w:val="31D96783"/>
    <w:rsid w:val="31DE95AC"/>
    <w:rsid w:val="31E49E12"/>
    <w:rsid w:val="31EBC5B7"/>
    <w:rsid w:val="31EE5FC5"/>
    <w:rsid w:val="31EED80F"/>
    <w:rsid w:val="31F36CF0"/>
    <w:rsid w:val="31F578BE"/>
    <w:rsid w:val="31F759F9"/>
    <w:rsid w:val="31FDDA6E"/>
    <w:rsid w:val="31FEBC11"/>
    <w:rsid w:val="31FF871E"/>
    <w:rsid w:val="31FFB3E8"/>
    <w:rsid w:val="3204EE6B"/>
    <w:rsid w:val="3214D7C1"/>
    <w:rsid w:val="32171683"/>
    <w:rsid w:val="3220ABB9"/>
    <w:rsid w:val="322223E8"/>
    <w:rsid w:val="3223645B"/>
    <w:rsid w:val="3229CE3F"/>
    <w:rsid w:val="322AD5E2"/>
    <w:rsid w:val="322FF81E"/>
    <w:rsid w:val="3236166B"/>
    <w:rsid w:val="323C6D09"/>
    <w:rsid w:val="323D2F97"/>
    <w:rsid w:val="323E0469"/>
    <w:rsid w:val="323EBD9A"/>
    <w:rsid w:val="32415440"/>
    <w:rsid w:val="324336B7"/>
    <w:rsid w:val="3244758A"/>
    <w:rsid w:val="3244B193"/>
    <w:rsid w:val="32458F83"/>
    <w:rsid w:val="3246F64A"/>
    <w:rsid w:val="324AC669"/>
    <w:rsid w:val="324C51A3"/>
    <w:rsid w:val="324D1D93"/>
    <w:rsid w:val="324E75C0"/>
    <w:rsid w:val="324E8F09"/>
    <w:rsid w:val="32504989"/>
    <w:rsid w:val="32565554"/>
    <w:rsid w:val="3257169C"/>
    <w:rsid w:val="325CA042"/>
    <w:rsid w:val="32606C5E"/>
    <w:rsid w:val="32616209"/>
    <w:rsid w:val="3262B6B7"/>
    <w:rsid w:val="326544BF"/>
    <w:rsid w:val="326FA60C"/>
    <w:rsid w:val="327BE489"/>
    <w:rsid w:val="327EF24C"/>
    <w:rsid w:val="3282E600"/>
    <w:rsid w:val="32922558"/>
    <w:rsid w:val="329C3DCF"/>
    <w:rsid w:val="329CA3BC"/>
    <w:rsid w:val="329D9FBC"/>
    <w:rsid w:val="329DA422"/>
    <w:rsid w:val="32A05ED6"/>
    <w:rsid w:val="32A344FE"/>
    <w:rsid w:val="32A52A8D"/>
    <w:rsid w:val="32AD7EB7"/>
    <w:rsid w:val="32B2D220"/>
    <w:rsid w:val="32B43028"/>
    <w:rsid w:val="32B4445D"/>
    <w:rsid w:val="32B70DBF"/>
    <w:rsid w:val="32B85771"/>
    <w:rsid w:val="32B9B425"/>
    <w:rsid w:val="32BEC64A"/>
    <w:rsid w:val="32BF5C4F"/>
    <w:rsid w:val="32C33F69"/>
    <w:rsid w:val="32C4528E"/>
    <w:rsid w:val="32CC0799"/>
    <w:rsid w:val="32D7B63E"/>
    <w:rsid w:val="32D8A533"/>
    <w:rsid w:val="32DF0359"/>
    <w:rsid w:val="32E3212C"/>
    <w:rsid w:val="32E6D14D"/>
    <w:rsid w:val="32E9A42A"/>
    <w:rsid w:val="32EE2BD9"/>
    <w:rsid w:val="32F23C83"/>
    <w:rsid w:val="32F3AC49"/>
    <w:rsid w:val="32F46258"/>
    <w:rsid w:val="32F5BED2"/>
    <w:rsid w:val="32F63332"/>
    <w:rsid w:val="330B3B8D"/>
    <w:rsid w:val="330C2855"/>
    <w:rsid w:val="330C2BD3"/>
    <w:rsid w:val="331181F3"/>
    <w:rsid w:val="33156AAB"/>
    <w:rsid w:val="3316C165"/>
    <w:rsid w:val="33178AA6"/>
    <w:rsid w:val="3319EE7D"/>
    <w:rsid w:val="331BF5E0"/>
    <w:rsid w:val="331C5077"/>
    <w:rsid w:val="331E5A4B"/>
    <w:rsid w:val="331E7BC1"/>
    <w:rsid w:val="332218F8"/>
    <w:rsid w:val="3326284B"/>
    <w:rsid w:val="3326BC4E"/>
    <w:rsid w:val="3329ED1E"/>
    <w:rsid w:val="332C5A59"/>
    <w:rsid w:val="332C63A9"/>
    <w:rsid w:val="332DDBB9"/>
    <w:rsid w:val="333123A0"/>
    <w:rsid w:val="33360459"/>
    <w:rsid w:val="333CD35B"/>
    <w:rsid w:val="334128BA"/>
    <w:rsid w:val="33419969"/>
    <w:rsid w:val="3341BC7E"/>
    <w:rsid w:val="3343E685"/>
    <w:rsid w:val="33464450"/>
    <w:rsid w:val="334853DE"/>
    <w:rsid w:val="334EC470"/>
    <w:rsid w:val="334FBE2D"/>
    <w:rsid w:val="33522555"/>
    <w:rsid w:val="3353567F"/>
    <w:rsid w:val="3353D6E3"/>
    <w:rsid w:val="33558DB1"/>
    <w:rsid w:val="33691CFB"/>
    <w:rsid w:val="336BD436"/>
    <w:rsid w:val="336E979A"/>
    <w:rsid w:val="337221CC"/>
    <w:rsid w:val="3376784C"/>
    <w:rsid w:val="33771144"/>
    <w:rsid w:val="33799DE2"/>
    <w:rsid w:val="33813CA8"/>
    <w:rsid w:val="3381B819"/>
    <w:rsid w:val="33864163"/>
    <w:rsid w:val="338AA705"/>
    <w:rsid w:val="338AF2D0"/>
    <w:rsid w:val="338C5E83"/>
    <w:rsid w:val="338D1485"/>
    <w:rsid w:val="339A0585"/>
    <w:rsid w:val="339B59E5"/>
    <w:rsid w:val="339E26E3"/>
    <w:rsid w:val="33ABA5BA"/>
    <w:rsid w:val="33AC1706"/>
    <w:rsid w:val="33AD5427"/>
    <w:rsid w:val="33AF2423"/>
    <w:rsid w:val="33AF2C9C"/>
    <w:rsid w:val="33B035A3"/>
    <w:rsid w:val="33B6FCB7"/>
    <w:rsid w:val="33BACA80"/>
    <w:rsid w:val="33BB46FA"/>
    <w:rsid w:val="33C73609"/>
    <w:rsid w:val="33D06A78"/>
    <w:rsid w:val="33D1ABA9"/>
    <w:rsid w:val="33DEDBA0"/>
    <w:rsid w:val="33DEE43E"/>
    <w:rsid w:val="33E311DB"/>
    <w:rsid w:val="33E69B80"/>
    <w:rsid w:val="33E87BF6"/>
    <w:rsid w:val="33E9FCE6"/>
    <w:rsid w:val="33EDB09A"/>
    <w:rsid w:val="33F3FD90"/>
    <w:rsid w:val="33FE2F5C"/>
    <w:rsid w:val="3408EEBD"/>
    <w:rsid w:val="3409A9C1"/>
    <w:rsid w:val="340A08EC"/>
    <w:rsid w:val="340A36D8"/>
    <w:rsid w:val="340DD0BC"/>
    <w:rsid w:val="3410494B"/>
    <w:rsid w:val="34110746"/>
    <w:rsid w:val="34159702"/>
    <w:rsid w:val="341858FA"/>
    <w:rsid w:val="34193312"/>
    <w:rsid w:val="341CFBC7"/>
    <w:rsid w:val="341F5E8D"/>
    <w:rsid w:val="342291E1"/>
    <w:rsid w:val="342494DA"/>
    <w:rsid w:val="34256E79"/>
    <w:rsid w:val="34267DF0"/>
    <w:rsid w:val="342E8B9E"/>
    <w:rsid w:val="34329758"/>
    <w:rsid w:val="34338780"/>
    <w:rsid w:val="3435973C"/>
    <w:rsid w:val="34372A33"/>
    <w:rsid w:val="343C8D2C"/>
    <w:rsid w:val="34401900"/>
    <w:rsid w:val="3442E579"/>
    <w:rsid w:val="344B7A04"/>
    <w:rsid w:val="344F0160"/>
    <w:rsid w:val="34516BE1"/>
    <w:rsid w:val="3452FEED"/>
    <w:rsid w:val="345475DD"/>
    <w:rsid w:val="34556924"/>
    <w:rsid w:val="34557758"/>
    <w:rsid w:val="345BB340"/>
    <w:rsid w:val="345C9603"/>
    <w:rsid w:val="345D344A"/>
    <w:rsid w:val="34658FDD"/>
    <w:rsid w:val="34659AD0"/>
    <w:rsid w:val="3466FF37"/>
    <w:rsid w:val="346863EC"/>
    <w:rsid w:val="346A7DF2"/>
    <w:rsid w:val="346A9FD9"/>
    <w:rsid w:val="346F9228"/>
    <w:rsid w:val="34706753"/>
    <w:rsid w:val="34770E70"/>
    <w:rsid w:val="3477B2F5"/>
    <w:rsid w:val="3477B857"/>
    <w:rsid w:val="347A9460"/>
    <w:rsid w:val="34801B4E"/>
    <w:rsid w:val="3487115C"/>
    <w:rsid w:val="3488E127"/>
    <w:rsid w:val="348C5652"/>
    <w:rsid w:val="348DEF54"/>
    <w:rsid w:val="34901364"/>
    <w:rsid w:val="349102BA"/>
    <w:rsid w:val="349C3070"/>
    <w:rsid w:val="349DAED4"/>
    <w:rsid w:val="349ECE57"/>
    <w:rsid w:val="349F4840"/>
    <w:rsid w:val="34A1CA2A"/>
    <w:rsid w:val="34A22EB1"/>
    <w:rsid w:val="34A925D4"/>
    <w:rsid w:val="34A94C79"/>
    <w:rsid w:val="34AFCEAD"/>
    <w:rsid w:val="34B396B1"/>
    <w:rsid w:val="34B5E12D"/>
    <w:rsid w:val="34BCFB02"/>
    <w:rsid w:val="34C00299"/>
    <w:rsid w:val="34C17FFE"/>
    <w:rsid w:val="34C3AB33"/>
    <w:rsid w:val="34C5EC90"/>
    <w:rsid w:val="34C89B34"/>
    <w:rsid w:val="34CA5117"/>
    <w:rsid w:val="34D04692"/>
    <w:rsid w:val="34D29242"/>
    <w:rsid w:val="34D59B25"/>
    <w:rsid w:val="34D6F3A1"/>
    <w:rsid w:val="34D9E389"/>
    <w:rsid w:val="34DFD6CE"/>
    <w:rsid w:val="34E15213"/>
    <w:rsid w:val="34E2BDC4"/>
    <w:rsid w:val="34E75721"/>
    <w:rsid w:val="34E79782"/>
    <w:rsid w:val="34E8557E"/>
    <w:rsid w:val="34E876CD"/>
    <w:rsid w:val="34E97ED0"/>
    <w:rsid w:val="34EA35D9"/>
    <w:rsid w:val="34ECA283"/>
    <w:rsid w:val="34F29A10"/>
    <w:rsid w:val="34F8062F"/>
    <w:rsid w:val="34F92788"/>
    <w:rsid w:val="34FB07D7"/>
    <w:rsid w:val="34FBF47A"/>
    <w:rsid w:val="3500B729"/>
    <w:rsid w:val="3501CE9A"/>
    <w:rsid w:val="3508F7E5"/>
    <w:rsid w:val="350D89AC"/>
    <w:rsid w:val="351AF715"/>
    <w:rsid w:val="352506F7"/>
    <w:rsid w:val="3525370D"/>
    <w:rsid w:val="35259E25"/>
    <w:rsid w:val="352A7082"/>
    <w:rsid w:val="352D2E1B"/>
    <w:rsid w:val="3533BDA8"/>
    <w:rsid w:val="3534F560"/>
    <w:rsid w:val="3535E14C"/>
    <w:rsid w:val="3536A361"/>
    <w:rsid w:val="353CE583"/>
    <w:rsid w:val="353D7056"/>
    <w:rsid w:val="3540CB19"/>
    <w:rsid w:val="35469268"/>
    <w:rsid w:val="35472D7D"/>
    <w:rsid w:val="3547306B"/>
    <w:rsid w:val="3548B78D"/>
    <w:rsid w:val="354A5D95"/>
    <w:rsid w:val="354F655A"/>
    <w:rsid w:val="354FF9DC"/>
    <w:rsid w:val="3555DE57"/>
    <w:rsid w:val="35579FC4"/>
    <w:rsid w:val="3559EA4A"/>
    <w:rsid w:val="355A181A"/>
    <w:rsid w:val="355D7C21"/>
    <w:rsid w:val="35626D8D"/>
    <w:rsid w:val="35681687"/>
    <w:rsid w:val="3569A4C6"/>
    <w:rsid w:val="356A6D84"/>
    <w:rsid w:val="356C369A"/>
    <w:rsid w:val="356E10CB"/>
    <w:rsid w:val="35708A1D"/>
    <w:rsid w:val="3570C7EE"/>
    <w:rsid w:val="35794715"/>
    <w:rsid w:val="357B86BF"/>
    <w:rsid w:val="357D28D8"/>
    <w:rsid w:val="3580B3E4"/>
    <w:rsid w:val="35816BBD"/>
    <w:rsid w:val="3581B0A3"/>
    <w:rsid w:val="3587A4AA"/>
    <w:rsid w:val="358AACCC"/>
    <w:rsid w:val="358E2719"/>
    <w:rsid w:val="358E8E14"/>
    <w:rsid w:val="35915B3E"/>
    <w:rsid w:val="35950373"/>
    <w:rsid w:val="35967C9A"/>
    <w:rsid w:val="3597FD9E"/>
    <w:rsid w:val="359D6965"/>
    <w:rsid w:val="35A023F8"/>
    <w:rsid w:val="35A6732F"/>
    <w:rsid w:val="35A746C0"/>
    <w:rsid w:val="35A753D8"/>
    <w:rsid w:val="35ACE3E0"/>
    <w:rsid w:val="35AD65F0"/>
    <w:rsid w:val="35AEA4D1"/>
    <w:rsid w:val="35B69172"/>
    <w:rsid w:val="35B71EDD"/>
    <w:rsid w:val="35B777D7"/>
    <w:rsid w:val="35B800F4"/>
    <w:rsid w:val="35B963EB"/>
    <w:rsid w:val="35B99F7A"/>
    <w:rsid w:val="35BA61D1"/>
    <w:rsid w:val="35BC98BA"/>
    <w:rsid w:val="35BE6B97"/>
    <w:rsid w:val="35BFFE2F"/>
    <w:rsid w:val="35C2B41E"/>
    <w:rsid w:val="35C9E9B1"/>
    <w:rsid w:val="35CB9093"/>
    <w:rsid w:val="35CE656F"/>
    <w:rsid w:val="35CFA257"/>
    <w:rsid w:val="35D182FB"/>
    <w:rsid w:val="35D51742"/>
    <w:rsid w:val="35D656A8"/>
    <w:rsid w:val="35D6F6B4"/>
    <w:rsid w:val="35E27E55"/>
    <w:rsid w:val="35ED54E5"/>
    <w:rsid w:val="35EEC462"/>
    <w:rsid w:val="35F0F185"/>
    <w:rsid w:val="35F12C82"/>
    <w:rsid w:val="35F1F50E"/>
    <w:rsid w:val="35F70105"/>
    <w:rsid w:val="35F9F492"/>
    <w:rsid w:val="35FFB0BB"/>
    <w:rsid w:val="35FFB187"/>
    <w:rsid w:val="3603B0B0"/>
    <w:rsid w:val="36052846"/>
    <w:rsid w:val="3606521E"/>
    <w:rsid w:val="360B9362"/>
    <w:rsid w:val="360C60E8"/>
    <w:rsid w:val="360EEC48"/>
    <w:rsid w:val="360F06CC"/>
    <w:rsid w:val="3610C750"/>
    <w:rsid w:val="36132EB4"/>
    <w:rsid w:val="36136A1F"/>
    <w:rsid w:val="361504F7"/>
    <w:rsid w:val="361A7F69"/>
    <w:rsid w:val="361AA778"/>
    <w:rsid w:val="362294B2"/>
    <w:rsid w:val="362473B7"/>
    <w:rsid w:val="362532AC"/>
    <w:rsid w:val="3627657D"/>
    <w:rsid w:val="36281840"/>
    <w:rsid w:val="362DF1CA"/>
    <w:rsid w:val="362FB9B6"/>
    <w:rsid w:val="36301825"/>
    <w:rsid w:val="36324956"/>
    <w:rsid w:val="3635B44B"/>
    <w:rsid w:val="363625CD"/>
    <w:rsid w:val="36364E56"/>
    <w:rsid w:val="3636578F"/>
    <w:rsid w:val="3639580D"/>
    <w:rsid w:val="363BDF1F"/>
    <w:rsid w:val="364029CC"/>
    <w:rsid w:val="3641654C"/>
    <w:rsid w:val="364367E1"/>
    <w:rsid w:val="3643894F"/>
    <w:rsid w:val="364435D7"/>
    <w:rsid w:val="3645FB19"/>
    <w:rsid w:val="36467603"/>
    <w:rsid w:val="3649EF9A"/>
    <w:rsid w:val="364B7B3F"/>
    <w:rsid w:val="364DE482"/>
    <w:rsid w:val="364E6BD3"/>
    <w:rsid w:val="364F15A4"/>
    <w:rsid w:val="3651E7AC"/>
    <w:rsid w:val="3653B73C"/>
    <w:rsid w:val="3653BA24"/>
    <w:rsid w:val="36571904"/>
    <w:rsid w:val="365A3061"/>
    <w:rsid w:val="365CDE4C"/>
    <w:rsid w:val="365F2536"/>
    <w:rsid w:val="36615CDA"/>
    <w:rsid w:val="366225A8"/>
    <w:rsid w:val="36625EF9"/>
    <w:rsid w:val="36645126"/>
    <w:rsid w:val="36661490"/>
    <w:rsid w:val="36704EF3"/>
    <w:rsid w:val="36770E8C"/>
    <w:rsid w:val="36779CA4"/>
    <w:rsid w:val="3678CF80"/>
    <w:rsid w:val="3679D365"/>
    <w:rsid w:val="367A4C07"/>
    <w:rsid w:val="367B3C34"/>
    <w:rsid w:val="367B7B21"/>
    <w:rsid w:val="367C4CD2"/>
    <w:rsid w:val="367C7A15"/>
    <w:rsid w:val="367CF99C"/>
    <w:rsid w:val="36849740"/>
    <w:rsid w:val="3687A89B"/>
    <w:rsid w:val="36884230"/>
    <w:rsid w:val="368C98AE"/>
    <w:rsid w:val="368CFD72"/>
    <w:rsid w:val="368DAD08"/>
    <w:rsid w:val="368F07DC"/>
    <w:rsid w:val="369233F5"/>
    <w:rsid w:val="369513FD"/>
    <w:rsid w:val="36980934"/>
    <w:rsid w:val="3699AD3F"/>
    <w:rsid w:val="3699B473"/>
    <w:rsid w:val="369B2088"/>
    <w:rsid w:val="369F0192"/>
    <w:rsid w:val="36A9B154"/>
    <w:rsid w:val="36ACF0A5"/>
    <w:rsid w:val="36AD60EA"/>
    <w:rsid w:val="36AEB2C2"/>
    <w:rsid w:val="36AF62F1"/>
    <w:rsid w:val="36B20909"/>
    <w:rsid w:val="36B2E39D"/>
    <w:rsid w:val="36B59F42"/>
    <w:rsid w:val="36B5DA4F"/>
    <w:rsid w:val="36B6F4F7"/>
    <w:rsid w:val="36BBB37B"/>
    <w:rsid w:val="36BBF575"/>
    <w:rsid w:val="36BDE93A"/>
    <w:rsid w:val="36C3E697"/>
    <w:rsid w:val="36C7833D"/>
    <w:rsid w:val="36C867EB"/>
    <w:rsid w:val="36C973FF"/>
    <w:rsid w:val="36C9F31E"/>
    <w:rsid w:val="36CAE33F"/>
    <w:rsid w:val="36CC6AEE"/>
    <w:rsid w:val="36CF2905"/>
    <w:rsid w:val="36D0E9F7"/>
    <w:rsid w:val="36D16080"/>
    <w:rsid w:val="36D29ABB"/>
    <w:rsid w:val="36D6BD26"/>
    <w:rsid w:val="36DA670F"/>
    <w:rsid w:val="36DB6FBE"/>
    <w:rsid w:val="36DCDC24"/>
    <w:rsid w:val="36DF5CC7"/>
    <w:rsid w:val="36E0F256"/>
    <w:rsid w:val="36E0F9D4"/>
    <w:rsid w:val="36E11109"/>
    <w:rsid w:val="36E3076B"/>
    <w:rsid w:val="36E378AE"/>
    <w:rsid w:val="36E96C55"/>
    <w:rsid w:val="36EE8010"/>
    <w:rsid w:val="36F56537"/>
    <w:rsid w:val="36F67F23"/>
    <w:rsid w:val="36F8744D"/>
    <w:rsid w:val="36F9D270"/>
    <w:rsid w:val="36FF6F89"/>
    <w:rsid w:val="370058A3"/>
    <w:rsid w:val="37074BA6"/>
    <w:rsid w:val="37093F0E"/>
    <w:rsid w:val="370A9CE9"/>
    <w:rsid w:val="370C15FA"/>
    <w:rsid w:val="370C20D8"/>
    <w:rsid w:val="370D7522"/>
    <w:rsid w:val="370EA364"/>
    <w:rsid w:val="370F8CA7"/>
    <w:rsid w:val="3712A7B4"/>
    <w:rsid w:val="3718BA97"/>
    <w:rsid w:val="371A29E8"/>
    <w:rsid w:val="371CF999"/>
    <w:rsid w:val="3720173D"/>
    <w:rsid w:val="37209513"/>
    <w:rsid w:val="3720B9B0"/>
    <w:rsid w:val="3721F170"/>
    <w:rsid w:val="3725E166"/>
    <w:rsid w:val="37263833"/>
    <w:rsid w:val="3729C852"/>
    <w:rsid w:val="372C14F3"/>
    <w:rsid w:val="372F975B"/>
    <w:rsid w:val="37309E3D"/>
    <w:rsid w:val="3731FB17"/>
    <w:rsid w:val="373211CC"/>
    <w:rsid w:val="37321D8B"/>
    <w:rsid w:val="37336DA1"/>
    <w:rsid w:val="37338ACE"/>
    <w:rsid w:val="3735DD06"/>
    <w:rsid w:val="37399CC0"/>
    <w:rsid w:val="373CB940"/>
    <w:rsid w:val="373DD405"/>
    <w:rsid w:val="3740F360"/>
    <w:rsid w:val="3745B8ED"/>
    <w:rsid w:val="37462008"/>
    <w:rsid w:val="37476290"/>
    <w:rsid w:val="37486E2F"/>
    <w:rsid w:val="374EE8BB"/>
    <w:rsid w:val="374F1BC5"/>
    <w:rsid w:val="375098F9"/>
    <w:rsid w:val="3751A550"/>
    <w:rsid w:val="37595F7F"/>
    <w:rsid w:val="375BF8B0"/>
    <w:rsid w:val="37630347"/>
    <w:rsid w:val="37637148"/>
    <w:rsid w:val="37681DAF"/>
    <w:rsid w:val="376865D9"/>
    <w:rsid w:val="37690388"/>
    <w:rsid w:val="376C1D73"/>
    <w:rsid w:val="376E1404"/>
    <w:rsid w:val="37754CC8"/>
    <w:rsid w:val="377571E5"/>
    <w:rsid w:val="37767C82"/>
    <w:rsid w:val="377823C9"/>
    <w:rsid w:val="3778C9E0"/>
    <w:rsid w:val="3779C444"/>
    <w:rsid w:val="378848A5"/>
    <w:rsid w:val="37898FCF"/>
    <w:rsid w:val="378AB2CE"/>
    <w:rsid w:val="378F2AB5"/>
    <w:rsid w:val="3791A5A4"/>
    <w:rsid w:val="37934903"/>
    <w:rsid w:val="3793B5FF"/>
    <w:rsid w:val="379653B6"/>
    <w:rsid w:val="37A34093"/>
    <w:rsid w:val="37A735E4"/>
    <w:rsid w:val="37A73EAF"/>
    <w:rsid w:val="37A89D00"/>
    <w:rsid w:val="37A98991"/>
    <w:rsid w:val="37AAFE36"/>
    <w:rsid w:val="37AC8DB3"/>
    <w:rsid w:val="37B2AB4A"/>
    <w:rsid w:val="37B84F9D"/>
    <w:rsid w:val="37B8FE46"/>
    <w:rsid w:val="37BA8B19"/>
    <w:rsid w:val="37BC1A91"/>
    <w:rsid w:val="37BC253F"/>
    <w:rsid w:val="37BD7564"/>
    <w:rsid w:val="37BF93C2"/>
    <w:rsid w:val="37C18839"/>
    <w:rsid w:val="37C19226"/>
    <w:rsid w:val="37CB035E"/>
    <w:rsid w:val="37CB42BD"/>
    <w:rsid w:val="37D0B32A"/>
    <w:rsid w:val="37D2741D"/>
    <w:rsid w:val="37D48ED7"/>
    <w:rsid w:val="37D7A563"/>
    <w:rsid w:val="37D9C23A"/>
    <w:rsid w:val="37DA004D"/>
    <w:rsid w:val="37E6747E"/>
    <w:rsid w:val="37E6C957"/>
    <w:rsid w:val="37E7F286"/>
    <w:rsid w:val="37ECE4D8"/>
    <w:rsid w:val="37F1470F"/>
    <w:rsid w:val="37F5C410"/>
    <w:rsid w:val="37FD3F09"/>
    <w:rsid w:val="37FF1A1C"/>
    <w:rsid w:val="38006A2A"/>
    <w:rsid w:val="3802AEC0"/>
    <w:rsid w:val="3807C0B6"/>
    <w:rsid w:val="380AC956"/>
    <w:rsid w:val="3812E6D9"/>
    <w:rsid w:val="3814B4D3"/>
    <w:rsid w:val="381678C9"/>
    <w:rsid w:val="381C9A4C"/>
    <w:rsid w:val="3822F64F"/>
    <w:rsid w:val="382D3FD0"/>
    <w:rsid w:val="3839253C"/>
    <w:rsid w:val="3839B431"/>
    <w:rsid w:val="383E2DE3"/>
    <w:rsid w:val="383E3BA4"/>
    <w:rsid w:val="38436F9C"/>
    <w:rsid w:val="3845D792"/>
    <w:rsid w:val="38475686"/>
    <w:rsid w:val="384A4A0A"/>
    <w:rsid w:val="38531B2E"/>
    <w:rsid w:val="385A2FC0"/>
    <w:rsid w:val="385B7FD8"/>
    <w:rsid w:val="385C02C8"/>
    <w:rsid w:val="38688BAA"/>
    <w:rsid w:val="386AC0FA"/>
    <w:rsid w:val="386F6A40"/>
    <w:rsid w:val="38769097"/>
    <w:rsid w:val="387BA0D3"/>
    <w:rsid w:val="387D2144"/>
    <w:rsid w:val="387E00E2"/>
    <w:rsid w:val="38806944"/>
    <w:rsid w:val="38814D3F"/>
    <w:rsid w:val="38831B6E"/>
    <w:rsid w:val="38859286"/>
    <w:rsid w:val="388ACC07"/>
    <w:rsid w:val="388CC4D1"/>
    <w:rsid w:val="388F63EA"/>
    <w:rsid w:val="389421F0"/>
    <w:rsid w:val="389DDDE3"/>
    <w:rsid w:val="389EF293"/>
    <w:rsid w:val="38A09951"/>
    <w:rsid w:val="38A2AB59"/>
    <w:rsid w:val="38A39034"/>
    <w:rsid w:val="38AEA5F2"/>
    <w:rsid w:val="38B062FE"/>
    <w:rsid w:val="38B5DCE9"/>
    <w:rsid w:val="38B7AF32"/>
    <w:rsid w:val="38B8F356"/>
    <w:rsid w:val="38BB280C"/>
    <w:rsid w:val="38BCB78C"/>
    <w:rsid w:val="38BCE511"/>
    <w:rsid w:val="38BDA1AF"/>
    <w:rsid w:val="38C37702"/>
    <w:rsid w:val="38C581B4"/>
    <w:rsid w:val="38C6E38E"/>
    <w:rsid w:val="38CCA057"/>
    <w:rsid w:val="38CCA3D8"/>
    <w:rsid w:val="38CF0100"/>
    <w:rsid w:val="38D0B929"/>
    <w:rsid w:val="38D1619C"/>
    <w:rsid w:val="38D231AF"/>
    <w:rsid w:val="38D99B8E"/>
    <w:rsid w:val="38DB3684"/>
    <w:rsid w:val="38DE73B2"/>
    <w:rsid w:val="38E0E04B"/>
    <w:rsid w:val="38E41D50"/>
    <w:rsid w:val="38E7CA2D"/>
    <w:rsid w:val="38E8A702"/>
    <w:rsid w:val="38E9752E"/>
    <w:rsid w:val="38E9F01E"/>
    <w:rsid w:val="38EE5EBF"/>
    <w:rsid w:val="38F42173"/>
    <w:rsid w:val="38F5928D"/>
    <w:rsid w:val="38F7E6D6"/>
    <w:rsid w:val="38F8063D"/>
    <w:rsid w:val="38F9079E"/>
    <w:rsid w:val="38FB91BD"/>
    <w:rsid w:val="3901FFCA"/>
    <w:rsid w:val="39075A6A"/>
    <w:rsid w:val="39076AAA"/>
    <w:rsid w:val="390C6875"/>
    <w:rsid w:val="3913DBC5"/>
    <w:rsid w:val="39158CE4"/>
    <w:rsid w:val="39166202"/>
    <w:rsid w:val="391AC739"/>
    <w:rsid w:val="391FF130"/>
    <w:rsid w:val="3922A282"/>
    <w:rsid w:val="39232A98"/>
    <w:rsid w:val="3924F8E9"/>
    <w:rsid w:val="392626FB"/>
    <w:rsid w:val="3928F93F"/>
    <w:rsid w:val="392CDDFD"/>
    <w:rsid w:val="392E5294"/>
    <w:rsid w:val="392FE499"/>
    <w:rsid w:val="3930094F"/>
    <w:rsid w:val="3930922C"/>
    <w:rsid w:val="393178CC"/>
    <w:rsid w:val="39332249"/>
    <w:rsid w:val="393468BC"/>
    <w:rsid w:val="39383CA4"/>
    <w:rsid w:val="39387CAC"/>
    <w:rsid w:val="393947E8"/>
    <w:rsid w:val="393BF6C8"/>
    <w:rsid w:val="393C4586"/>
    <w:rsid w:val="39409EDF"/>
    <w:rsid w:val="39487DC2"/>
    <w:rsid w:val="3952697C"/>
    <w:rsid w:val="3952B6CF"/>
    <w:rsid w:val="3953E3BE"/>
    <w:rsid w:val="395F3678"/>
    <w:rsid w:val="39618C7A"/>
    <w:rsid w:val="3961BF2A"/>
    <w:rsid w:val="3962057A"/>
    <w:rsid w:val="39633F19"/>
    <w:rsid w:val="39697911"/>
    <w:rsid w:val="396B2A90"/>
    <w:rsid w:val="3971416F"/>
    <w:rsid w:val="3973D40B"/>
    <w:rsid w:val="3976334B"/>
    <w:rsid w:val="39812BF6"/>
    <w:rsid w:val="3989DF39"/>
    <w:rsid w:val="398AF1D8"/>
    <w:rsid w:val="398EDEDA"/>
    <w:rsid w:val="398F9F5A"/>
    <w:rsid w:val="399746BA"/>
    <w:rsid w:val="39985519"/>
    <w:rsid w:val="39992AD4"/>
    <w:rsid w:val="399AA508"/>
    <w:rsid w:val="39A0D911"/>
    <w:rsid w:val="39A157A1"/>
    <w:rsid w:val="39A19B51"/>
    <w:rsid w:val="39A8E083"/>
    <w:rsid w:val="39AAB6D5"/>
    <w:rsid w:val="39AD5DE6"/>
    <w:rsid w:val="39AF49B8"/>
    <w:rsid w:val="39B6791B"/>
    <w:rsid w:val="39B850DA"/>
    <w:rsid w:val="39BA32A3"/>
    <w:rsid w:val="39BABE7F"/>
    <w:rsid w:val="39C0F977"/>
    <w:rsid w:val="39C4A4D0"/>
    <w:rsid w:val="39CC28AA"/>
    <w:rsid w:val="39CC4827"/>
    <w:rsid w:val="39D0C2AF"/>
    <w:rsid w:val="39D1A8A5"/>
    <w:rsid w:val="39D8A224"/>
    <w:rsid w:val="39E1498C"/>
    <w:rsid w:val="39E9EAD2"/>
    <w:rsid w:val="39EACF01"/>
    <w:rsid w:val="39EB6827"/>
    <w:rsid w:val="39EB8F6F"/>
    <w:rsid w:val="39EBCC8E"/>
    <w:rsid w:val="39EC56AF"/>
    <w:rsid w:val="39F026FE"/>
    <w:rsid w:val="39F0619B"/>
    <w:rsid w:val="39F0C7BC"/>
    <w:rsid w:val="39F1DEB6"/>
    <w:rsid w:val="39F527E0"/>
    <w:rsid w:val="39FA93FF"/>
    <w:rsid w:val="39FEB4A9"/>
    <w:rsid w:val="3A00A1AA"/>
    <w:rsid w:val="3A03286D"/>
    <w:rsid w:val="3A03E41F"/>
    <w:rsid w:val="3A04D7F2"/>
    <w:rsid w:val="3A05BAF4"/>
    <w:rsid w:val="3A06F05B"/>
    <w:rsid w:val="3A0B10AB"/>
    <w:rsid w:val="3A0FA804"/>
    <w:rsid w:val="3A125EE5"/>
    <w:rsid w:val="3A12A81E"/>
    <w:rsid w:val="3A13973C"/>
    <w:rsid w:val="3A13ED53"/>
    <w:rsid w:val="3A1709A3"/>
    <w:rsid w:val="3A1F9CB2"/>
    <w:rsid w:val="3A233498"/>
    <w:rsid w:val="3A25F2D3"/>
    <w:rsid w:val="3A294D9F"/>
    <w:rsid w:val="3A2A3A1F"/>
    <w:rsid w:val="3A2B190E"/>
    <w:rsid w:val="3A2C4507"/>
    <w:rsid w:val="3A2DE5C0"/>
    <w:rsid w:val="3A2FDAA2"/>
    <w:rsid w:val="3A30764F"/>
    <w:rsid w:val="3A31493F"/>
    <w:rsid w:val="3A330990"/>
    <w:rsid w:val="3A34035C"/>
    <w:rsid w:val="3A341C1C"/>
    <w:rsid w:val="3A347832"/>
    <w:rsid w:val="3A3675BC"/>
    <w:rsid w:val="3A385BDF"/>
    <w:rsid w:val="3A38A9E0"/>
    <w:rsid w:val="3A392289"/>
    <w:rsid w:val="3A3B297A"/>
    <w:rsid w:val="3A42F113"/>
    <w:rsid w:val="3A4325D1"/>
    <w:rsid w:val="3A462A59"/>
    <w:rsid w:val="3A48C561"/>
    <w:rsid w:val="3A4E4F79"/>
    <w:rsid w:val="3A5014F0"/>
    <w:rsid w:val="3A54DC03"/>
    <w:rsid w:val="3A577EF5"/>
    <w:rsid w:val="3A5CEE4C"/>
    <w:rsid w:val="3A608099"/>
    <w:rsid w:val="3A6557C2"/>
    <w:rsid w:val="3A65AE38"/>
    <w:rsid w:val="3A65FA64"/>
    <w:rsid w:val="3A66E176"/>
    <w:rsid w:val="3A6C3F4F"/>
    <w:rsid w:val="3A6C7922"/>
    <w:rsid w:val="3A70FFF3"/>
    <w:rsid w:val="3A71B500"/>
    <w:rsid w:val="3A74748E"/>
    <w:rsid w:val="3A770188"/>
    <w:rsid w:val="3A7802E9"/>
    <w:rsid w:val="3A78D2E5"/>
    <w:rsid w:val="3A7A3255"/>
    <w:rsid w:val="3A7B9E12"/>
    <w:rsid w:val="3A7E352F"/>
    <w:rsid w:val="3A7EDFE9"/>
    <w:rsid w:val="3A7F64EC"/>
    <w:rsid w:val="3A82AB1A"/>
    <w:rsid w:val="3A83B5D2"/>
    <w:rsid w:val="3A87060D"/>
    <w:rsid w:val="3A8DA2CB"/>
    <w:rsid w:val="3A90CB6A"/>
    <w:rsid w:val="3A96D70D"/>
    <w:rsid w:val="3A9E506F"/>
    <w:rsid w:val="3AA01053"/>
    <w:rsid w:val="3AA6DD03"/>
    <w:rsid w:val="3AB04F63"/>
    <w:rsid w:val="3AB48649"/>
    <w:rsid w:val="3AB8A673"/>
    <w:rsid w:val="3ABD0E9F"/>
    <w:rsid w:val="3ABE934D"/>
    <w:rsid w:val="3AC6B92C"/>
    <w:rsid w:val="3AC86628"/>
    <w:rsid w:val="3ACBBB57"/>
    <w:rsid w:val="3ACF150C"/>
    <w:rsid w:val="3AD0257E"/>
    <w:rsid w:val="3AD574DB"/>
    <w:rsid w:val="3AD6178E"/>
    <w:rsid w:val="3AD6642B"/>
    <w:rsid w:val="3ADA742F"/>
    <w:rsid w:val="3ADDFB3D"/>
    <w:rsid w:val="3ADE6803"/>
    <w:rsid w:val="3AE6C0F1"/>
    <w:rsid w:val="3AE7FD83"/>
    <w:rsid w:val="3AE9EECF"/>
    <w:rsid w:val="3AEEBD2F"/>
    <w:rsid w:val="3AEF7ACF"/>
    <w:rsid w:val="3AF03B6F"/>
    <w:rsid w:val="3AF04052"/>
    <w:rsid w:val="3AF04DEA"/>
    <w:rsid w:val="3AF1183D"/>
    <w:rsid w:val="3AF22858"/>
    <w:rsid w:val="3AF239DA"/>
    <w:rsid w:val="3AF3B99E"/>
    <w:rsid w:val="3AF76E19"/>
    <w:rsid w:val="3AFB6ACE"/>
    <w:rsid w:val="3AFF3F1B"/>
    <w:rsid w:val="3AFF5CD0"/>
    <w:rsid w:val="3B0025A8"/>
    <w:rsid w:val="3B0BB110"/>
    <w:rsid w:val="3B0C4B73"/>
    <w:rsid w:val="3B0FE123"/>
    <w:rsid w:val="3B163DD8"/>
    <w:rsid w:val="3B189114"/>
    <w:rsid w:val="3B191981"/>
    <w:rsid w:val="3B1BD4F1"/>
    <w:rsid w:val="3B23111E"/>
    <w:rsid w:val="3B240EC9"/>
    <w:rsid w:val="3B282E8B"/>
    <w:rsid w:val="3B29DED3"/>
    <w:rsid w:val="3B2A2401"/>
    <w:rsid w:val="3B2D694F"/>
    <w:rsid w:val="3B2F0D60"/>
    <w:rsid w:val="3B35859B"/>
    <w:rsid w:val="3B36ECC2"/>
    <w:rsid w:val="3B39C3C9"/>
    <w:rsid w:val="3B41915A"/>
    <w:rsid w:val="3B42B846"/>
    <w:rsid w:val="3B43BB12"/>
    <w:rsid w:val="3B45A202"/>
    <w:rsid w:val="3B4AA656"/>
    <w:rsid w:val="3B4BB5BC"/>
    <w:rsid w:val="3B4C119E"/>
    <w:rsid w:val="3B51E5E6"/>
    <w:rsid w:val="3B5A7C9F"/>
    <w:rsid w:val="3B5B701C"/>
    <w:rsid w:val="3B5DA32E"/>
    <w:rsid w:val="3B5E0051"/>
    <w:rsid w:val="3B65170C"/>
    <w:rsid w:val="3B65AE9E"/>
    <w:rsid w:val="3B679D26"/>
    <w:rsid w:val="3B68731E"/>
    <w:rsid w:val="3B6BCA1F"/>
    <w:rsid w:val="3B6C42D3"/>
    <w:rsid w:val="3B6CF852"/>
    <w:rsid w:val="3B6FD552"/>
    <w:rsid w:val="3B713270"/>
    <w:rsid w:val="3B715F57"/>
    <w:rsid w:val="3B7FB998"/>
    <w:rsid w:val="3B8B06D9"/>
    <w:rsid w:val="3B8CCA16"/>
    <w:rsid w:val="3B90A7F7"/>
    <w:rsid w:val="3B9126E8"/>
    <w:rsid w:val="3B916348"/>
    <w:rsid w:val="3B93041E"/>
    <w:rsid w:val="3B946401"/>
    <w:rsid w:val="3BA1331B"/>
    <w:rsid w:val="3BA5C0F4"/>
    <w:rsid w:val="3BA664AF"/>
    <w:rsid w:val="3BA8BC1B"/>
    <w:rsid w:val="3BAA08BA"/>
    <w:rsid w:val="3BAE514B"/>
    <w:rsid w:val="3BB61198"/>
    <w:rsid w:val="3BC3562A"/>
    <w:rsid w:val="3BCA4D88"/>
    <w:rsid w:val="3BCAAE1E"/>
    <w:rsid w:val="3BCE011A"/>
    <w:rsid w:val="3BD33115"/>
    <w:rsid w:val="3BD66BF9"/>
    <w:rsid w:val="3BD91EA1"/>
    <w:rsid w:val="3BDAA442"/>
    <w:rsid w:val="3BDBA28F"/>
    <w:rsid w:val="3BDCC014"/>
    <w:rsid w:val="3BE6C4A5"/>
    <w:rsid w:val="3BE6E5B5"/>
    <w:rsid w:val="3BEB312D"/>
    <w:rsid w:val="3BECF33B"/>
    <w:rsid w:val="3BF262A8"/>
    <w:rsid w:val="3BF35E8A"/>
    <w:rsid w:val="3BF47FC5"/>
    <w:rsid w:val="3BF57BC0"/>
    <w:rsid w:val="3BF5ADD2"/>
    <w:rsid w:val="3BF62FFF"/>
    <w:rsid w:val="3BF925FB"/>
    <w:rsid w:val="3BFA5AFE"/>
    <w:rsid w:val="3BFC4C35"/>
    <w:rsid w:val="3C0351A1"/>
    <w:rsid w:val="3C0C1441"/>
    <w:rsid w:val="3C0EAC24"/>
    <w:rsid w:val="3C134CEE"/>
    <w:rsid w:val="3C143DC2"/>
    <w:rsid w:val="3C159CF4"/>
    <w:rsid w:val="3C1AFE32"/>
    <w:rsid w:val="3C1B0B08"/>
    <w:rsid w:val="3C1F09A6"/>
    <w:rsid w:val="3C20E561"/>
    <w:rsid w:val="3C250549"/>
    <w:rsid w:val="3C256FD8"/>
    <w:rsid w:val="3C2B4F09"/>
    <w:rsid w:val="3C2BCC47"/>
    <w:rsid w:val="3C3DCFA2"/>
    <w:rsid w:val="3C405E95"/>
    <w:rsid w:val="3C40E04F"/>
    <w:rsid w:val="3C45AE4F"/>
    <w:rsid w:val="3C46CD2E"/>
    <w:rsid w:val="3C4988DE"/>
    <w:rsid w:val="3C4A84E8"/>
    <w:rsid w:val="3C4B90DA"/>
    <w:rsid w:val="3C4D8EFA"/>
    <w:rsid w:val="3C51B307"/>
    <w:rsid w:val="3C52986A"/>
    <w:rsid w:val="3C52E62B"/>
    <w:rsid w:val="3C54C6D2"/>
    <w:rsid w:val="3C567C7D"/>
    <w:rsid w:val="3C574C52"/>
    <w:rsid w:val="3C597418"/>
    <w:rsid w:val="3C5ACEB6"/>
    <w:rsid w:val="3C5C866B"/>
    <w:rsid w:val="3C5F003F"/>
    <w:rsid w:val="3C605110"/>
    <w:rsid w:val="3C625247"/>
    <w:rsid w:val="3C65E573"/>
    <w:rsid w:val="3C6717C1"/>
    <w:rsid w:val="3C67AC9B"/>
    <w:rsid w:val="3C684800"/>
    <w:rsid w:val="3C6957FE"/>
    <w:rsid w:val="3C6E6E4E"/>
    <w:rsid w:val="3C72905D"/>
    <w:rsid w:val="3C7F8B13"/>
    <w:rsid w:val="3C847402"/>
    <w:rsid w:val="3C855981"/>
    <w:rsid w:val="3C864288"/>
    <w:rsid w:val="3C8AEA04"/>
    <w:rsid w:val="3C90AAFF"/>
    <w:rsid w:val="3C91B653"/>
    <w:rsid w:val="3C974D38"/>
    <w:rsid w:val="3C98D2AA"/>
    <w:rsid w:val="3C998944"/>
    <w:rsid w:val="3C9C3B52"/>
    <w:rsid w:val="3C9DBE04"/>
    <w:rsid w:val="3CA19EC3"/>
    <w:rsid w:val="3CA91C07"/>
    <w:rsid w:val="3CA92445"/>
    <w:rsid w:val="3CB60815"/>
    <w:rsid w:val="3CB82945"/>
    <w:rsid w:val="3CBC0F18"/>
    <w:rsid w:val="3CC96FCF"/>
    <w:rsid w:val="3CCEE91F"/>
    <w:rsid w:val="3CD1D931"/>
    <w:rsid w:val="3CD1DA01"/>
    <w:rsid w:val="3CD33FDB"/>
    <w:rsid w:val="3CD445F3"/>
    <w:rsid w:val="3CD714F5"/>
    <w:rsid w:val="3CD9BCB7"/>
    <w:rsid w:val="3CDD70E5"/>
    <w:rsid w:val="3CDDE82F"/>
    <w:rsid w:val="3CDF4C3F"/>
    <w:rsid w:val="3CE21878"/>
    <w:rsid w:val="3CE67081"/>
    <w:rsid w:val="3CE8F978"/>
    <w:rsid w:val="3CE9CA04"/>
    <w:rsid w:val="3CEA987A"/>
    <w:rsid w:val="3CEB3479"/>
    <w:rsid w:val="3CF13D01"/>
    <w:rsid w:val="3CF33DDC"/>
    <w:rsid w:val="3CF6643D"/>
    <w:rsid w:val="3CF8FB24"/>
    <w:rsid w:val="3D01F3D6"/>
    <w:rsid w:val="3D024A07"/>
    <w:rsid w:val="3D063108"/>
    <w:rsid w:val="3D160628"/>
    <w:rsid w:val="3D18B0AE"/>
    <w:rsid w:val="3D18BCB0"/>
    <w:rsid w:val="3D1BF9FC"/>
    <w:rsid w:val="3D1EB388"/>
    <w:rsid w:val="3D1F1880"/>
    <w:rsid w:val="3D2B4045"/>
    <w:rsid w:val="3D2E9A8A"/>
    <w:rsid w:val="3D2F91A3"/>
    <w:rsid w:val="3D373BC2"/>
    <w:rsid w:val="3D38EB88"/>
    <w:rsid w:val="3D393D80"/>
    <w:rsid w:val="3D3A9AD5"/>
    <w:rsid w:val="3D3EE1DD"/>
    <w:rsid w:val="3D3F87F8"/>
    <w:rsid w:val="3D4297E4"/>
    <w:rsid w:val="3D43E5D1"/>
    <w:rsid w:val="3D459A26"/>
    <w:rsid w:val="3D497CCB"/>
    <w:rsid w:val="3D4C702A"/>
    <w:rsid w:val="3D5568BC"/>
    <w:rsid w:val="3D5AB689"/>
    <w:rsid w:val="3D5CC176"/>
    <w:rsid w:val="3D601659"/>
    <w:rsid w:val="3D60F6FA"/>
    <w:rsid w:val="3D63F309"/>
    <w:rsid w:val="3D643803"/>
    <w:rsid w:val="3D710346"/>
    <w:rsid w:val="3D73FC07"/>
    <w:rsid w:val="3D73FDEC"/>
    <w:rsid w:val="3D7C844C"/>
    <w:rsid w:val="3D7E09A2"/>
    <w:rsid w:val="3D7E2D53"/>
    <w:rsid w:val="3D8172C5"/>
    <w:rsid w:val="3D8648EA"/>
    <w:rsid w:val="3D87DADA"/>
    <w:rsid w:val="3D889F3A"/>
    <w:rsid w:val="3D88A984"/>
    <w:rsid w:val="3D8CF2A8"/>
    <w:rsid w:val="3D8FD1D6"/>
    <w:rsid w:val="3D8FFFBD"/>
    <w:rsid w:val="3D920736"/>
    <w:rsid w:val="3D923E4A"/>
    <w:rsid w:val="3D940162"/>
    <w:rsid w:val="3D96F32F"/>
    <w:rsid w:val="3D98180D"/>
    <w:rsid w:val="3D9AC17C"/>
    <w:rsid w:val="3D9BD4C5"/>
    <w:rsid w:val="3D9D6210"/>
    <w:rsid w:val="3D9E9656"/>
    <w:rsid w:val="3DA6D324"/>
    <w:rsid w:val="3DABD339"/>
    <w:rsid w:val="3DB18F2E"/>
    <w:rsid w:val="3DB490EA"/>
    <w:rsid w:val="3DB6C5CD"/>
    <w:rsid w:val="3DB7695E"/>
    <w:rsid w:val="3DB98FE1"/>
    <w:rsid w:val="3DC176F3"/>
    <w:rsid w:val="3DC1FE81"/>
    <w:rsid w:val="3DC22A7D"/>
    <w:rsid w:val="3DC25E33"/>
    <w:rsid w:val="3DC6CD9F"/>
    <w:rsid w:val="3DCC1E89"/>
    <w:rsid w:val="3DCE5DB2"/>
    <w:rsid w:val="3DD388CA"/>
    <w:rsid w:val="3DD78CD9"/>
    <w:rsid w:val="3DD85AF8"/>
    <w:rsid w:val="3DDD267B"/>
    <w:rsid w:val="3DDF65D5"/>
    <w:rsid w:val="3DE186D2"/>
    <w:rsid w:val="3DE1F141"/>
    <w:rsid w:val="3DE302E0"/>
    <w:rsid w:val="3DE5222B"/>
    <w:rsid w:val="3DE8975C"/>
    <w:rsid w:val="3DE92CAD"/>
    <w:rsid w:val="3DEE99FC"/>
    <w:rsid w:val="3DF82416"/>
    <w:rsid w:val="3DFBA3FA"/>
    <w:rsid w:val="3DFF025E"/>
    <w:rsid w:val="3E02F9FB"/>
    <w:rsid w:val="3E033BEF"/>
    <w:rsid w:val="3E096EC5"/>
    <w:rsid w:val="3E120864"/>
    <w:rsid w:val="3E1FFB92"/>
    <w:rsid w:val="3E20EC9F"/>
    <w:rsid w:val="3E24AD06"/>
    <w:rsid w:val="3E252B7B"/>
    <w:rsid w:val="3E2710A8"/>
    <w:rsid w:val="3E29EB85"/>
    <w:rsid w:val="3E360702"/>
    <w:rsid w:val="3E368D62"/>
    <w:rsid w:val="3E3A97BB"/>
    <w:rsid w:val="3E3E62F2"/>
    <w:rsid w:val="3E3FE6A5"/>
    <w:rsid w:val="3E40D61C"/>
    <w:rsid w:val="3E43F998"/>
    <w:rsid w:val="3E47183F"/>
    <w:rsid w:val="3E4B12B0"/>
    <w:rsid w:val="3E4C44AA"/>
    <w:rsid w:val="3E4FCE69"/>
    <w:rsid w:val="3E5150EF"/>
    <w:rsid w:val="3E51D5A4"/>
    <w:rsid w:val="3E588930"/>
    <w:rsid w:val="3E58A846"/>
    <w:rsid w:val="3E5B5B16"/>
    <w:rsid w:val="3E5CEC25"/>
    <w:rsid w:val="3E5DD1E2"/>
    <w:rsid w:val="3E5F66E4"/>
    <w:rsid w:val="3E64F14C"/>
    <w:rsid w:val="3E666E14"/>
    <w:rsid w:val="3E67032B"/>
    <w:rsid w:val="3E6E3A74"/>
    <w:rsid w:val="3E734AE7"/>
    <w:rsid w:val="3E81E028"/>
    <w:rsid w:val="3E83C2D8"/>
    <w:rsid w:val="3E84CCFF"/>
    <w:rsid w:val="3E867F3D"/>
    <w:rsid w:val="3E88EAB5"/>
    <w:rsid w:val="3E89D92B"/>
    <w:rsid w:val="3E921987"/>
    <w:rsid w:val="3E92B842"/>
    <w:rsid w:val="3E943FC3"/>
    <w:rsid w:val="3E9AB6DA"/>
    <w:rsid w:val="3E9D1C44"/>
    <w:rsid w:val="3E9D5A37"/>
    <w:rsid w:val="3E9DDE54"/>
    <w:rsid w:val="3EA3899D"/>
    <w:rsid w:val="3EA5C206"/>
    <w:rsid w:val="3EA7D341"/>
    <w:rsid w:val="3EA9412B"/>
    <w:rsid w:val="3EA97BA3"/>
    <w:rsid w:val="3EACFDB0"/>
    <w:rsid w:val="3EADFB43"/>
    <w:rsid w:val="3EB15D33"/>
    <w:rsid w:val="3EB2613C"/>
    <w:rsid w:val="3EB336E1"/>
    <w:rsid w:val="3EB43637"/>
    <w:rsid w:val="3EB48EC0"/>
    <w:rsid w:val="3EC23AB4"/>
    <w:rsid w:val="3EC2750E"/>
    <w:rsid w:val="3EC2D3EE"/>
    <w:rsid w:val="3EC4E978"/>
    <w:rsid w:val="3ECBE80E"/>
    <w:rsid w:val="3ED0CB45"/>
    <w:rsid w:val="3ED2BFC0"/>
    <w:rsid w:val="3ED30A4C"/>
    <w:rsid w:val="3ED6344A"/>
    <w:rsid w:val="3ED6384D"/>
    <w:rsid w:val="3ED75FA7"/>
    <w:rsid w:val="3ED800F8"/>
    <w:rsid w:val="3ED8EB48"/>
    <w:rsid w:val="3EE7E298"/>
    <w:rsid w:val="3EECF834"/>
    <w:rsid w:val="3EEE88AD"/>
    <w:rsid w:val="3EEFB3A6"/>
    <w:rsid w:val="3EF0422F"/>
    <w:rsid w:val="3EF81CB4"/>
    <w:rsid w:val="3EFE9866"/>
    <w:rsid w:val="3F02E947"/>
    <w:rsid w:val="3F03E678"/>
    <w:rsid w:val="3F0457C3"/>
    <w:rsid w:val="3F06A307"/>
    <w:rsid w:val="3F0DBF5F"/>
    <w:rsid w:val="3F0ED8E0"/>
    <w:rsid w:val="3F0F052B"/>
    <w:rsid w:val="3F0FA6CE"/>
    <w:rsid w:val="3F10AA81"/>
    <w:rsid w:val="3F13DDE7"/>
    <w:rsid w:val="3F142D41"/>
    <w:rsid w:val="3F1822A9"/>
    <w:rsid w:val="3F1C9FE5"/>
    <w:rsid w:val="3F1CD174"/>
    <w:rsid w:val="3F1E6298"/>
    <w:rsid w:val="3F202864"/>
    <w:rsid w:val="3F20B107"/>
    <w:rsid w:val="3F23B3E0"/>
    <w:rsid w:val="3F27B40D"/>
    <w:rsid w:val="3F3049A3"/>
    <w:rsid w:val="3F31E651"/>
    <w:rsid w:val="3F34D0CF"/>
    <w:rsid w:val="3F39481F"/>
    <w:rsid w:val="3F3A3807"/>
    <w:rsid w:val="3F3C6842"/>
    <w:rsid w:val="3F3CA589"/>
    <w:rsid w:val="3F41AC67"/>
    <w:rsid w:val="3F427FE1"/>
    <w:rsid w:val="3F447D46"/>
    <w:rsid w:val="3F45A91F"/>
    <w:rsid w:val="3F4BC204"/>
    <w:rsid w:val="3F4D3452"/>
    <w:rsid w:val="3F4E17CB"/>
    <w:rsid w:val="3F513BB3"/>
    <w:rsid w:val="3F587569"/>
    <w:rsid w:val="3F5DF528"/>
    <w:rsid w:val="3F61B8FF"/>
    <w:rsid w:val="3F662A94"/>
    <w:rsid w:val="3F6D4E67"/>
    <w:rsid w:val="3F6D7262"/>
    <w:rsid w:val="3F6DF760"/>
    <w:rsid w:val="3F6F290F"/>
    <w:rsid w:val="3F706B36"/>
    <w:rsid w:val="3F70B705"/>
    <w:rsid w:val="3F719635"/>
    <w:rsid w:val="3F72624D"/>
    <w:rsid w:val="3F78BB02"/>
    <w:rsid w:val="3F79C2B3"/>
    <w:rsid w:val="3F7B9CB6"/>
    <w:rsid w:val="3F7CC4AC"/>
    <w:rsid w:val="3F80EDAC"/>
    <w:rsid w:val="3F813419"/>
    <w:rsid w:val="3F817E4F"/>
    <w:rsid w:val="3F86C609"/>
    <w:rsid w:val="3F893A56"/>
    <w:rsid w:val="3F8DEF5A"/>
    <w:rsid w:val="3F92FE80"/>
    <w:rsid w:val="3F957037"/>
    <w:rsid w:val="3F9D1E56"/>
    <w:rsid w:val="3F9EB1E1"/>
    <w:rsid w:val="3FA46A03"/>
    <w:rsid w:val="3FA50768"/>
    <w:rsid w:val="3FA6147F"/>
    <w:rsid w:val="3FA9A159"/>
    <w:rsid w:val="3FABEB12"/>
    <w:rsid w:val="3FACF53D"/>
    <w:rsid w:val="3FADCFFA"/>
    <w:rsid w:val="3FAFC593"/>
    <w:rsid w:val="3FB08C2A"/>
    <w:rsid w:val="3FB29A80"/>
    <w:rsid w:val="3FB380AB"/>
    <w:rsid w:val="3FB3A50D"/>
    <w:rsid w:val="3FB458F8"/>
    <w:rsid w:val="3FB5D3BB"/>
    <w:rsid w:val="3FBAE65B"/>
    <w:rsid w:val="3FBCC9A8"/>
    <w:rsid w:val="3FC42431"/>
    <w:rsid w:val="3FCAAC15"/>
    <w:rsid w:val="3FCB654B"/>
    <w:rsid w:val="3FCC1DC0"/>
    <w:rsid w:val="3FCD0612"/>
    <w:rsid w:val="3FCD4654"/>
    <w:rsid w:val="3FCDC55E"/>
    <w:rsid w:val="3FCFA5AD"/>
    <w:rsid w:val="3FD34F00"/>
    <w:rsid w:val="3FD47470"/>
    <w:rsid w:val="3FD643CF"/>
    <w:rsid w:val="3FDCFFFC"/>
    <w:rsid w:val="3FDF3235"/>
    <w:rsid w:val="3FE049D3"/>
    <w:rsid w:val="3FE86728"/>
    <w:rsid w:val="3FE90692"/>
    <w:rsid w:val="3FE91B80"/>
    <w:rsid w:val="3FECD3EF"/>
    <w:rsid w:val="3FEDDEAA"/>
    <w:rsid w:val="3FEFF3F7"/>
    <w:rsid w:val="3FF4CBA1"/>
    <w:rsid w:val="3FF675CA"/>
    <w:rsid w:val="3FFBB651"/>
    <w:rsid w:val="3FFBE022"/>
    <w:rsid w:val="3FFCCBFA"/>
    <w:rsid w:val="4000C11C"/>
    <w:rsid w:val="40013A96"/>
    <w:rsid w:val="4004EDEA"/>
    <w:rsid w:val="400AF697"/>
    <w:rsid w:val="400D9327"/>
    <w:rsid w:val="4015265E"/>
    <w:rsid w:val="40168B5D"/>
    <w:rsid w:val="401AD6A6"/>
    <w:rsid w:val="401D7F58"/>
    <w:rsid w:val="401E5AB3"/>
    <w:rsid w:val="40250898"/>
    <w:rsid w:val="40254F5A"/>
    <w:rsid w:val="40263C05"/>
    <w:rsid w:val="4027CF96"/>
    <w:rsid w:val="4027F80F"/>
    <w:rsid w:val="40285337"/>
    <w:rsid w:val="402B9FE6"/>
    <w:rsid w:val="402CD2EE"/>
    <w:rsid w:val="40332A7F"/>
    <w:rsid w:val="40380810"/>
    <w:rsid w:val="403879E3"/>
    <w:rsid w:val="403DD7E2"/>
    <w:rsid w:val="40418787"/>
    <w:rsid w:val="4043201D"/>
    <w:rsid w:val="4045C2A1"/>
    <w:rsid w:val="4045D7F4"/>
    <w:rsid w:val="40472B9D"/>
    <w:rsid w:val="404A1941"/>
    <w:rsid w:val="404C1903"/>
    <w:rsid w:val="404CB6FA"/>
    <w:rsid w:val="404E255C"/>
    <w:rsid w:val="404E51E5"/>
    <w:rsid w:val="404FF8FF"/>
    <w:rsid w:val="40560D9F"/>
    <w:rsid w:val="405AF31A"/>
    <w:rsid w:val="405B74F7"/>
    <w:rsid w:val="405BE2C7"/>
    <w:rsid w:val="405BEBF6"/>
    <w:rsid w:val="405E9171"/>
    <w:rsid w:val="405F67E7"/>
    <w:rsid w:val="405FE6A9"/>
    <w:rsid w:val="406081C8"/>
    <w:rsid w:val="40637E6F"/>
    <w:rsid w:val="4066C47B"/>
    <w:rsid w:val="40682F4D"/>
    <w:rsid w:val="406C800D"/>
    <w:rsid w:val="4070050E"/>
    <w:rsid w:val="40783978"/>
    <w:rsid w:val="407A1E0D"/>
    <w:rsid w:val="40822009"/>
    <w:rsid w:val="4085AF38"/>
    <w:rsid w:val="40866B9C"/>
    <w:rsid w:val="4088D58E"/>
    <w:rsid w:val="4093F792"/>
    <w:rsid w:val="40949D64"/>
    <w:rsid w:val="409620A9"/>
    <w:rsid w:val="40962E52"/>
    <w:rsid w:val="40964A05"/>
    <w:rsid w:val="40990116"/>
    <w:rsid w:val="409973D3"/>
    <w:rsid w:val="409AB484"/>
    <w:rsid w:val="409BFB6B"/>
    <w:rsid w:val="409C03B5"/>
    <w:rsid w:val="409D23BD"/>
    <w:rsid w:val="40A04503"/>
    <w:rsid w:val="40A29567"/>
    <w:rsid w:val="40A2B688"/>
    <w:rsid w:val="40A3C970"/>
    <w:rsid w:val="40A581D3"/>
    <w:rsid w:val="40A5AE5C"/>
    <w:rsid w:val="40A7193B"/>
    <w:rsid w:val="40AA00E4"/>
    <w:rsid w:val="40B09FF5"/>
    <w:rsid w:val="40BDFC26"/>
    <w:rsid w:val="40BF2A22"/>
    <w:rsid w:val="40C17C9B"/>
    <w:rsid w:val="40CD38DD"/>
    <w:rsid w:val="40CDF552"/>
    <w:rsid w:val="40CEB34A"/>
    <w:rsid w:val="40D522B0"/>
    <w:rsid w:val="40D6399C"/>
    <w:rsid w:val="40D6ABF4"/>
    <w:rsid w:val="40DA6523"/>
    <w:rsid w:val="40DA75CF"/>
    <w:rsid w:val="40E49A3E"/>
    <w:rsid w:val="40E4CE2F"/>
    <w:rsid w:val="40E831F9"/>
    <w:rsid w:val="40E887F2"/>
    <w:rsid w:val="40EA8F6C"/>
    <w:rsid w:val="40ECE46E"/>
    <w:rsid w:val="40FA8F25"/>
    <w:rsid w:val="40FB6099"/>
    <w:rsid w:val="40FD7457"/>
    <w:rsid w:val="40FE6025"/>
    <w:rsid w:val="41001A17"/>
    <w:rsid w:val="41034EA1"/>
    <w:rsid w:val="4103977F"/>
    <w:rsid w:val="4104A3C0"/>
    <w:rsid w:val="41050E6B"/>
    <w:rsid w:val="41053B95"/>
    <w:rsid w:val="41099841"/>
    <w:rsid w:val="410DEFCA"/>
    <w:rsid w:val="410F77E9"/>
    <w:rsid w:val="4111388C"/>
    <w:rsid w:val="4112C297"/>
    <w:rsid w:val="4113D9AA"/>
    <w:rsid w:val="411430D7"/>
    <w:rsid w:val="411A71F2"/>
    <w:rsid w:val="411C7EE1"/>
    <w:rsid w:val="411FFFA7"/>
    <w:rsid w:val="41210E29"/>
    <w:rsid w:val="41279826"/>
    <w:rsid w:val="4127E01A"/>
    <w:rsid w:val="412BAB1F"/>
    <w:rsid w:val="412C6AA0"/>
    <w:rsid w:val="412D1993"/>
    <w:rsid w:val="413403DB"/>
    <w:rsid w:val="41347E2F"/>
    <w:rsid w:val="413E1742"/>
    <w:rsid w:val="413FA41B"/>
    <w:rsid w:val="4141EB3B"/>
    <w:rsid w:val="4144C41F"/>
    <w:rsid w:val="4145C265"/>
    <w:rsid w:val="414A7DD4"/>
    <w:rsid w:val="414C9E84"/>
    <w:rsid w:val="414CE779"/>
    <w:rsid w:val="414E62E8"/>
    <w:rsid w:val="414E8022"/>
    <w:rsid w:val="4153088D"/>
    <w:rsid w:val="4157924B"/>
    <w:rsid w:val="4159C2EA"/>
    <w:rsid w:val="415DAF93"/>
    <w:rsid w:val="415E0199"/>
    <w:rsid w:val="4167D95C"/>
    <w:rsid w:val="416ACC0A"/>
    <w:rsid w:val="416E04DD"/>
    <w:rsid w:val="41718615"/>
    <w:rsid w:val="4172FACF"/>
    <w:rsid w:val="41750F94"/>
    <w:rsid w:val="417B99D7"/>
    <w:rsid w:val="41827019"/>
    <w:rsid w:val="4184F564"/>
    <w:rsid w:val="4186447D"/>
    <w:rsid w:val="4187F55B"/>
    <w:rsid w:val="4189B14A"/>
    <w:rsid w:val="418A9955"/>
    <w:rsid w:val="418AF59F"/>
    <w:rsid w:val="418FBC7F"/>
    <w:rsid w:val="41950E5B"/>
    <w:rsid w:val="419A83BF"/>
    <w:rsid w:val="419AC6B5"/>
    <w:rsid w:val="41A11B23"/>
    <w:rsid w:val="41A18A4D"/>
    <w:rsid w:val="41A19859"/>
    <w:rsid w:val="41A347AF"/>
    <w:rsid w:val="41A55BA8"/>
    <w:rsid w:val="41B4006C"/>
    <w:rsid w:val="41B694D6"/>
    <w:rsid w:val="41B722C1"/>
    <w:rsid w:val="41BA9428"/>
    <w:rsid w:val="41BB2122"/>
    <w:rsid w:val="41BBFE59"/>
    <w:rsid w:val="41BCBC87"/>
    <w:rsid w:val="41BCF98A"/>
    <w:rsid w:val="41BDBC57"/>
    <w:rsid w:val="41C150F6"/>
    <w:rsid w:val="41C2C6E5"/>
    <w:rsid w:val="41C3B094"/>
    <w:rsid w:val="41CA6299"/>
    <w:rsid w:val="41CBB2DB"/>
    <w:rsid w:val="41CF3BC4"/>
    <w:rsid w:val="41D1C826"/>
    <w:rsid w:val="41D2C957"/>
    <w:rsid w:val="41D4FE15"/>
    <w:rsid w:val="41D738B6"/>
    <w:rsid w:val="41D788BC"/>
    <w:rsid w:val="41E0826D"/>
    <w:rsid w:val="41EC1F0D"/>
    <w:rsid w:val="41EEDEE1"/>
    <w:rsid w:val="41F00713"/>
    <w:rsid w:val="41F21479"/>
    <w:rsid w:val="41F35027"/>
    <w:rsid w:val="41F39F40"/>
    <w:rsid w:val="41F49628"/>
    <w:rsid w:val="41F67FA7"/>
    <w:rsid w:val="420044C2"/>
    <w:rsid w:val="4200C7B5"/>
    <w:rsid w:val="42011933"/>
    <w:rsid w:val="4203EF13"/>
    <w:rsid w:val="42042D4E"/>
    <w:rsid w:val="4204AA9F"/>
    <w:rsid w:val="420512F6"/>
    <w:rsid w:val="420813EC"/>
    <w:rsid w:val="420B3C0E"/>
    <w:rsid w:val="420D46FA"/>
    <w:rsid w:val="420E9077"/>
    <w:rsid w:val="4215D346"/>
    <w:rsid w:val="4218A7C8"/>
    <w:rsid w:val="4218F5A4"/>
    <w:rsid w:val="421AA094"/>
    <w:rsid w:val="421D1694"/>
    <w:rsid w:val="4220C1EE"/>
    <w:rsid w:val="4223AA4D"/>
    <w:rsid w:val="422B9BEC"/>
    <w:rsid w:val="422EB378"/>
    <w:rsid w:val="42315DFB"/>
    <w:rsid w:val="423A8350"/>
    <w:rsid w:val="4240076B"/>
    <w:rsid w:val="4243DDF0"/>
    <w:rsid w:val="4245C854"/>
    <w:rsid w:val="4249FD00"/>
    <w:rsid w:val="424D47DB"/>
    <w:rsid w:val="424F95DD"/>
    <w:rsid w:val="42526521"/>
    <w:rsid w:val="4265C60A"/>
    <w:rsid w:val="4266DCD2"/>
    <w:rsid w:val="4268E7B8"/>
    <w:rsid w:val="426A1823"/>
    <w:rsid w:val="426AB803"/>
    <w:rsid w:val="4270A9BC"/>
    <w:rsid w:val="42752267"/>
    <w:rsid w:val="427593C4"/>
    <w:rsid w:val="4279FFC7"/>
    <w:rsid w:val="427C820C"/>
    <w:rsid w:val="427CB9D9"/>
    <w:rsid w:val="4280A268"/>
    <w:rsid w:val="42826FCA"/>
    <w:rsid w:val="428369B5"/>
    <w:rsid w:val="42848E6B"/>
    <w:rsid w:val="4285F2C4"/>
    <w:rsid w:val="428878CE"/>
    <w:rsid w:val="4288C6D5"/>
    <w:rsid w:val="428AF1DE"/>
    <w:rsid w:val="428BCAB5"/>
    <w:rsid w:val="428DD233"/>
    <w:rsid w:val="428F8EE4"/>
    <w:rsid w:val="4294DA83"/>
    <w:rsid w:val="42967A07"/>
    <w:rsid w:val="429AB869"/>
    <w:rsid w:val="429CDA73"/>
    <w:rsid w:val="429E17BB"/>
    <w:rsid w:val="42A2AFEA"/>
    <w:rsid w:val="42A504B8"/>
    <w:rsid w:val="42AF1842"/>
    <w:rsid w:val="42B6F722"/>
    <w:rsid w:val="42B829FE"/>
    <w:rsid w:val="42B92C9D"/>
    <w:rsid w:val="42BA54FF"/>
    <w:rsid w:val="42BD3775"/>
    <w:rsid w:val="42C42EA6"/>
    <w:rsid w:val="42C5000B"/>
    <w:rsid w:val="42CB183C"/>
    <w:rsid w:val="42CC1760"/>
    <w:rsid w:val="42CD84BD"/>
    <w:rsid w:val="42D28C83"/>
    <w:rsid w:val="42D53A0F"/>
    <w:rsid w:val="42D85D2D"/>
    <w:rsid w:val="42DAFAA2"/>
    <w:rsid w:val="42DC750C"/>
    <w:rsid w:val="42E2B15D"/>
    <w:rsid w:val="42E6C641"/>
    <w:rsid w:val="42E89BA7"/>
    <w:rsid w:val="42E9F550"/>
    <w:rsid w:val="42EA86E0"/>
    <w:rsid w:val="42EAAF66"/>
    <w:rsid w:val="42F477D9"/>
    <w:rsid w:val="42F4AD7C"/>
    <w:rsid w:val="42F9CA90"/>
    <w:rsid w:val="42FCEE7A"/>
    <w:rsid w:val="42FE9629"/>
    <w:rsid w:val="42FEA181"/>
    <w:rsid w:val="43022D9D"/>
    <w:rsid w:val="4304D058"/>
    <w:rsid w:val="43058D04"/>
    <w:rsid w:val="43086E93"/>
    <w:rsid w:val="430D91A1"/>
    <w:rsid w:val="430E6C7B"/>
    <w:rsid w:val="430E6E22"/>
    <w:rsid w:val="430EF473"/>
    <w:rsid w:val="43172ED8"/>
    <w:rsid w:val="4319C513"/>
    <w:rsid w:val="4319D72A"/>
    <w:rsid w:val="431F0EBC"/>
    <w:rsid w:val="4324735A"/>
    <w:rsid w:val="43275EAF"/>
    <w:rsid w:val="43289A94"/>
    <w:rsid w:val="432BEF9A"/>
    <w:rsid w:val="4331952A"/>
    <w:rsid w:val="43343D39"/>
    <w:rsid w:val="4334A630"/>
    <w:rsid w:val="4337C4BF"/>
    <w:rsid w:val="433BEBFE"/>
    <w:rsid w:val="433F46B9"/>
    <w:rsid w:val="434407B1"/>
    <w:rsid w:val="434C7DAE"/>
    <w:rsid w:val="434ED9BC"/>
    <w:rsid w:val="43593B59"/>
    <w:rsid w:val="4359BBC9"/>
    <w:rsid w:val="435E964F"/>
    <w:rsid w:val="43619354"/>
    <w:rsid w:val="4368A906"/>
    <w:rsid w:val="43691437"/>
    <w:rsid w:val="436AF417"/>
    <w:rsid w:val="436CE6AB"/>
    <w:rsid w:val="436D4617"/>
    <w:rsid w:val="4370113F"/>
    <w:rsid w:val="4373FB36"/>
    <w:rsid w:val="4374233B"/>
    <w:rsid w:val="4374AA45"/>
    <w:rsid w:val="43795BF6"/>
    <w:rsid w:val="437DB561"/>
    <w:rsid w:val="437F1570"/>
    <w:rsid w:val="4384850A"/>
    <w:rsid w:val="43886579"/>
    <w:rsid w:val="438B55F7"/>
    <w:rsid w:val="438CEECB"/>
    <w:rsid w:val="438E4D9C"/>
    <w:rsid w:val="4392FBB1"/>
    <w:rsid w:val="4398D1EF"/>
    <w:rsid w:val="439914D9"/>
    <w:rsid w:val="439B83DF"/>
    <w:rsid w:val="439FBC62"/>
    <w:rsid w:val="43A17F6C"/>
    <w:rsid w:val="43A7C8C8"/>
    <w:rsid w:val="43A82DD0"/>
    <w:rsid w:val="43A832AC"/>
    <w:rsid w:val="43AE91EB"/>
    <w:rsid w:val="43AEC5B7"/>
    <w:rsid w:val="43B35C67"/>
    <w:rsid w:val="43B74BC9"/>
    <w:rsid w:val="43BDCD99"/>
    <w:rsid w:val="43BE8DD6"/>
    <w:rsid w:val="43BF813D"/>
    <w:rsid w:val="43BFECCB"/>
    <w:rsid w:val="43C04A16"/>
    <w:rsid w:val="43C94AAD"/>
    <w:rsid w:val="43CB71DD"/>
    <w:rsid w:val="43CD667C"/>
    <w:rsid w:val="43D260B0"/>
    <w:rsid w:val="43D95240"/>
    <w:rsid w:val="43DE1843"/>
    <w:rsid w:val="43E0BCF4"/>
    <w:rsid w:val="43E13B44"/>
    <w:rsid w:val="43E20296"/>
    <w:rsid w:val="43E4D1E4"/>
    <w:rsid w:val="43EA9AA5"/>
    <w:rsid w:val="43EE484F"/>
    <w:rsid w:val="43EF1983"/>
    <w:rsid w:val="43EFEA22"/>
    <w:rsid w:val="43F3A7B0"/>
    <w:rsid w:val="43F47203"/>
    <w:rsid w:val="43F8B70F"/>
    <w:rsid w:val="43F910A0"/>
    <w:rsid w:val="43F92D55"/>
    <w:rsid w:val="43FA3D17"/>
    <w:rsid w:val="43FBD174"/>
    <w:rsid w:val="4404120F"/>
    <w:rsid w:val="4406DA87"/>
    <w:rsid w:val="440C4C61"/>
    <w:rsid w:val="440DAA14"/>
    <w:rsid w:val="440E8733"/>
    <w:rsid w:val="441409A5"/>
    <w:rsid w:val="441574BD"/>
    <w:rsid w:val="4417486F"/>
    <w:rsid w:val="441BFA0F"/>
    <w:rsid w:val="441C71B4"/>
    <w:rsid w:val="441D50B3"/>
    <w:rsid w:val="4420721E"/>
    <w:rsid w:val="4421E8C1"/>
    <w:rsid w:val="44268BE9"/>
    <w:rsid w:val="44268E25"/>
    <w:rsid w:val="442A0888"/>
    <w:rsid w:val="442FC215"/>
    <w:rsid w:val="44372BD9"/>
    <w:rsid w:val="443D1659"/>
    <w:rsid w:val="444042B5"/>
    <w:rsid w:val="4444B07F"/>
    <w:rsid w:val="44480485"/>
    <w:rsid w:val="444EF268"/>
    <w:rsid w:val="444F3E04"/>
    <w:rsid w:val="4458AB47"/>
    <w:rsid w:val="4459ED21"/>
    <w:rsid w:val="445B9A9E"/>
    <w:rsid w:val="445D32A4"/>
    <w:rsid w:val="445D3E6E"/>
    <w:rsid w:val="445D5FA7"/>
    <w:rsid w:val="445D7F3C"/>
    <w:rsid w:val="446236B0"/>
    <w:rsid w:val="44624AEE"/>
    <w:rsid w:val="446564E9"/>
    <w:rsid w:val="446882C0"/>
    <w:rsid w:val="4469FCC6"/>
    <w:rsid w:val="446C4E59"/>
    <w:rsid w:val="446CD890"/>
    <w:rsid w:val="446DEEF7"/>
    <w:rsid w:val="44721D2F"/>
    <w:rsid w:val="447B1256"/>
    <w:rsid w:val="4481150C"/>
    <w:rsid w:val="44882D87"/>
    <w:rsid w:val="448C8150"/>
    <w:rsid w:val="4490A9BE"/>
    <w:rsid w:val="4491FAD7"/>
    <w:rsid w:val="44921884"/>
    <w:rsid w:val="4493E840"/>
    <w:rsid w:val="449745CE"/>
    <w:rsid w:val="449A5CB1"/>
    <w:rsid w:val="44A18BCB"/>
    <w:rsid w:val="44A2F8E1"/>
    <w:rsid w:val="44A9E403"/>
    <w:rsid w:val="44B1D845"/>
    <w:rsid w:val="44B22859"/>
    <w:rsid w:val="44B7209F"/>
    <w:rsid w:val="44B896B4"/>
    <w:rsid w:val="44BA7522"/>
    <w:rsid w:val="44BD71A3"/>
    <w:rsid w:val="44BDC0D6"/>
    <w:rsid w:val="44BF3074"/>
    <w:rsid w:val="44C0BB3D"/>
    <w:rsid w:val="44C26496"/>
    <w:rsid w:val="44C3BF16"/>
    <w:rsid w:val="44C5A263"/>
    <w:rsid w:val="44C5D2ED"/>
    <w:rsid w:val="44C5F346"/>
    <w:rsid w:val="44C688BB"/>
    <w:rsid w:val="44C77D31"/>
    <w:rsid w:val="44C82ED5"/>
    <w:rsid w:val="44C89242"/>
    <w:rsid w:val="44C99FA4"/>
    <w:rsid w:val="44CA16F9"/>
    <w:rsid w:val="44CD51CE"/>
    <w:rsid w:val="44CE5BAF"/>
    <w:rsid w:val="44D1ACD7"/>
    <w:rsid w:val="44D425B5"/>
    <w:rsid w:val="44DB0864"/>
    <w:rsid w:val="44DE6E5E"/>
    <w:rsid w:val="44DE8C85"/>
    <w:rsid w:val="44DFCBFD"/>
    <w:rsid w:val="44E2D6E7"/>
    <w:rsid w:val="44E35378"/>
    <w:rsid w:val="44E51F7A"/>
    <w:rsid w:val="44E5825B"/>
    <w:rsid w:val="44ED5B9F"/>
    <w:rsid w:val="44EF8AF8"/>
    <w:rsid w:val="44F270CE"/>
    <w:rsid w:val="44F6AB6A"/>
    <w:rsid w:val="44FA384D"/>
    <w:rsid w:val="44FDF570"/>
    <w:rsid w:val="44FEB568"/>
    <w:rsid w:val="4501A692"/>
    <w:rsid w:val="450A1D3B"/>
    <w:rsid w:val="450B0C7A"/>
    <w:rsid w:val="450C6767"/>
    <w:rsid w:val="450E0EB1"/>
    <w:rsid w:val="4516AB0E"/>
    <w:rsid w:val="45191BC0"/>
    <w:rsid w:val="451BBCF8"/>
    <w:rsid w:val="451BE331"/>
    <w:rsid w:val="4520443A"/>
    <w:rsid w:val="4522549F"/>
    <w:rsid w:val="4522EA21"/>
    <w:rsid w:val="45280D02"/>
    <w:rsid w:val="452947A6"/>
    <w:rsid w:val="45298637"/>
    <w:rsid w:val="452ADBC0"/>
    <w:rsid w:val="4534BAF9"/>
    <w:rsid w:val="453596D1"/>
    <w:rsid w:val="453D045A"/>
    <w:rsid w:val="4544CC57"/>
    <w:rsid w:val="454D3203"/>
    <w:rsid w:val="454F75E1"/>
    <w:rsid w:val="455034F5"/>
    <w:rsid w:val="45532D8B"/>
    <w:rsid w:val="455A29B7"/>
    <w:rsid w:val="455C5389"/>
    <w:rsid w:val="455FEEE2"/>
    <w:rsid w:val="456BDC4C"/>
    <w:rsid w:val="456D093E"/>
    <w:rsid w:val="4571CC97"/>
    <w:rsid w:val="4573813C"/>
    <w:rsid w:val="4574B9CE"/>
    <w:rsid w:val="45754647"/>
    <w:rsid w:val="4575D31A"/>
    <w:rsid w:val="45803F0E"/>
    <w:rsid w:val="45808614"/>
    <w:rsid w:val="4587165A"/>
    <w:rsid w:val="4587D2EB"/>
    <w:rsid w:val="45929FD6"/>
    <w:rsid w:val="45936723"/>
    <w:rsid w:val="459431D3"/>
    <w:rsid w:val="45967035"/>
    <w:rsid w:val="4597C7C5"/>
    <w:rsid w:val="459DAA41"/>
    <w:rsid w:val="459DCDAC"/>
    <w:rsid w:val="459E93B6"/>
    <w:rsid w:val="45A00780"/>
    <w:rsid w:val="45A037A7"/>
    <w:rsid w:val="45A879AF"/>
    <w:rsid w:val="45A88CD3"/>
    <w:rsid w:val="45A8AA6F"/>
    <w:rsid w:val="45ADF7D4"/>
    <w:rsid w:val="45AEA63D"/>
    <w:rsid w:val="45B0BE7D"/>
    <w:rsid w:val="45B15C23"/>
    <w:rsid w:val="45B64EBB"/>
    <w:rsid w:val="45B664C6"/>
    <w:rsid w:val="45B78608"/>
    <w:rsid w:val="45B94871"/>
    <w:rsid w:val="45BA015F"/>
    <w:rsid w:val="45BABE6C"/>
    <w:rsid w:val="45BB2548"/>
    <w:rsid w:val="45BE1506"/>
    <w:rsid w:val="45C0AE8C"/>
    <w:rsid w:val="45C53971"/>
    <w:rsid w:val="45C6E1DC"/>
    <w:rsid w:val="45C7351F"/>
    <w:rsid w:val="45C7D5D1"/>
    <w:rsid w:val="45C89FDC"/>
    <w:rsid w:val="45C964E6"/>
    <w:rsid w:val="45D02AFC"/>
    <w:rsid w:val="45D0C455"/>
    <w:rsid w:val="45D5636D"/>
    <w:rsid w:val="45D56853"/>
    <w:rsid w:val="45D5D824"/>
    <w:rsid w:val="45D665CA"/>
    <w:rsid w:val="45DA6364"/>
    <w:rsid w:val="45DC864E"/>
    <w:rsid w:val="45DEE78A"/>
    <w:rsid w:val="45E4A751"/>
    <w:rsid w:val="45EB62F9"/>
    <w:rsid w:val="45ED3C57"/>
    <w:rsid w:val="45ED8D27"/>
    <w:rsid w:val="45F15BFC"/>
    <w:rsid w:val="45F218A9"/>
    <w:rsid w:val="45F5103D"/>
    <w:rsid w:val="45F84C6C"/>
    <w:rsid w:val="45FCDD51"/>
    <w:rsid w:val="45FD6FAB"/>
    <w:rsid w:val="46012884"/>
    <w:rsid w:val="46030B23"/>
    <w:rsid w:val="4604CEAC"/>
    <w:rsid w:val="4605A6AE"/>
    <w:rsid w:val="460CEAE8"/>
    <w:rsid w:val="4618550E"/>
    <w:rsid w:val="4618F79C"/>
    <w:rsid w:val="461F21E7"/>
    <w:rsid w:val="46222FA5"/>
    <w:rsid w:val="46249AB3"/>
    <w:rsid w:val="46270F9E"/>
    <w:rsid w:val="46272FC6"/>
    <w:rsid w:val="4628A3DA"/>
    <w:rsid w:val="462A1EB7"/>
    <w:rsid w:val="46352409"/>
    <w:rsid w:val="4639962F"/>
    <w:rsid w:val="464476C4"/>
    <w:rsid w:val="464A7EA8"/>
    <w:rsid w:val="46514737"/>
    <w:rsid w:val="4652F56C"/>
    <w:rsid w:val="465872DE"/>
    <w:rsid w:val="466269A8"/>
    <w:rsid w:val="46645783"/>
    <w:rsid w:val="46652FAB"/>
    <w:rsid w:val="466AE59A"/>
    <w:rsid w:val="466C5C21"/>
    <w:rsid w:val="466D8345"/>
    <w:rsid w:val="467038B0"/>
    <w:rsid w:val="4671AE84"/>
    <w:rsid w:val="467C9D1B"/>
    <w:rsid w:val="467DABAB"/>
    <w:rsid w:val="46815E7A"/>
    <w:rsid w:val="4681C5EA"/>
    <w:rsid w:val="4683C67D"/>
    <w:rsid w:val="4684E273"/>
    <w:rsid w:val="4689C032"/>
    <w:rsid w:val="468AC006"/>
    <w:rsid w:val="468B302E"/>
    <w:rsid w:val="4690C596"/>
    <w:rsid w:val="4692CF20"/>
    <w:rsid w:val="469433D9"/>
    <w:rsid w:val="4695982A"/>
    <w:rsid w:val="4697F763"/>
    <w:rsid w:val="469CD3AA"/>
    <w:rsid w:val="46A08C72"/>
    <w:rsid w:val="46A52A6C"/>
    <w:rsid w:val="46A540C8"/>
    <w:rsid w:val="46AA40A8"/>
    <w:rsid w:val="46ACAFE6"/>
    <w:rsid w:val="46B17787"/>
    <w:rsid w:val="46B3B2B4"/>
    <w:rsid w:val="46C08F18"/>
    <w:rsid w:val="46C1A539"/>
    <w:rsid w:val="46C4EDF5"/>
    <w:rsid w:val="46C82E10"/>
    <w:rsid w:val="46CADB7D"/>
    <w:rsid w:val="46CB477D"/>
    <w:rsid w:val="46CBA5F9"/>
    <w:rsid w:val="46CC85EF"/>
    <w:rsid w:val="46D4CA8D"/>
    <w:rsid w:val="46F23532"/>
    <w:rsid w:val="46FAEE82"/>
    <w:rsid w:val="46FBA210"/>
    <w:rsid w:val="46FE8EDC"/>
    <w:rsid w:val="47047B8E"/>
    <w:rsid w:val="47082695"/>
    <w:rsid w:val="4708C94A"/>
    <w:rsid w:val="470948BC"/>
    <w:rsid w:val="470997DC"/>
    <w:rsid w:val="470CEE2E"/>
    <w:rsid w:val="470DEB34"/>
    <w:rsid w:val="470DF5B3"/>
    <w:rsid w:val="470FBCEE"/>
    <w:rsid w:val="4711B544"/>
    <w:rsid w:val="4717459C"/>
    <w:rsid w:val="471BE0D0"/>
    <w:rsid w:val="471CFE47"/>
    <w:rsid w:val="471E48D7"/>
    <w:rsid w:val="471EF4BE"/>
    <w:rsid w:val="4720A18B"/>
    <w:rsid w:val="47250F71"/>
    <w:rsid w:val="472BDF7B"/>
    <w:rsid w:val="47336F78"/>
    <w:rsid w:val="47338750"/>
    <w:rsid w:val="47350C99"/>
    <w:rsid w:val="47352850"/>
    <w:rsid w:val="473564AF"/>
    <w:rsid w:val="4737FC6A"/>
    <w:rsid w:val="473912CA"/>
    <w:rsid w:val="47399428"/>
    <w:rsid w:val="473B207A"/>
    <w:rsid w:val="473C1756"/>
    <w:rsid w:val="474270A7"/>
    <w:rsid w:val="474DC4DB"/>
    <w:rsid w:val="4753A6DC"/>
    <w:rsid w:val="47577832"/>
    <w:rsid w:val="475BB7A5"/>
    <w:rsid w:val="475CAD8C"/>
    <w:rsid w:val="4764AD27"/>
    <w:rsid w:val="4774B2CB"/>
    <w:rsid w:val="4774CA41"/>
    <w:rsid w:val="4778F4E2"/>
    <w:rsid w:val="47795683"/>
    <w:rsid w:val="477B80FD"/>
    <w:rsid w:val="477BAAA3"/>
    <w:rsid w:val="477D9693"/>
    <w:rsid w:val="4781E632"/>
    <w:rsid w:val="47853C91"/>
    <w:rsid w:val="47867313"/>
    <w:rsid w:val="4787F06A"/>
    <w:rsid w:val="478F8B01"/>
    <w:rsid w:val="4790682C"/>
    <w:rsid w:val="47943FB2"/>
    <w:rsid w:val="47969A86"/>
    <w:rsid w:val="4799F2AE"/>
    <w:rsid w:val="479CCD41"/>
    <w:rsid w:val="479D6568"/>
    <w:rsid w:val="479E6ECC"/>
    <w:rsid w:val="479EC20E"/>
    <w:rsid w:val="479FF7F0"/>
    <w:rsid w:val="47A5F0EA"/>
    <w:rsid w:val="47A62D16"/>
    <w:rsid w:val="47A74287"/>
    <w:rsid w:val="47A99FEA"/>
    <w:rsid w:val="47AA45FA"/>
    <w:rsid w:val="47ABD4E5"/>
    <w:rsid w:val="47B1A284"/>
    <w:rsid w:val="47B5348E"/>
    <w:rsid w:val="47B6656F"/>
    <w:rsid w:val="47B74871"/>
    <w:rsid w:val="47BD49A1"/>
    <w:rsid w:val="47BE54BF"/>
    <w:rsid w:val="47C06B15"/>
    <w:rsid w:val="47C26555"/>
    <w:rsid w:val="47C5EAE0"/>
    <w:rsid w:val="47C83361"/>
    <w:rsid w:val="47CA42A0"/>
    <w:rsid w:val="47CABA2D"/>
    <w:rsid w:val="47CBE180"/>
    <w:rsid w:val="47D8389C"/>
    <w:rsid w:val="47E3E2F2"/>
    <w:rsid w:val="47E59216"/>
    <w:rsid w:val="47E81C91"/>
    <w:rsid w:val="47EEF4B1"/>
    <w:rsid w:val="47EF5233"/>
    <w:rsid w:val="47F05B1E"/>
    <w:rsid w:val="47F0B6F6"/>
    <w:rsid w:val="47F2E3FD"/>
    <w:rsid w:val="47F357A6"/>
    <w:rsid w:val="47F5723A"/>
    <w:rsid w:val="47F98B6A"/>
    <w:rsid w:val="47FC725A"/>
    <w:rsid w:val="47FF4CB9"/>
    <w:rsid w:val="480020DC"/>
    <w:rsid w:val="48006E1B"/>
    <w:rsid w:val="4802FC86"/>
    <w:rsid w:val="480934E8"/>
    <w:rsid w:val="48114ABD"/>
    <w:rsid w:val="48125D03"/>
    <w:rsid w:val="481403C3"/>
    <w:rsid w:val="481489FF"/>
    <w:rsid w:val="481564BC"/>
    <w:rsid w:val="48203FCC"/>
    <w:rsid w:val="482439BC"/>
    <w:rsid w:val="48304B0B"/>
    <w:rsid w:val="48313538"/>
    <w:rsid w:val="48337B48"/>
    <w:rsid w:val="48345F15"/>
    <w:rsid w:val="4834954A"/>
    <w:rsid w:val="4835016B"/>
    <w:rsid w:val="4837A5FD"/>
    <w:rsid w:val="4837C99C"/>
    <w:rsid w:val="4839D950"/>
    <w:rsid w:val="483A8377"/>
    <w:rsid w:val="483B695D"/>
    <w:rsid w:val="483DF3EE"/>
    <w:rsid w:val="48418A4D"/>
    <w:rsid w:val="4848A0CF"/>
    <w:rsid w:val="4849AE26"/>
    <w:rsid w:val="484C2047"/>
    <w:rsid w:val="484D2CBC"/>
    <w:rsid w:val="484EC562"/>
    <w:rsid w:val="484ED055"/>
    <w:rsid w:val="485387A5"/>
    <w:rsid w:val="4857DBCB"/>
    <w:rsid w:val="486098D8"/>
    <w:rsid w:val="486154BA"/>
    <w:rsid w:val="48641E11"/>
    <w:rsid w:val="48653E1D"/>
    <w:rsid w:val="486D6E4C"/>
    <w:rsid w:val="48717258"/>
    <w:rsid w:val="4871FAF5"/>
    <w:rsid w:val="487CE8FD"/>
    <w:rsid w:val="487ED700"/>
    <w:rsid w:val="4881C30D"/>
    <w:rsid w:val="48834550"/>
    <w:rsid w:val="4888FFFA"/>
    <w:rsid w:val="4889719A"/>
    <w:rsid w:val="488BDF5B"/>
    <w:rsid w:val="4890871B"/>
    <w:rsid w:val="4890B150"/>
    <w:rsid w:val="4892D254"/>
    <w:rsid w:val="48930E36"/>
    <w:rsid w:val="48946E1B"/>
    <w:rsid w:val="489A0304"/>
    <w:rsid w:val="489A3031"/>
    <w:rsid w:val="489C7AC0"/>
    <w:rsid w:val="489C9AA1"/>
    <w:rsid w:val="48A166A2"/>
    <w:rsid w:val="48A88B15"/>
    <w:rsid w:val="48A9133B"/>
    <w:rsid w:val="48AB07EB"/>
    <w:rsid w:val="48AB4FA7"/>
    <w:rsid w:val="48AC03A3"/>
    <w:rsid w:val="48B2B719"/>
    <w:rsid w:val="48BC1DD0"/>
    <w:rsid w:val="48BE38A3"/>
    <w:rsid w:val="48BF71FD"/>
    <w:rsid w:val="48C41A60"/>
    <w:rsid w:val="48C5C241"/>
    <w:rsid w:val="48C87FB0"/>
    <w:rsid w:val="48CA4BCE"/>
    <w:rsid w:val="48CC034D"/>
    <w:rsid w:val="48CD021E"/>
    <w:rsid w:val="48CD2562"/>
    <w:rsid w:val="48CDF10C"/>
    <w:rsid w:val="48CE09AC"/>
    <w:rsid w:val="48CEDE1F"/>
    <w:rsid w:val="48D03CE9"/>
    <w:rsid w:val="48D1C97B"/>
    <w:rsid w:val="48D3BAB6"/>
    <w:rsid w:val="48D403EC"/>
    <w:rsid w:val="48D8827E"/>
    <w:rsid w:val="48DD8295"/>
    <w:rsid w:val="48E3FDCA"/>
    <w:rsid w:val="48E67F53"/>
    <w:rsid w:val="48E7C6B4"/>
    <w:rsid w:val="48F806C9"/>
    <w:rsid w:val="48FA0192"/>
    <w:rsid w:val="48FA7EDB"/>
    <w:rsid w:val="4903EE47"/>
    <w:rsid w:val="4908327E"/>
    <w:rsid w:val="490A865F"/>
    <w:rsid w:val="490BA160"/>
    <w:rsid w:val="490D1BD8"/>
    <w:rsid w:val="490EB2E1"/>
    <w:rsid w:val="490F9DAE"/>
    <w:rsid w:val="49147DA0"/>
    <w:rsid w:val="4914947F"/>
    <w:rsid w:val="491847DD"/>
    <w:rsid w:val="491FC2B7"/>
    <w:rsid w:val="4927610B"/>
    <w:rsid w:val="492C4A9B"/>
    <w:rsid w:val="493567F8"/>
    <w:rsid w:val="4940FA8D"/>
    <w:rsid w:val="49449338"/>
    <w:rsid w:val="494A8A43"/>
    <w:rsid w:val="494B2A0C"/>
    <w:rsid w:val="494DA33B"/>
    <w:rsid w:val="494E29EE"/>
    <w:rsid w:val="4950AE2F"/>
    <w:rsid w:val="49549FED"/>
    <w:rsid w:val="4954CB1A"/>
    <w:rsid w:val="495AB41A"/>
    <w:rsid w:val="495CA93A"/>
    <w:rsid w:val="496193A7"/>
    <w:rsid w:val="4961F002"/>
    <w:rsid w:val="49622B42"/>
    <w:rsid w:val="4963F2BC"/>
    <w:rsid w:val="4965193A"/>
    <w:rsid w:val="49656201"/>
    <w:rsid w:val="49670DC5"/>
    <w:rsid w:val="49679034"/>
    <w:rsid w:val="496CE2F5"/>
    <w:rsid w:val="496E8769"/>
    <w:rsid w:val="4975A257"/>
    <w:rsid w:val="4976128E"/>
    <w:rsid w:val="497A9369"/>
    <w:rsid w:val="497D5AA3"/>
    <w:rsid w:val="497DBD3A"/>
    <w:rsid w:val="497E2B7D"/>
    <w:rsid w:val="497FC463"/>
    <w:rsid w:val="4980D699"/>
    <w:rsid w:val="49815EE8"/>
    <w:rsid w:val="49826032"/>
    <w:rsid w:val="49860BD1"/>
    <w:rsid w:val="498A82DB"/>
    <w:rsid w:val="498B8675"/>
    <w:rsid w:val="498C1E3C"/>
    <w:rsid w:val="498E35DD"/>
    <w:rsid w:val="4997917E"/>
    <w:rsid w:val="499C3B87"/>
    <w:rsid w:val="499C7411"/>
    <w:rsid w:val="499D01A0"/>
    <w:rsid w:val="499DAC33"/>
    <w:rsid w:val="499E9218"/>
    <w:rsid w:val="49A213D4"/>
    <w:rsid w:val="49A96A27"/>
    <w:rsid w:val="49A9E845"/>
    <w:rsid w:val="49AEB7AE"/>
    <w:rsid w:val="49B062C5"/>
    <w:rsid w:val="49B15DBD"/>
    <w:rsid w:val="49B27C40"/>
    <w:rsid w:val="49B2B8BD"/>
    <w:rsid w:val="49B469FA"/>
    <w:rsid w:val="49B50790"/>
    <w:rsid w:val="49B7689D"/>
    <w:rsid w:val="49C6F20D"/>
    <w:rsid w:val="49C919E3"/>
    <w:rsid w:val="49D3710C"/>
    <w:rsid w:val="49D3F088"/>
    <w:rsid w:val="49D8ED78"/>
    <w:rsid w:val="49DCB130"/>
    <w:rsid w:val="49DE755A"/>
    <w:rsid w:val="49E08E73"/>
    <w:rsid w:val="49E2D7D1"/>
    <w:rsid w:val="49E9B02C"/>
    <w:rsid w:val="49ED496F"/>
    <w:rsid w:val="49F616BF"/>
    <w:rsid w:val="49F7D367"/>
    <w:rsid w:val="49F98EF0"/>
    <w:rsid w:val="49FBC8B3"/>
    <w:rsid w:val="49FDB060"/>
    <w:rsid w:val="4A010918"/>
    <w:rsid w:val="4A012FA5"/>
    <w:rsid w:val="4A02CB11"/>
    <w:rsid w:val="4A093583"/>
    <w:rsid w:val="4A0997E2"/>
    <w:rsid w:val="4A0CD31E"/>
    <w:rsid w:val="4A0F29E1"/>
    <w:rsid w:val="4A15642C"/>
    <w:rsid w:val="4A231A5F"/>
    <w:rsid w:val="4A271FE4"/>
    <w:rsid w:val="4A287911"/>
    <w:rsid w:val="4A2A2369"/>
    <w:rsid w:val="4A2EC33A"/>
    <w:rsid w:val="4A2F5917"/>
    <w:rsid w:val="4A3322AA"/>
    <w:rsid w:val="4A33BEEC"/>
    <w:rsid w:val="4A3B2C2E"/>
    <w:rsid w:val="4A3E2D7F"/>
    <w:rsid w:val="4A400439"/>
    <w:rsid w:val="4A40DC22"/>
    <w:rsid w:val="4A433DA5"/>
    <w:rsid w:val="4A4C07EC"/>
    <w:rsid w:val="4A4C6CF2"/>
    <w:rsid w:val="4A4D4BD4"/>
    <w:rsid w:val="4A507828"/>
    <w:rsid w:val="4A5283D4"/>
    <w:rsid w:val="4A575E5A"/>
    <w:rsid w:val="4A5B5E43"/>
    <w:rsid w:val="4A5B9031"/>
    <w:rsid w:val="4A5B9770"/>
    <w:rsid w:val="4A6258AC"/>
    <w:rsid w:val="4A6448F1"/>
    <w:rsid w:val="4A66E3C3"/>
    <w:rsid w:val="4A69D03E"/>
    <w:rsid w:val="4A6CD92F"/>
    <w:rsid w:val="4A713974"/>
    <w:rsid w:val="4A75E7DF"/>
    <w:rsid w:val="4A77AC55"/>
    <w:rsid w:val="4A81B948"/>
    <w:rsid w:val="4A86638F"/>
    <w:rsid w:val="4A8670FE"/>
    <w:rsid w:val="4A8B9E5A"/>
    <w:rsid w:val="4A918310"/>
    <w:rsid w:val="4A961CB6"/>
    <w:rsid w:val="4A973EA8"/>
    <w:rsid w:val="4A98B7D0"/>
    <w:rsid w:val="4A9E6A68"/>
    <w:rsid w:val="4AA15BE4"/>
    <w:rsid w:val="4AA20ACF"/>
    <w:rsid w:val="4AA3B170"/>
    <w:rsid w:val="4AA56D39"/>
    <w:rsid w:val="4AA5DCD6"/>
    <w:rsid w:val="4AA88D22"/>
    <w:rsid w:val="4AAA5DA0"/>
    <w:rsid w:val="4AAC679F"/>
    <w:rsid w:val="4AADDB3D"/>
    <w:rsid w:val="4AB206F8"/>
    <w:rsid w:val="4AB2BA38"/>
    <w:rsid w:val="4AB318F2"/>
    <w:rsid w:val="4AB59705"/>
    <w:rsid w:val="4AB7A320"/>
    <w:rsid w:val="4AC09A19"/>
    <w:rsid w:val="4AC3F8A5"/>
    <w:rsid w:val="4AC55019"/>
    <w:rsid w:val="4AC61561"/>
    <w:rsid w:val="4AC61ABE"/>
    <w:rsid w:val="4AC66286"/>
    <w:rsid w:val="4AC6ABBF"/>
    <w:rsid w:val="4ACA27D4"/>
    <w:rsid w:val="4ACA2A44"/>
    <w:rsid w:val="4ACE3EA4"/>
    <w:rsid w:val="4AD0634C"/>
    <w:rsid w:val="4AD59FD6"/>
    <w:rsid w:val="4AD62AD4"/>
    <w:rsid w:val="4AD6A43B"/>
    <w:rsid w:val="4AD90869"/>
    <w:rsid w:val="4AE1CB50"/>
    <w:rsid w:val="4AE56054"/>
    <w:rsid w:val="4AE60B93"/>
    <w:rsid w:val="4AE70AF3"/>
    <w:rsid w:val="4AEB44F1"/>
    <w:rsid w:val="4AED726B"/>
    <w:rsid w:val="4AF185E6"/>
    <w:rsid w:val="4AF1DBD2"/>
    <w:rsid w:val="4AF4152F"/>
    <w:rsid w:val="4AF48DD2"/>
    <w:rsid w:val="4AF6ED16"/>
    <w:rsid w:val="4AF8E8ED"/>
    <w:rsid w:val="4AFAB444"/>
    <w:rsid w:val="4AFBF791"/>
    <w:rsid w:val="4B02F822"/>
    <w:rsid w:val="4B0A2B07"/>
    <w:rsid w:val="4B1128E6"/>
    <w:rsid w:val="4B11D58E"/>
    <w:rsid w:val="4B13A1A6"/>
    <w:rsid w:val="4B158C26"/>
    <w:rsid w:val="4B186A61"/>
    <w:rsid w:val="4B1A7791"/>
    <w:rsid w:val="4B221301"/>
    <w:rsid w:val="4B224FCC"/>
    <w:rsid w:val="4B234355"/>
    <w:rsid w:val="4B245100"/>
    <w:rsid w:val="4B246493"/>
    <w:rsid w:val="4B248B64"/>
    <w:rsid w:val="4B298CF1"/>
    <w:rsid w:val="4B308BF5"/>
    <w:rsid w:val="4B36275E"/>
    <w:rsid w:val="4B51F50D"/>
    <w:rsid w:val="4B554871"/>
    <w:rsid w:val="4B57E1BA"/>
    <w:rsid w:val="4B5A2397"/>
    <w:rsid w:val="4B5DEF9C"/>
    <w:rsid w:val="4B631B04"/>
    <w:rsid w:val="4B6A8152"/>
    <w:rsid w:val="4B6BB565"/>
    <w:rsid w:val="4B6C1823"/>
    <w:rsid w:val="4B6E21B0"/>
    <w:rsid w:val="4B6EA302"/>
    <w:rsid w:val="4B6F6FE4"/>
    <w:rsid w:val="4B72B529"/>
    <w:rsid w:val="4B742407"/>
    <w:rsid w:val="4B7448F2"/>
    <w:rsid w:val="4B74CF52"/>
    <w:rsid w:val="4B782C95"/>
    <w:rsid w:val="4B7AE045"/>
    <w:rsid w:val="4B873630"/>
    <w:rsid w:val="4B8ABFA0"/>
    <w:rsid w:val="4B8C34E5"/>
    <w:rsid w:val="4B912775"/>
    <w:rsid w:val="4B9130FE"/>
    <w:rsid w:val="4B92E29E"/>
    <w:rsid w:val="4B956089"/>
    <w:rsid w:val="4B9AFBEC"/>
    <w:rsid w:val="4B9BEA74"/>
    <w:rsid w:val="4B9C085E"/>
    <w:rsid w:val="4B9CEF7C"/>
    <w:rsid w:val="4BA10104"/>
    <w:rsid w:val="4BA3CCDA"/>
    <w:rsid w:val="4BA64EBA"/>
    <w:rsid w:val="4BAB4A7F"/>
    <w:rsid w:val="4BB4878D"/>
    <w:rsid w:val="4BB5D523"/>
    <w:rsid w:val="4BBA9E14"/>
    <w:rsid w:val="4BBCB882"/>
    <w:rsid w:val="4BBCED4B"/>
    <w:rsid w:val="4BBFC27E"/>
    <w:rsid w:val="4BBFCB35"/>
    <w:rsid w:val="4BBFDFA9"/>
    <w:rsid w:val="4BC1F903"/>
    <w:rsid w:val="4BC3E37A"/>
    <w:rsid w:val="4BC4D6B9"/>
    <w:rsid w:val="4BC58A2B"/>
    <w:rsid w:val="4BCEF2CC"/>
    <w:rsid w:val="4BD26587"/>
    <w:rsid w:val="4BD895A7"/>
    <w:rsid w:val="4BD93617"/>
    <w:rsid w:val="4BDB30BF"/>
    <w:rsid w:val="4BDB4694"/>
    <w:rsid w:val="4BDD6DB8"/>
    <w:rsid w:val="4BDFE210"/>
    <w:rsid w:val="4BE0CBBC"/>
    <w:rsid w:val="4BE1E887"/>
    <w:rsid w:val="4BE235A1"/>
    <w:rsid w:val="4BE2547C"/>
    <w:rsid w:val="4BE42160"/>
    <w:rsid w:val="4BE490D7"/>
    <w:rsid w:val="4BE9C602"/>
    <w:rsid w:val="4BEE9E0B"/>
    <w:rsid w:val="4BEEB26C"/>
    <w:rsid w:val="4BF2ECE6"/>
    <w:rsid w:val="4BF6CF63"/>
    <w:rsid w:val="4BF74B6F"/>
    <w:rsid w:val="4BF7C426"/>
    <w:rsid w:val="4BF9BBA1"/>
    <w:rsid w:val="4BFF92FA"/>
    <w:rsid w:val="4C04B990"/>
    <w:rsid w:val="4C057227"/>
    <w:rsid w:val="4C0BEA95"/>
    <w:rsid w:val="4C124D8A"/>
    <w:rsid w:val="4C16C86A"/>
    <w:rsid w:val="4C1B1A56"/>
    <w:rsid w:val="4C1CF621"/>
    <w:rsid w:val="4C20818E"/>
    <w:rsid w:val="4C263E56"/>
    <w:rsid w:val="4C283871"/>
    <w:rsid w:val="4C3541ED"/>
    <w:rsid w:val="4C367B4B"/>
    <w:rsid w:val="4C38155A"/>
    <w:rsid w:val="4C40BE34"/>
    <w:rsid w:val="4C45675C"/>
    <w:rsid w:val="4C482BC2"/>
    <w:rsid w:val="4C49DCDE"/>
    <w:rsid w:val="4C4A40D6"/>
    <w:rsid w:val="4C506F12"/>
    <w:rsid w:val="4C53D400"/>
    <w:rsid w:val="4C5ACAE6"/>
    <w:rsid w:val="4C5DC208"/>
    <w:rsid w:val="4C5FFE7F"/>
    <w:rsid w:val="4C609384"/>
    <w:rsid w:val="4C63332D"/>
    <w:rsid w:val="4C665569"/>
    <w:rsid w:val="4C67F3CC"/>
    <w:rsid w:val="4C6BA29C"/>
    <w:rsid w:val="4C722611"/>
    <w:rsid w:val="4C73C70F"/>
    <w:rsid w:val="4C74178C"/>
    <w:rsid w:val="4C7A5F7A"/>
    <w:rsid w:val="4C815836"/>
    <w:rsid w:val="4C81D4A1"/>
    <w:rsid w:val="4C8282BF"/>
    <w:rsid w:val="4C82B7C3"/>
    <w:rsid w:val="4C833DE3"/>
    <w:rsid w:val="4C843937"/>
    <w:rsid w:val="4C84EDAD"/>
    <w:rsid w:val="4C889AB7"/>
    <w:rsid w:val="4C8BB89E"/>
    <w:rsid w:val="4C94B560"/>
    <w:rsid w:val="4C95A280"/>
    <w:rsid w:val="4C95EE3B"/>
    <w:rsid w:val="4C97456A"/>
    <w:rsid w:val="4C97BD73"/>
    <w:rsid w:val="4C98559E"/>
    <w:rsid w:val="4C9F2A86"/>
    <w:rsid w:val="4CA26D49"/>
    <w:rsid w:val="4CA6B3D4"/>
    <w:rsid w:val="4CA7DADB"/>
    <w:rsid w:val="4CA83A8F"/>
    <w:rsid w:val="4CA84051"/>
    <w:rsid w:val="4CAF9534"/>
    <w:rsid w:val="4CBB9FFA"/>
    <w:rsid w:val="4CC08C87"/>
    <w:rsid w:val="4CC5148D"/>
    <w:rsid w:val="4CC5395E"/>
    <w:rsid w:val="4CC68B37"/>
    <w:rsid w:val="4CCE1F5B"/>
    <w:rsid w:val="4CD02268"/>
    <w:rsid w:val="4CD4009B"/>
    <w:rsid w:val="4CD4B5F2"/>
    <w:rsid w:val="4CD5C52B"/>
    <w:rsid w:val="4CD6A12D"/>
    <w:rsid w:val="4CDBB1CE"/>
    <w:rsid w:val="4CDC6A65"/>
    <w:rsid w:val="4CDDBA25"/>
    <w:rsid w:val="4CDE9497"/>
    <w:rsid w:val="4CE6DEAB"/>
    <w:rsid w:val="4CE6EC05"/>
    <w:rsid w:val="4CEB4719"/>
    <w:rsid w:val="4CF36F70"/>
    <w:rsid w:val="4CF41917"/>
    <w:rsid w:val="4CF6E16B"/>
    <w:rsid w:val="4CF82C3B"/>
    <w:rsid w:val="4CF86ED1"/>
    <w:rsid w:val="4D0156BA"/>
    <w:rsid w:val="4D02C156"/>
    <w:rsid w:val="4D04A087"/>
    <w:rsid w:val="4D062786"/>
    <w:rsid w:val="4D0A5BAE"/>
    <w:rsid w:val="4D0C679D"/>
    <w:rsid w:val="4D0D1C0D"/>
    <w:rsid w:val="4D1790F5"/>
    <w:rsid w:val="4D1828E6"/>
    <w:rsid w:val="4D1BA9FB"/>
    <w:rsid w:val="4D1D9476"/>
    <w:rsid w:val="4D1EEC2F"/>
    <w:rsid w:val="4D1F7E86"/>
    <w:rsid w:val="4D20AFB7"/>
    <w:rsid w:val="4D27E144"/>
    <w:rsid w:val="4D2B6654"/>
    <w:rsid w:val="4D2D67A7"/>
    <w:rsid w:val="4D2F1CB3"/>
    <w:rsid w:val="4D303BED"/>
    <w:rsid w:val="4D310E9B"/>
    <w:rsid w:val="4D32795F"/>
    <w:rsid w:val="4D33F954"/>
    <w:rsid w:val="4D358C66"/>
    <w:rsid w:val="4D368E08"/>
    <w:rsid w:val="4D3AC42B"/>
    <w:rsid w:val="4D3CF2DC"/>
    <w:rsid w:val="4D436CC7"/>
    <w:rsid w:val="4D4562F1"/>
    <w:rsid w:val="4D46D579"/>
    <w:rsid w:val="4D48261D"/>
    <w:rsid w:val="4D4962B3"/>
    <w:rsid w:val="4D4CAE08"/>
    <w:rsid w:val="4D52437A"/>
    <w:rsid w:val="4D53ED14"/>
    <w:rsid w:val="4D55B4BA"/>
    <w:rsid w:val="4D58EDED"/>
    <w:rsid w:val="4D5D9E78"/>
    <w:rsid w:val="4D5DCD0D"/>
    <w:rsid w:val="4D5EAC05"/>
    <w:rsid w:val="4D6113E9"/>
    <w:rsid w:val="4D64A4DF"/>
    <w:rsid w:val="4D67DD03"/>
    <w:rsid w:val="4D6A453C"/>
    <w:rsid w:val="4D6BEB29"/>
    <w:rsid w:val="4D6DF15B"/>
    <w:rsid w:val="4D72D18E"/>
    <w:rsid w:val="4D74A02A"/>
    <w:rsid w:val="4D78EA46"/>
    <w:rsid w:val="4D7A4928"/>
    <w:rsid w:val="4D7D889E"/>
    <w:rsid w:val="4D802524"/>
    <w:rsid w:val="4D804DF4"/>
    <w:rsid w:val="4D80E38D"/>
    <w:rsid w:val="4D81BAE8"/>
    <w:rsid w:val="4D81E76F"/>
    <w:rsid w:val="4D84853C"/>
    <w:rsid w:val="4D8BE664"/>
    <w:rsid w:val="4D8C3FB6"/>
    <w:rsid w:val="4D8DFEED"/>
    <w:rsid w:val="4D8F0F24"/>
    <w:rsid w:val="4D92A7C5"/>
    <w:rsid w:val="4D93A88E"/>
    <w:rsid w:val="4D956B05"/>
    <w:rsid w:val="4D95CD97"/>
    <w:rsid w:val="4D95EEFA"/>
    <w:rsid w:val="4D961700"/>
    <w:rsid w:val="4D976D40"/>
    <w:rsid w:val="4D99CA88"/>
    <w:rsid w:val="4D9B2902"/>
    <w:rsid w:val="4DA3698A"/>
    <w:rsid w:val="4DA72411"/>
    <w:rsid w:val="4DAE71AD"/>
    <w:rsid w:val="4DAEB887"/>
    <w:rsid w:val="4DAEC219"/>
    <w:rsid w:val="4DB08D87"/>
    <w:rsid w:val="4DB9EB49"/>
    <w:rsid w:val="4DBAA08C"/>
    <w:rsid w:val="4DBB7419"/>
    <w:rsid w:val="4DCBCDE9"/>
    <w:rsid w:val="4DCC43C9"/>
    <w:rsid w:val="4DCFDB8F"/>
    <w:rsid w:val="4DD3191A"/>
    <w:rsid w:val="4DE30982"/>
    <w:rsid w:val="4DE4028A"/>
    <w:rsid w:val="4DE4B834"/>
    <w:rsid w:val="4DE890BC"/>
    <w:rsid w:val="4DEBC2E2"/>
    <w:rsid w:val="4DEC30E0"/>
    <w:rsid w:val="4DED4D9B"/>
    <w:rsid w:val="4DF4B6B5"/>
    <w:rsid w:val="4DF80363"/>
    <w:rsid w:val="4DFDA778"/>
    <w:rsid w:val="4E061439"/>
    <w:rsid w:val="4E07C176"/>
    <w:rsid w:val="4E0E4E9E"/>
    <w:rsid w:val="4E0E71C6"/>
    <w:rsid w:val="4E0F101C"/>
    <w:rsid w:val="4E13151D"/>
    <w:rsid w:val="4E144B90"/>
    <w:rsid w:val="4E1857A2"/>
    <w:rsid w:val="4E1BBEC8"/>
    <w:rsid w:val="4E1BD402"/>
    <w:rsid w:val="4E1D38F2"/>
    <w:rsid w:val="4E1DCCF5"/>
    <w:rsid w:val="4E1EC23F"/>
    <w:rsid w:val="4E1F3442"/>
    <w:rsid w:val="4E24120F"/>
    <w:rsid w:val="4E25AD27"/>
    <w:rsid w:val="4E267BBE"/>
    <w:rsid w:val="4E2771E8"/>
    <w:rsid w:val="4E28720E"/>
    <w:rsid w:val="4E2E436B"/>
    <w:rsid w:val="4E327873"/>
    <w:rsid w:val="4E365496"/>
    <w:rsid w:val="4E391F62"/>
    <w:rsid w:val="4E39C00D"/>
    <w:rsid w:val="4E3D6405"/>
    <w:rsid w:val="4E43567B"/>
    <w:rsid w:val="4E45B1C5"/>
    <w:rsid w:val="4E4D5E51"/>
    <w:rsid w:val="4E52AC40"/>
    <w:rsid w:val="4E5531E2"/>
    <w:rsid w:val="4E55412F"/>
    <w:rsid w:val="4E585E41"/>
    <w:rsid w:val="4E5986BB"/>
    <w:rsid w:val="4E5C84C6"/>
    <w:rsid w:val="4E5DB609"/>
    <w:rsid w:val="4E5E9FD2"/>
    <w:rsid w:val="4E60635E"/>
    <w:rsid w:val="4E6435B6"/>
    <w:rsid w:val="4E65DF28"/>
    <w:rsid w:val="4E66BC7C"/>
    <w:rsid w:val="4E67560A"/>
    <w:rsid w:val="4E67F434"/>
    <w:rsid w:val="4E6911FC"/>
    <w:rsid w:val="4E6EA7BF"/>
    <w:rsid w:val="4E72C06F"/>
    <w:rsid w:val="4E741FAC"/>
    <w:rsid w:val="4E744A35"/>
    <w:rsid w:val="4E76794F"/>
    <w:rsid w:val="4E804243"/>
    <w:rsid w:val="4E8441A8"/>
    <w:rsid w:val="4E84C2F3"/>
    <w:rsid w:val="4E85D68C"/>
    <w:rsid w:val="4E85E1EB"/>
    <w:rsid w:val="4E85E556"/>
    <w:rsid w:val="4E8AFEF5"/>
    <w:rsid w:val="4E8FFE34"/>
    <w:rsid w:val="4E918AEB"/>
    <w:rsid w:val="4E96E1A3"/>
    <w:rsid w:val="4E9C1D44"/>
    <w:rsid w:val="4E9E73E4"/>
    <w:rsid w:val="4EA1238D"/>
    <w:rsid w:val="4EA1E5A5"/>
    <w:rsid w:val="4EA4C97A"/>
    <w:rsid w:val="4EAB1B16"/>
    <w:rsid w:val="4EAB801D"/>
    <w:rsid w:val="4EAC0438"/>
    <w:rsid w:val="4EAEBAD8"/>
    <w:rsid w:val="4EB11C43"/>
    <w:rsid w:val="4EB13115"/>
    <w:rsid w:val="4EB2D359"/>
    <w:rsid w:val="4EB2D9E8"/>
    <w:rsid w:val="4EB5BEE0"/>
    <w:rsid w:val="4EBBFE64"/>
    <w:rsid w:val="4EBC1722"/>
    <w:rsid w:val="4EBD27A8"/>
    <w:rsid w:val="4EBDCDDB"/>
    <w:rsid w:val="4EC33644"/>
    <w:rsid w:val="4EC3785D"/>
    <w:rsid w:val="4EC3D58D"/>
    <w:rsid w:val="4ECA7153"/>
    <w:rsid w:val="4ECA8201"/>
    <w:rsid w:val="4ECF502E"/>
    <w:rsid w:val="4EDACB1B"/>
    <w:rsid w:val="4EE454AB"/>
    <w:rsid w:val="4EE6BC2F"/>
    <w:rsid w:val="4EE82637"/>
    <w:rsid w:val="4EE86A86"/>
    <w:rsid w:val="4EF079A0"/>
    <w:rsid w:val="4EF22284"/>
    <w:rsid w:val="4EF2FA7A"/>
    <w:rsid w:val="4EF47730"/>
    <w:rsid w:val="4EF51254"/>
    <w:rsid w:val="4EF56C32"/>
    <w:rsid w:val="4EF8EE27"/>
    <w:rsid w:val="4EFABE55"/>
    <w:rsid w:val="4EFD79C4"/>
    <w:rsid w:val="4EFDD1B0"/>
    <w:rsid w:val="4F03CF1B"/>
    <w:rsid w:val="4F067E4B"/>
    <w:rsid w:val="4F0DEAF1"/>
    <w:rsid w:val="4F0E0DB6"/>
    <w:rsid w:val="4F0EC877"/>
    <w:rsid w:val="4F10E402"/>
    <w:rsid w:val="4F14D10D"/>
    <w:rsid w:val="4F15DDB4"/>
    <w:rsid w:val="4F16807B"/>
    <w:rsid w:val="4F16C80C"/>
    <w:rsid w:val="4F198EE1"/>
    <w:rsid w:val="4F1BF99C"/>
    <w:rsid w:val="4F1E3B26"/>
    <w:rsid w:val="4F22B33B"/>
    <w:rsid w:val="4F2418A8"/>
    <w:rsid w:val="4F28CB38"/>
    <w:rsid w:val="4F2983EF"/>
    <w:rsid w:val="4F2BADB8"/>
    <w:rsid w:val="4F31D810"/>
    <w:rsid w:val="4F32E718"/>
    <w:rsid w:val="4F33D50E"/>
    <w:rsid w:val="4F3422A7"/>
    <w:rsid w:val="4F3BA695"/>
    <w:rsid w:val="4F3D17AC"/>
    <w:rsid w:val="4F3D7DDD"/>
    <w:rsid w:val="4F42848D"/>
    <w:rsid w:val="4F45313D"/>
    <w:rsid w:val="4F454F7F"/>
    <w:rsid w:val="4F4DA542"/>
    <w:rsid w:val="4F4E1EC4"/>
    <w:rsid w:val="4F502E82"/>
    <w:rsid w:val="4F5091CC"/>
    <w:rsid w:val="4F513735"/>
    <w:rsid w:val="4F53405E"/>
    <w:rsid w:val="4F54953A"/>
    <w:rsid w:val="4F57D8BC"/>
    <w:rsid w:val="4F5B98E7"/>
    <w:rsid w:val="4F5CD3FD"/>
    <w:rsid w:val="4F67AAD1"/>
    <w:rsid w:val="4F6B893D"/>
    <w:rsid w:val="4F6E0E8B"/>
    <w:rsid w:val="4F6F0117"/>
    <w:rsid w:val="4F70C1F4"/>
    <w:rsid w:val="4F74562B"/>
    <w:rsid w:val="4F7ACB1A"/>
    <w:rsid w:val="4F7B1864"/>
    <w:rsid w:val="4F7B2955"/>
    <w:rsid w:val="4F7E3ADD"/>
    <w:rsid w:val="4F802ED6"/>
    <w:rsid w:val="4F82686C"/>
    <w:rsid w:val="4F83C30C"/>
    <w:rsid w:val="4F874B01"/>
    <w:rsid w:val="4F8C5E20"/>
    <w:rsid w:val="4F94598D"/>
    <w:rsid w:val="4F94F489"/>
    <w:rsid w:val="4F95FCBB"/>
    <w:rsid w:val="4FA2F696"/>
    <w:rsid w:val="4FA38E7E"/>
    <w:rsid w:val="4FA3D669"/>
    <w:rsid w:val="4FA491C9"/>
    <w:rsid w:val="4FA4C23C"/>
    <w:rsid w:val="4FA7C860"/>
    <w:rsid w:val="4FAC46A0"/>
    <w:rsid w:val="4FB11F38"/>
    <w:rsid w:val="4FB75031"/>
    <w:rsid w:val="4FB7A452"/>
    <w:rsid w:val="4FBE346E"/>
    <w:rsid w:val="4FC7FCB4"/>
    <w:rsid w:val="4FCDFFAC"/>
    <w:rsid w:val="4FCE037E"/>
    <w:rsid w:val="4FCF08E9"/>
    <w:rsid w:val="4FCF1AB6"/>
    <w:rsid w:val="4FD32C35"/>
    <w:rsid w:val="4FD4681F"/>
    <w:rsid w:val="4FD71428"/>
    <w:rsid w:val="4FD74B97"/>
    <w:rsid w:val="4FDAAC30"/>
    <w:rsid w:val="4FDD09F6"/>
    <w:rsid w:val="4FE3A1C1"/>
    <w:rsid w:val="4FE3E2B5"/>
    <w:rsid w:val="4FE8265D"/>
    <w:rsid w:val="4FE855F6"/>
    <w:rsid w:val="4FEC81D1"/>
    <w:rsid w:val="4FEDC156"/>
    <w:rsid w:val="4FEE34F9"/>
    <w:rsid w:val="4FF183A3"/>
    <w:rsid w:val="4FF3C2F2"/>
    <w:rsid w:val="4FF3DE04"/>
    <w:rsid w:val="4FF7C63F"/>
    <w:rsid w:val="4FFE4446"/>
    <w:rsid w:val="4FFF928C"/>
    <w:rsid w:val="4FFFA16B"/>
    <w:rsid w:val="50023FBC"/>
    <w:rsid w:val="50030E69"/>
    <w:rsid w:val="5003B497"/>
    <w:rsid w:val="500CE7FD"/>
    <w:rsid w:val="500D5A2E"/>
    <w:rsid w:val="500DA415"/>
    <w:rsid w:val="500FA022"/>
    <w:rsid w:val="5010377F"/>
    <w:rsid w:val="5013B859"/>
    <w:rsid w:val="5014CEF4"/>
    <w:rsid w:val="5015A986"/>
    <w:rsid w:val="5019D9D3"/>
    <w:rsid w:val="5020EB78"/>
    <w:rsid w:val="5020F93F"/>
    <w:rsid w:val="50224E8D"/>
    <w:rsid w:val="5023F4E8"/>
    <w:rsid w:val="5024ECE9"/>
    <w:rsid w:val="502AD222"/>
    <w:rsid w:val="502CBDF9"/>
    <w:rsid w:val="502EE8B2"/>
    <w:rsid w:val="502F3B74"/>
    <w:rsid w:val="5031027B"/>
    <w:rsid w:val="50360DEB"/>
    <w:rsid w:val="50380E2D"/>
    <w:rsid w:val="503DD28A"/>
    <w:rsid w:val="503E6F87"/>
    <w:rsid w:val="503FD372"/>
    <w:rsid w:val="5043323F"/>
    <w:rsid w:val="50471F28"/>
    <w:rsid w:val="50489288"/>
    <w:rsid w:val="5048F578"/>
    <w:rsid w:val="504A5FCA"/>
    <w:rsid w:val="504A783A"/>
    <w:rsid w:val="504CA6FE"/>
    <w:rsid w:val="504D6A4C"/>
    <w:rsid w:val="50544CDD"/>
    <w:rsid w:val="5058DC05"/>
    <w:rsid w:val="50596300"/>
    <w:rsid w:val="505B5BDB"/>
    <w:rsid w:val="5064FA23"/>
    <w:rsid w:val="50655C92"/>
    <w:rsid w:val="506696A5"/>
    <w:rsid w:val="506A6DD9"/>
    <w:rsid w:val="506A8D1C"/>
    <w:rsid w:val="506F4766"/>
    <w:rsid w:val="50709CE6"/>
    <w:rsid w:val="5074B4CE"/>
    <w:rsid w:val="50776EBD"/>
    <w:rsid w:val="5077BA04"/>
    <w:rsid w:val="507D8474"/>
    <w:rsid w:val="5081E9AA"/>
    <w:rsid w:val="508925F7"/>
    <w:rsid w:val="508B2301"/>
    <w:rsid w:val="508C0A34"/>
    <w:rsid w:val="50919CE6"/>
    <w:rsid w:val="50981C42"/>
    <w:rsid w:val="509B38A9"/>
    <w:rsid w:val="50A7968A"/>
    <w:rsid w:val="50A86163"/>
    <w:rsid w:val="50AA4F25"/>
    <w:rsid w:val="50AFFB79"/>
    <w:rsid w:val="50B1D03E"/>
    <w:rsid w:val="50B257AD"/>
    <w:rsid w:val="50B6115A"/>
    <w:rsid w:val="50B74D56"/>
    <w:rsid w:val="50B94045"/>
    <w:rsid w:val="50BB7541"/>
    <w:rsid w:val="50BF7100"/>
    <w:rsid w:val="50C1EABE"/>
    <w:rsid w:val="50C29257"/>
    <w:rsid w:val="50C31F54"/>
    <w:rsid w:val="50C735CF"/>
    <w:rsid w:val="50C9E828"/>
    <w:rsid w:val="50CE008A"/>
    <w:rsid w:val="50D058CC"/>
    <w:rsid w:val="50D13B66"/>
    <w:rsid w:val="50D1AA5C"/>
    <w:rsid w:val="50D35B70"/>
    <w:rsid w:val="50D3FE24"/>
    <w:rsid w:val="50E263B0"/>
    <w:rsid w:val="50E4566B"/>
    <w:rsid w:val="50E458AA"/>
    <w:rsid w:val="50E5D094"/>
    <w:rsid w:val="50F158F3"/>
    <w:rsid w:val="50F823FE"/>
    <w:rsid w:val="50F86650"/>
    <w:rsid w:val="50FE226B"/>
    <w:rsid w:val="51001ADB"/>
    <w:rsid w:val="5102621F"/>
    <w:rsid w:val="510264DF"/>
    <w:rsid w:val="510407C8"/>
    <w:rsid w:val="510957F6"/>
    <w:rsid w:val="510999CC"/>
    <w:rsid w:val="510B4EB4"/>
    <w:rsid w:val="510DAAAB"/>
    <w:rsid w:val="510DF52E"/>
    <w:rsid w:val="51112AA6"/>
    <w:rsid w:val="5116925F"/>
    <w:rsid w:val="511828C5"/>
    <w:rsid w:val="5118376A"/>
    <w:rsid w:val="511B3306"/>
    <w:rsid w:val="511BC355"/>
    <w:rsid w:val="51208548"/>
    <w:rsid w:val="5121AAAF"/>
    <w:rsid w:val="51237536"/>
    <w:rsid w:val="512D0CAF"/>
    <w:rsid w:val="512DA0CB"/>
    <w:rsid w:val="51316F47"/>
    <w:rsid w:val="51345022"/>
    <w:rsid w:val="5136C784"/>
    <w:rsid w:val="51390242"/>
    <w:rsid w:val="513A5A05"/>
    <w:rsid w:val="513CBD15"/>
    <w:rsid w:val="513E7872"/>
    <w:rsid w:val="5141122F"/>
    <w:rsid w:val="5142365D"/>
    <w:rsid w:val="5144C84E"/>
    <w:rsid w:val="5149134F"/>
    <w:rsid w:val="514D2ECB"/>
    <w:rsid w:val="5150162C"/>
    <w:rsid w:val="5150D65D"/>
    <w:rsid w:val="5151EE56"/>
    <w:rsid w:val="5152F615"/>
    <w:rsid w:val="5154FBF0"/>
    <w:rsid w:val="51555C9C"/>
    <w:rsid w:val="515AB70C"/>
    <w:rsid w:val="515F09C9"/>
    <w:rsid w:val="5164CEDC"/>
    <w:rsid w:val="516D3E5D"/>
    <w:rsid w:val="5173FB07"/>
    <w:rsid w:val="51754870"/>
    <w:rsid w:val="51770464"/>
    <w:rsid w:val="517C6199"/>
    <w:rsid w:val="517D2DBF"/>
    <w:rsid w:val="517EAB7F"/>
    <w:rsid w:val="5180F9D3"/>
    <w:rsid w:val="5182F2A9"/>
    <w:rsid w:val="518B4B90"/>
    <w:rsid w:val="518DC9EF"/>
    <w:rsid w:val="518E0E94"/>
    <w:rsid w:val="51951BAE"/>
    <w:rsid w:val="5197A503"/>
    <w:rsid w:val="5197E305"/>
    <w:rsid w:val="519A9567"/>
    <w:rsid w:val="519AD0A1"/>
    <w:rsid w:val="519B2ABC"/>
    <w:rsid w:val="519D3756"/>
    <w:rsid w:val="519DD73F"/>
    <w:rsid w:val="51A2747A"/>
    <w:rsid w:val="51A8C528"/>
    <w:rsid w:val="51AA8EE5"/>
    <w:rsid w:val="51ACE0A8"/>
    <w:rsid w:val="51AD37F7"/>
    <w:rsid w:val="51B2426E"/>
    <w:rsid w:val="51B444ED"/>
    <w:rsid w:val="51B4546C"/>
    <w:rsid w:val="51B6E4A4"/>
    <w:rsid w:val="51B7EDAE"/>
    <w:rsid w:val="51BA58AF"/>
    <w:rsid w:val="51BC7B25"/>
    <w:rsid w:val="51BC845A"/>
    <w:rsid w:val="51BCEFA1"/>
    <w:rsid w:val="51C16422"/>
    <w:rsid w:val="51C26683"/>
    <w:rsid w:val="51D194CC"/>
    <w:rsid w:val="51D22CB9"/>
    <w:rsid w:val="51D781C9"/>
    <w:rsid w:val="51D7B7C7"/>
    <w:rsid w:val="51DFD663"/>
    <w:rsid w:val="51E8119F"/>
    <w:rsid w:val="51EA0896"/>
    <w:rsid w:val="51EBBFA1"/>
    <w:rsid w:val="51EF9BD1"/>
    <w:rsid w:val="51F01338"/>
    <w:rsid w:val="51F4F1B5"/>
    <w:rsid w:val="51F5980D"/>
    <w:rsid w:val="51F77DFE"/>
    <w:rsid w:val="51F7ACD4"/>
    <w:rsid w:val="51FA38BE"/>
    <w:rsid w:val="51FDCEB3"/>
    <w:rsid w:val="51FEB274"/>
    <w:rsid w:val="5206B410"/>
    <w:rsid w:val="52099177"/>
    <w:rsid w:val="521296C2"/>
    <w:rsid w:val="521D91CE"/>
    <w:rsid w:val="521EC176"/>
    <w:rsid w:val="52200B70"/>
    <w:rsid w:val="5226D79A"/>
    <w:rsid w:val="52273932"/>
    <w:rsid w:val="522A16DE"/>
    <w:rsid w:val="522A1FC0"/>
    <w:rsid w:val="522BBCD2"/>
    <w:rsid w:val="522D0C7F"/>
    <w:rsid w:val="522F991F"/>
    <w:rsid w:val="522FA734"/>
    <w:rsid w:val="5235630F"/>
    <w:rsid w:val="5236AF06"/>
    <w:rsid w:val="5237B717"/>
    <w:rsid w:val="523CE2B7"/>
    <w:rsid w:val="5241B1E1"/>
    <w:rsid w:val="524DE4E5"/>
    <w:rsid w:val="524E0BEA"/>
    <w:rsid w:val="524FABB4"/>
    <w:rsid w:val="524FBBD7"/>
    <w:rsid w:val="52626B20"/>
    <w:rsid w:val="526EEDAE"/>
    <w:rsid w:val="5270DDA0"/>
    <w:rsid w:val="5271D3A0"/>
    <w:rsid w:val="527236D9"/>
    <w:rsid w:val="5275AF6B"/>
    <w:rsid w:val="52791CE1"/>
    <w:rsid w:val="527D2728"/>
    <w:rsid w:val="5282FEA1"/>
    <w:rsid w:val="5283A23D"/>
    <w:rsid w:val="528476EE"/>
    <w:rsid w:val="52873335"/>
    <w:rsid w:val="528F01F1"/>
    <w:rsid w:val="528F4139"/>
    <w:rsid w:val="52914D8B"/>
    <w:rsid w:val="529198FF"/>
    <w:rsid w:val="5294A894"/>
    <w:rsid w:val="5297405C"/>
    <w:rsid w:val="52982899"/>
    <w:rsid w:val="529DA37F"/>
    <w:rsid w:val="52A44565"/>
    <w:rsid w:val="52A4C6A7"/>
    <w:rsid w:val="52A6DAB3"/>
    <w:rsid w:val="52A7FA37"/>
    <w:rsid w:val="52AA4BBE"/>
    <w:rsid w:val="52AE368D"/>
    <w:rsid w:val="52B14A89"/>
    <w:rsid w:val="52B42228"/>
    <w:rsid w:val="52BC14EB"/>
    <w:rsid w:val="52BF8077"/>
    <w:rsid w:val="52BF9FE6"/>
    <w:rsid w:val="52C187AB"/>
    <w:rsid w:val="52C47AC6"/>
    <w:rsid w:val="52CAE0F0"/>
    <w:rsid w:val="52CFB361"/>
    <w:rsid w:val="52D22A29"/>
    <w:rsid w:val="52D38A28"/>
    <w:rsid w:val="52D4CC23"/>
    <w:rsid w:val="52D61E7F"/>
    <w:rsid w:val="52D99384"/>
    <w:rsid w:val="52DA0754"/>
    <w:rsid w:val="52DA1696"/>
    <w:rsid w:val="52DE2713"/>
    <w:rsid w:val="52DEA705"/>
    <w:rsid w:val="52E0D7DC"/>
    <w:rsid w:val="52E19B61"/>
    <w:rsid w:val="52E22F7F"/>
    <w:rsid w:val="52E851FA"/>
    <w:rsid w:val="52E8FB65"/>
    <w:rsid w:val="52EA1484"/>
    <w:rsid w:val="52EF8D8F"/>
    <w:rsid w:val="52F2483C"/>
    <w:rsid w:val="52FEAD8D"/>
    <w:rsid w:val="52FF84B3"/>
    <w:rsid w:val="5300D761"/>
    <w:rsid w:val="5302637E"/>
    <w:rsid w:val="530B8334"/>
    <w:rsid w:val="530F607B"/>
    <w:rsid w:val="53102866"/>
    <w:rsid w:val="53102FEF"/>
    <w:rsid w:val="5311D450"/>
    <w:rsid w:val="53121B9B"/>
    <w:rsid w:val="53131194"/>
    <w:rsid w:val="53142338"/>
    <w:rsid w:val="53144480"/>
    <w:rsid w:val="5317470F"/>
    <w:rsid w:val="531900F1"/>
    <w:rsid w:val="531F133F"/>
    <w:rsid w:val="531F3A7B"/>
    <w:rsid w:val="531F7730"/>
    <w:rsid w:val="5326199C"/>
    <w:rsid w:val="5327B3ED"/>
    <w:rsid w:val="53286A84"/>
    <w:rsid w:val="532BC881"/>
    <w:rsid w:val="532E758E"/>
    <w:rsid w:val="532F374E"/>
    <w:rsid w:val="532FE31F"/>
    <w:rsid w:val="53313ED3"/>
    <w:rsid w:val="5331FA81"/>
    <w:rsid w:val="533789F2"/>
    <w:rsid w:val="53418141"/>
    <w:rsid w:val="534403B0"/>
    <w:rsid w:val="53442B88"/>
    <w:rsid w:val="5345F51B"/>
    <w:rsid w:val="53462996"/>
    <w:rsid w:val="5346943D"/>
    <w:rsid w:val="534B5F41"/>
    <w:rsid w:val="534CE541"/>
    <w:rsid w:val="534D235D"/>
    <w:rsid w:val="535579CF"/>
    <w:rsid w:val="535A384C"/>
    <w:rsid w:val="536034AF"/>
    <w:rsid w:val="53628847"/>
    <w:rsid w:val="536948C7"/>
    <w:rsid w:val="536E7843"/>
    <w:rsid w:val="53702A50"/>
    <w:rsid w:val="5370CADB"/>
    <w:rsid w:val="5370DD70"/>
    <w:rsid w:val="5370FB34"/>
    <w:rsid w:val="53765BFF"/>
    <w:rsid w:val="5378593F"/>
    <w:rsid w:val="537BFEF7"/>
    <w:rsid w:val="537DBA6D"/>
    <w:rsid w:val="53818126"/>
    <w:rsid w:val="53884BD0"/>
    <w:rsid w:val="5389C2A0"/>
    <w:rsid w:val="5389CFBE"/>
    <w:rsid w:val="538AE46B"/>
    <w:rsid w:val="538F9DF3"/>
    <w:rsid w:val="539052B4"/>
    <w:rsid w:val="539383E6"/>
    <w:rsid w:val="5394ECB9"/>
    <w:rsid w:val="539CB649"/>
    <w:rsid w:val="53A03B7F"/>
    <w:rsid w:val="53A17FDD"/>
    <w:rsid w:val="53A33D6E"/>
    <w:rsid w:val="53A711E8"/>
    <w:rsid w:val="53AE003F"/>
    <w:rsid w:val="53AEC8A0"/>
    <w:rsid w:val="53AF729A"/>
    <w:rsid w:val="53B49A3B"/>
    <w:rsid w:val="53B59B2E"/>
    <w:rsid w:val="53B751EE"/>
    <w:rsid w:val="53B96A29"/>
    <w:rsid w:val="53B9979B"/>
    <w:rsid w:val="53BD2E0B"/>
    <w:rsid w:val="53BD4CEF"/>
    <w:rsid w:val="53BDB1C3"/>
    <w:rsid w:val="53BEA762"/>
    <w:rsid w:val="53BF0C8A"/>
    <w:rsid w:val="53BF90AE"/>
    <w:rsid w:val="53C19CD3"/>
    <w:rsid w:val="53C1FE18"/>
    <w:rsid w:val="53C5D0BE"/>
    <w:rsid w:val="53C72A84"/>
    <w:rsid w:val="53C763FA"/>
    <w:rsid w:val="53C9B73B"/>
    <w:rsid w:val="53D09328"/>
    <w:rsid w:val="53D3CF91"/>
    <w:rsid w:val="53D43035"/>
    <w:rsid w:val="53D4E98A"/>
    <w:rsid w:val="53DD5C80"/>
    <w:rsid w:val="53DF1F1B"/>
    <w:rsid w:val="53E0FA6E"/>
    <w:rsid w:val="53E36359"/>
    <w:rsid w:val="53E5CA25"/>
    <w:rsid w:val="53EBADCA"/>
    <w:rsid w:val="53EDE568"/>
    <w:rsid w:val="53F146D0"/>
    <w:rsid w:val="53F270E1"/>
    <w:rsid w:val="53F2852D"/>
    <w:rsid w:val="53F3BF4B"/>
    <w:rsid w:val="53F7A782"/>
    <w:rsid w:val="53F7E241"/>
    <w:rsid w:val="53F89C2C"/>
    <w:rsid w:val="53FD6878"/>
    <w:rsid w:val="53FD97BE"/>
    <w:rsid w:val="53FE6128"/>
    <w:rsid w:val="53FE64C2"/>
    <w:rsid w:val="53FE8244"/>
    <w:rsid w:val="54048A49"/>
    <w:rsid w:val="5409C1C2"/>
    <w:rsid w:val="540A2023"/>
    <w:rsid w:val="540CD231"/>
    <w:rsid w:val="540CEA25"/>
    <w:rsid w:val="540FF720"/>
    <w:rsid w:val="5411EE62"/>
    <w:rsid w:val="5414CC0E"/>
    <w:rsid w:val="54168FF6"/>
    <w:rsid w:val="54256F35"/>
    <w:rsid w:val="54262EC5"/>
    <w:rsid w:val="54283289"/>
    <w:rsid w:val="54306235"/>
    <w:rsid w:val="5435E02C"/>
    <w:rsid w:val="54383128"/>
    <w:rsid w:val="543C12CC"/>
    <w:rsid w:val="543DD79A"/>
    <w:rsid w:val="543DE727"/>
    <w:rsid w:val="543E119A"/>
    <w:rsid w:val="543EA531"/>
    <w:rsid w:val="544C1BB5"/>
    <w:rsid w:val="544DFC17"/>
    <w:rsid w:val="544F655A"/>
    <w:rsid w:val="54507A86"/>
    <w:rsid w:val="54579240"/>
    <w:rsid w:val="5457ABD7"/>
    <w:rsid w:val="54583FEF"/>
    <w:rsid w:val="545E3A15"/>
    <w:rsid w:val="545FF384"/>
    <w:rsid w:val="54620318"/>
    <w:rsid w:val="54646539"/>
    <w:rsid w:val="5466A015"/>
    <w:rsid w:val="54693C8D"/>
    <w:rsid w:val="5469505B"/>
    <w:rsid w:val="546DCCEF"/>
    <w:rsid w:val="54720B1D"/>
    <w:rsid w:val="547372DA"/>
    <w:rsid w:val="5474AF78"/>
    <w:rsid w:val="5474B132"/>
    <w:rsid w:val="5476CB94"/>
    <w:rsid w:val="54785B62"/>
    <w:rsid w:val="547F9B38"/>
    <w:rsid w:val="54830FBF"/>
    <w:rsid w:val="54842B74"/>
    <w:rsid w:val="54862654"/>
    <w:rsid w:val="54862946"/>
    <w:rsid w:val="5486CFA4"/>
    <w:rsid w:val="548856FB"/>
    <w:rsid w:val="5488DD42"/>
    <w:rsid w:val="5489D9ED"/>
    <w:rsid w:val="548F7C1E"/>
    <w:rsid w:val="549133A8"/>
    <w:rsid w:val="549D4705"/>
    <w:rsid w:val="549D5348"/>
    <w:rsid w:val="549D7C62"/>
    <w:rsid w:val="549EFD80"/>
    <w:rsid w:val="54A1D77D"/>
    <w:rsid w:val="54A3C1FB"/>
    <w:rsid w:val="54AB1ADD"/>
    <w:rsid w:val="54ADD4FD"/>
    <w:rsid w:val="54B1FDE2"/>
    <w:rsid w:val="54B34221"/>
    <w:rsid w:val="54B49468"/>
    <w:rsid w:val="54B56DBE"/>
    <w:rsid w:val="54B5F050"/>
    <w:rsid w:val="54BB7F69"/>
    <w:rsid w:val="54BE4E49"/>
    <w:rsid w:val="54C087EA"/>
    <w:rsid w:val="54C73E6A"/>
    <w:rsid w:val="54C74A02"/>
    <w:rsid w:val="54C8CD79"/>
    <w:rsid w:val="54CC39CD"/>
    <w:rsid w:val="54CD3DC1"/>
    <w:rsid w:val="54CD9743"/>
    <w:rsid w:val="54D36650"/>
    <w:rsid w:val="54D478C9"/>
    <w:rsid w:val="54D5B2B6"/>
    <w:rsid w:val="54D73BA9"/>
    <w:rsid w:val="54D87DB7"/>
    <w:rsid w:val="54DBF52B"/>
    <w:rsid w:val="54DF608C"/>
    <w:rsid w:val="54E22F2C"/>
    <w:rsid w:val="54F0B0EE"/>
    <w:rsid w:val="54F2B53E"/>
    <w:rsid w:val="54F5769B"/>
    <w:rsid w:val="54F732AD"/>
    <w:rsid w:val="54FA6471"/>
    <w:rsid w:val="54FBF35D"/>
    <w:rsid w:val="54FD6500"/>
    <w:rsid w:val="54FFCF7D"/>
    <w:rsid w:val="5508A352"/>
    <w:rsid w:val="550FB3F3"/>
    <w:rsid w:val="551401C9"/>
    <w:rsid w:val="55148367"/>
    <w:rsid w:val="5514D3E3"/>
    <w:rsid w:val="551564B0"/>
    <w:rsid w:val="551D12E3"/>
    <w:rsid w:val="551F14C3"/>
    <w:rsid w:val="551F43B3"/>
    <w:rsid w:val="5520042B"/>
    <w:rsid w:val="55292109"/>
    <w:rsid w:val="552A62F3"/>
    <w:rsid w:val="552ABE44"/>
    <w:rsid w:val="552AE6B5"/>
    <w:rsid w:val="552D3A98"/>
    <w:rsid w:val="553422CE"/>
    <w:rsid w:val="5536B510"/>
    <w:rsid w:val="5538F69F"/>
    <w:rsid w:val="5539B8E0"/>
    <w:rsid w:val="553B0CE3"/>
    <w:rsid w:val="553EC906"/>
    <w:rsid w:val="55412371"/>
    <w:rsid w:val="55423818"/>
    <w:rsid w:val="55453F0A"/>
    <w:rsid w:val="5546DAF1"/>
    <w:rsid w:val="55487F9C"/>
    <w:rsid w:val="5548B97C"/>
    <w:rsid w:val="5549274B"/>
    <w:rsid w:val="554CCB66"/>
    <w:rsid w:val="555A8DF3"/>
    <w:rsid w:val="555CF104"/>
    <w:rsid w:val="555F8359"/>
    <w:rsid w:val="5562BFAB"/>
    <w:rsid w:val="5563816F"/>
    <w:rsid w:val="556D2024"/>
    <w:rsid w:val="556FD188"/>
    <w:rsid w:val="5571C0FA"/>
    <w:rsid w:val="55721A19"/>
    <w:rsid w:val="55738D69"/>
    <w:rsid w:val="5575F914"/>
    <w:rsid w:val="557614E7"/>
    <w:rsid w:val="5577B70F"/>
    <w:rsid w:val="55823564"/>
    <w:rsid w:val="5587EBDE"/>
    <w:rsid w:val="5588BC88"/>
    <w:rsid w:val="558B7693"/>
    <w:rsid w:val="558B94A9"/>
    <w:rsid w:val="558BAABE"/>
    <w:rsid w:val="558F0291"/>
    <w:rsid w:val="558FEFA6"/>
    <w:rsid w:val="559020CC"/>
    <w:rsid w:val="55902C99"/>
    <w:rsid w:val="5591FF9A"/>
    <w:rsid w:val="55925A9A"/>
    <w:rsid w:val="5592B80B"/>
    <w:rsid w:val="5593949D"/>
    <w:rsid w:val="559411A0"/>
    <w:rsid w:val="5594CF3B"/>
    <w:rsid w:val="5594E1D0"/>
    <w:rsid w:val="5597D35E"/>
    <w:rsid w:val="5598E85F"/>
    <w:rsid w:val="55999C0D"/>
    <w:rsid w:val="559AC1A5"/>
    <w:rsid w:val="559FFFFA"/>
    <w:rsid w:val="55A980AB"/>
    <w:rsid w:val="55ADB1EC"/>
    <w:rsid w:val="55B07A2E"/>
    <w:rsid w:val="55B23A58"/>
    <w:rsid w:val="55B36297"/>
    <w:rsid w:val="55B5A606"/>
    <w:rsid w:val="55B72088"/>
    <w:rsid w:val="55BBAD76"/>
    <w:rsid w:val="55BBB746"/>
    <w:rsid w:val="55BE7185"/>
    <w:rsid w:val="55BF8E0B"/>
    <w:rsid w:val="55C1A768"/>
    <w:rsid w:val="55C90572"/>
    <w:rsid w:val="55CAE5AE"/>
    <w:rsid w:val="55CAE961"/>
    <w:rsid w:val="55CD6E74"/>
    <w:rsid w:val="55CE6110"/>
    <w:rsid w:val="55CFF61E"/>
    <w:rsid w:val="55D1883E"/>
    <w:rsid w:val="55D25281"/>
    <w:rsid w:val="55D51961"/>
    <w:rsid w:val="55D7FE97"/>
    <w:rsid w:val="55D9EB75"/>
    <w:rsid w:val="55DACCF8"/>
    <w:rsid w:val="55E471CC"/>
    <w:rsid w:val="55E48F3B"/>
    <w:rsid w:val="55EB008B"/>
    <w:rsid w:val="55EB2F99"/>
    <w:rsid w:val="55F1BBF4"/>
    <w:rsid w:val="55F4ED62"/>
    <w:rsid w:val="55F81793"/>
    <w:rsid w:val="55F83A74"/>
    <w:rsid w:val="55F98DBC"/>
    <w:rsid w:val="55FA963D"/>
    <w:rsid w:val="55FBC13A"/>
    <w:rsid w:val="55FF3E45"/>
    <w:rsid w:val="55FFA69F"/>
    <w:rsid w:val="5602333E"/>
    <w:rsid w:val="560C9F3F"/>
    <w:rsid w:val="560E2E28"/>
    <w:rsid w:val="5610DC01"/>
    <w:rsid w:val="56128842"/>
    <w:rsid w:val="561327D2"/>
    <w:rsid w:val="561917DB"/>
    <w:rsid w:val="561A3ECF"/>
    <w:rsid w:val="561C5589"/>
    <w:rsid w:val="561CF7AD"/>
    <w:rsid w:val="561D3BB8"/>
    <w:rsid w:val="561EBB62"/>
    <w:rsid w:val="562721C8"/>
    <w:rsid w:val="5627F40E"/>
    <w:rsid w:val="5629FCB1"/>
    <w:rsid w:val="562AD9FD"/>
    <w:rsid w:val="563491F3"/>
    <w:rsid w:val="563857FE"/>
    <w:rsid w:val="56425F07"/>
    <w:rsid w:val="5645012F"/>
    <w:rsid w:val="56458919"/>
    <w:rsid w:val="5648D172"/>
    <w:rsid w:val="564CBA81"/>
    <w:rsid w:val="56528B93"/>
    <w:rsid w:val="56546E4C"/>
    <w:rsid w:val="5658ABA5"/>
    <w:rsid w:val="565A2428"/>
    <w:rsid w:val="565B008F"/>
    <w:rsid w:val="565EE0C2"/>
    <w:rsid w:val="5666EE6E"/>
    <w:rsid w:val="5667A800"/>
    <w:rsid w:val="5668084D"/>
    <w:rsid w:val="56686957"/>
    <w:rsid w:val="56708B66"/>
    <w:rsid w:val="56711D66"/>
    <w:rsid w:val="567246A6"/>
    <w:rsid w:val="567534EE"/>
    <w:rsid w:val="5676A250"/>
    <w:rsid w:val="567F1F2D"/>
    <w:rsid w:val="567F6A1A"/>
    <w:rsid w:val="56830499"/>
    <w:rsid w:val="5683758F"/>
    <w:rsid w:val="56838365"/>
    <w:rsid w:val="568775CE"/>
    <w:rsid w:val="568ED206"/>
    <w:rsid w:val="56926FAC"/>
    <w:rsid w:val="56A24BA9"/>
    <w:rsid w:val="56A43E6B"/>
    <w:rsid w:val="56A838A7"/>
    <w:rsid w:val="56A8B71D"/>
    <w:rsid w:val="56A91508"/>
    <w:rsid w:val="56A9CC5D"/>
    <w:rsid w:val="56AC68ED"/>
    <w:rsid w:val="56B099ED"/>
    <w:rsid w:val="56B3D82E"/>
    <w:rsid w:val="56B6A159"/>
    <w:rsid w:val="56B795BA"/>
    <w:rsid w:val="56B8CB05"/>
    <w:rsid w:val="56B8FC36"/>
    <w:rsid w:val="56BDAC2D"/>
    <w:rsid w:val="56C6E652"/>
    <w:rsid w:val="56C8A7ED"/>
    <w:rsid w:val="56C9C944"/>
    <w:rsid w:val="56CB35C7"/>
    <w:rsid w:val="56D0F342"/>
    <w:rsid w:val="56D24279"/>
    <w:rsid w:val="56D2430C"/>
    <w:rsid w:val="56D374A9"/>
    <w:rsid w:val="56D6EE49"/>
    <w:rsid w:val="56DA468D"/>
    <w:rsid w:val="56DD9D25"/>
    <w:rsid w:val="56DEB0F4"/>
    <w:rsid w:val="56E4C4F9"/>
    <w:rsid w:val="56E6A586"/>
    <w:rsid w:val="56E7BF58"/>
    <w:rsid w:val="56E97BDB"/>
    <w:rsid w:val="56F8406F"/>
    <w:rsid w:val="56FABC43"/>
    <w:rsid w:val="57044D0D"/>
    <w:rsid w:val="570BD47D"/>
    <w:rsid w:val="57115F37"/>
    <w:rsid w:val="5713C617"/>
    <w:rsid w:val="5718615C"/>
    <w:rsid w:val="571C154E"/>
    <w:rsid w:val="571FF425"/>
    <w:rsid w:val="572285FF"/>
    <w:rsid w:val="5725AEBA"/>
    <w:rsid w:val="572FBD09"/>
    <w:rsid w:val="5735A3F7"/>
    <w:rsid w:val="5735DC55"/>
    <w:rsid w:val="57390F47"/>
    <w:rsid w:val="5739D531"/>
    <w:rsid w:val="573AD87B"/>
    <w:rsid w:val="573BE4F6"/>
    <w:rsid w:val="573ED947"/>
    <w:rsid w:val="573F3A7A"/>
    <w:rsid w:val="5740143D"/>
    <w:rsid w:val="57407DDD"/>
    <w:rsid w:val="57410566"/>
    <w:rsid w:val="5741A990"/>
    <w:rsid w:val="5741B789"/>
    <w:rsid w:val="5744A77D"/>
    <w:rsid w:val="574EC911"/>
    <w:rsid w:val="574FF71E"/>
    <w:rsid w:val="5752A0A3"/>
    <w:rsid w:val="57587F16"/>
    <w:rsid w:val="575D5BDC"/>
    <w:rsid w:val="5767997D"/>
    <w:rsid w:val="577253DB"/>
    <w:rsid w:val="57827F5B"/>
    <w:rsid w:val="578681F1"/>
    <w:rsid w:val="578B12B3"/>
    <w:rsid w:val="578E1675"/>
    <w:rsid w:val="5795CC07"/>
    <w:rsid w:val="5797F470"/>
    <w:rsid w:val="5799DD50"/>
    <w:rsid w:val="579AFC14"/>
    <w:rsid w:val="579C16D8"/>
    <w:rsid w:val="579D55B5"/>
    <w:rsid w:val="579E4CA0"/>
    <w:rsid w:val="579F1972"/>
    <w:rsid w:val="579F2600"/>
    <w:rsid w:val="57A7DDC2"/>
    <w:rsid w:val="57A9102D"/>
    <w:rsid w:val="57A9F48A"/>
    <w:rsid w:val="57AACA98"/>
    <w:rsid w:val="57AC382C"/>
    <w:rsid w:val="57ACB129"/>
    <w:rsid w:val="57BE7AA4"/>
    <w:rsid w:val="57C2635B"/>
    <w:rsid w:val="57C3892F"/>
    <w:rsid w:val="57C6C051"/>
    <w:rsid w:val="57C7D632"/>
    <w:rsid w:val="57C9D146"/>
    <w:rsid w:val="57CA9DD4"/>
    <w:rsid w:val="57CEAB71"/>
    <w:rsid w:val="57D0F418"/>
    <w:rsid w:val="57D2F244"/>
    <w:rsid w:val="57D33E19"/>
    <w:rsid w:val="57D634DE"/>
    <w:rsid w:val="57D68A12"/>
    <w:rsid w:val="57DAC88B"/>
    <w:rsid w:val="57DCDC55"/>
    <w:rsid w:val="57E0121E"/>
    <w:rsid w:val="57E8463E"/>
    <w:rsid w:val="57EB5E58"/>
    <w:rsid w:val="57ECA362"/>
    <w:rsid w:val="57F4AFB1"/>
    <w:rsid w:val="57F4C012"/>
    <w:rsid w:val="57F4FE2B"/>
    <w:rsid w:val="57F88770"/>
    <w:rsid w:val="57FC274C"/>
    <w:rsid w:val="57FDEAF3"/>
    <w:rsid w:val="580151FE"/>
    <w:rsid w:val="58017057"/>
    <w:rsid w:val="5803BB2B"/>
    <w:rsid w:val="580A5060"/>
    <w:rsid w:val="580AE10C"/>
    <w:rsid w:val="580F73B4"/>
    <w:rsid w:val="581442F9"/>
    <w:rsid w:val="581686F4"/>
    <w:rsid w:val="581EE2AE"/>
    <w:rsid w:val="58211338"/>
    <w:rsid w:val="58243626"/>
    <w:rsid w:val="58246D78"/>
    <w:rsid w:val="58258236"/>
    <w:rsid w:val="582BF890"/>
    <w:rsid w:val="582D4E21"/>
    <w:rsid w:val="582FF64E"/>
    <w:rsid w:val="58311F75"/>
    <w:rsid w:val="583173BE"/>
    <w:rsid w:val="58321EC8"/>
    <w:rsid w:val="58330AC9"/>
    <w:rsid w:val="58330CD1"/>
    <w:rsid w:val="5833B071"/>
    <w:rsid w:val="58359D56"/>
    <w:rsid w:val="58379233"/>
    <w:rsid w:val="58383EA4"/>
    <w:rsid w:val="583851F4"/>
    <w:rsid w:val="5838D711"/>
    <w:rsid w:val="583F4E4A"/>
    <w:rsid w:val="5840EAB7"/>
    <w:rsid w:val="5841B18B"/>
    <w:rsid w:val="58450B98"/>
    <w:rsid w:val="5845EB58"/>
    <w:rsid w:val="5848E486"/>
    <w:rsid w:val="584C3021"/>
    <w:rsid w:val="584D1E13"/>
    <w:rsid w:val="58508F7B"/>
    <w:rsid w:val="5851D894"/>
    <w:rsid w:val="58524534"/>
    <w:rsid w:val="5858FBE4"/>
    <w:rsid w:val="585A1C4A"/>
    <w:rsid w:val="585A1CD2"/>
    <w:rsid w:val="585A6EED"/>
    <w:rsid w:val="585AE37E"/>
    <w:rsid w:val="585DFA9A"/>
    <w:rsid w:val="585F8017"/>
    <w:rsid w:val="5866FC20"/>
    <w:rsid w:val="58670752"/>
    <w:rsid w:val="586AF105"/>
    <w:rsid w:val="586BAD7F"/>
    <w:rsid w:val="58735779"/>
    <w:rsid w:val="5878AA93"/>
    <w:rsid w:val="587C1C47"/>
    <w:rsid w:val="587FA7EF"/>
    <w:rsid w:val="588F442F"/>
    <w:rsid w:val="58930784"/>
    <w:rsid w:val="5894EDC7"/>
    <w:rsid w:val="58952035"/>
    <w:rsid w:val="589AA9C8"/>
    <w:rsid w:val="589B6338"/>
    <w:rsid w:val="589DEDCF"/>
    <w:rsid w:val="589EBA59"/>
    <w:rsid w:val="58A08BE6"/>
    <w:rsid w:val="58A61B07"/>
    <w:rsid w:val="58A6901B"/>
    <w:rsid w:val="58A7D065"/>
    <w:rsid w:val="58A7FA1B"/>
    <w:rsid w:val="58A824ED"/>
    <w:rsid w:val="58A8766D"/>
    <w:rsid w:val="58A995F2"/>
    <w:rsid w:val="58AB2C8F"/>
    <w:rsid w:val="58B09799"/>
    <w:rsid w:val="58B3B753"/>
    <w:rsid w:val="58B46FE0"/>
    <w:rsid w:val="58B7722C"/>
    <w:rsid w:val="58B89D93"/>
    <w:rsid w:val="58C0AD51"/>
    <w:rsid w:val="58C2AB53"/>
    <w:rsid w:val="58C4B61F"/>
    <w:rsid w:val="58C5AC5C"/>
    <w:rsid w:val="58C60B7C"/>
    <w:rsid w:val="58CD7263"/>
    <w:rsid w:val="58CDDE2A"/>
    <w:rsid w:val="58D302E9"/>
    <w:rsid w:val="58D53B34"/>
    <w:rsid w:val="58D8FBEF"/>
    <w:rsid w:val="58DB093B"/>
    <w:rsid w:val="58DB54C0"/>
    <w:rsid w:val="58DC4448"/>
    <w:rsid w:val="58DCD64F"/>
    <w:rsid w:val="58DD165C"/>
    <w:rsid w:val="58DF4F9F"/>
    <w:rsid w:val="58E8157E"/>
    <w:rsid w:val="58EC0C43"/>
    <w:rsid w:val="58F03B54"/>
    <w:rsid w:val="58F2B1CF"/>
    <w:rsid w:val="58F6ED93"/>
    <w:rsid w:val="58F7C6F5"/>
    <w:rsid w:val="58FB0896"/>
    <w:rsid w:val="590BD46D"/>
    <w:rsid w:val="590C9026"/>
    <w:rsid w:val="590D48AC"/>
    <w:rsid w:val="590FE029"/>
    <w:rsid w:val="5911C5EF"/>
    <w:rsid w:val="59203E5A"/>
    <w:rsid w:val="59253BAC"/>
    <w:rsid w:val="59256C80"/>
    <w:rsid w:val="592584C9"/>
    <w:rsid w:val="5927D77F"/>
    <w:rsid w:val="5928BA1E"/>
    <w:rsid w:val="592C67F9"/>
    <w:rsid w:val="592D72DA"/>
    <w:rsid w:val="5930A2EC"/>
    <w:rsid w:val="593239ED"/>
    <w:rsid w:val="59380CD7"/>
    <w:rsid w:val="5938E2B7"/>
    <w:rsid w:val="593B6B54"/>
    <w:rsid w:val="5942F0A6"/>
    <w:rsid w:val="594451CA"/>
    <w:rsid w:val="594EDE93"/>
    <w:rsid w:val="5952AD7E"/>
    <w:rsid w:val="59538A69"/>
    <w:rsid w:val="5954CEF3"/>
    <w:rsid w:val="5955122F"/>
    <w:rsid w:val="5958FFD4"/>
    <w:rsid w:val="5959CEC9"/>
    <w:rsid w:val="595E7D45"/>
    <w:rsid w:val="59602A1B"/>
    <w:rsid w:val="5962A971"/>
    <w:rsid w:val="5967CC74"/>
    <w:rsid w:val="596EB81B"/>
    <w:rsid w:val="5974F17B"/>
    <w:rsid w:val="5975D032"/>
    <w:rsid w:val="59777980"/>
    <w:rsid w:val="5979F711"/>
    <w:rsid w:val="597ADD75"/>
    <w:rsid w:val="597F0AA8"/>
    <w:rsid w:val="598355EF"/>
    <w:rsid w:val="598CDEEF"/>
    <w:rsid w:val="59918F54"/>
    <w:rsid w:val="5994F90D"/>
    <w:rsid w:val="5999A258"/>
    <w:rsid w:val="599C6320"/>
    <w:rsid w:val="599CF832"/>
    <w:rsid w:val="59A155C8"/>
    <w:rsid w:val="59AD6893"/>
    <w:rsid w:val="59B1E55B"/>
    <w:rsid w:val="59B35161"/>
    <w:rsid w:val="59B921B6"/>
    <w:rsid w:val="59B9C3F7"/>
    <w:rsid w:val="59BD9C3E"/>
    <w:rsid w:val="59BE0FD4"/>
    <w:rsid w:val="59BEA881"/>
    <w:rsid w:val="59BEF53C"/>
    <w:rsid w:val="59C98AEF"/>
    <w:rsid w:val="59CB4A14"/>
    <w:rsid w:val="59CD10AD"/>
    <w:rsid w:val="59CD6324"/>
    <w:rsid w:val="59CE9B65"/>
    <w:rsid w:val="59D455F8"/>
    <w:rsid w:val="59D94B84"/>
    <w:rsid w:val="59E08B14"/>
    <w:rsid w:val="59E102B2"/>
    <w:rsid w:val="59E2123C"/>
    <w:rsid w:val="59E22FEE"/>
    <w:rsid w:val="59E39A80"/>
    <w:rsid w:val="59E3B802"/>
    <w:rsid w:val="59E4807D"/>
    <w:rsid w:val="59E755F3"/>
    <w:rsid w:val="59E9F9AF"/>
    <w:rsid w:val="59EA5C97"/>
    <w:rsid w:val="59ED56D1"/>
    <w:rsid w:val="59F000DD"/>
    <w:rsid w:val="59F4B903"/>
    <w:rsid w:val="59F5477F"/>
    <w:rsid w:val="59F9B82D"/>
    <w:rsid w:val="59FDA889"/>
    <w:rsid w:val="5A01FDAF"/>
    <w:rsid w:val="5A0A48C0"/>
    <w:rsid w:val="5A0BC77E"/>
    <w:rsid w:val="5A1418FA"/>
    <w:rsid w:val="5A148F94"/>
    <w:rsid w:val="5A1712E7"/>
    <w:rsid w:val="5A17C8F5"/>
    <w:rsid w:val="5A1F4F66"/>
    <w:rsid w:val="5A1FC2C8"/>
    <w:rsid w:val="5A20734A"/>
    <w:rsid w:val="5A216155"/>
    <w:rsid w:val="5A22A39B"/>
    <w:rsid w:val="5A23E7F6"/>
    <w:rsid w:val="5A2C2D24"/>
    <w:rsid w:val="5A31AF15"/>
    <w:rsid w:val="5A325917"/>
    <w:rsid w:val="5A32E8AD"/>
    <w:rsid w:val="5A3440B5"/>
    <w:rsid w:val="5A3441A2"/>
    <w:rsid w:val="5A393CE8"/>
    <w:rsid w:val="5A3C4684"/>
    <w:rsid w:val="5A3F47E8"/>
    <w:rsid w:val="5A3F6370"/>
    <w:rsid w:val="5A468E1A"/>
    <w:rsid w:val="5A5A5E6F"/>
    <w:rsid w:val="5A5AFA82"/>
    <w:rsid w:val="5A5C3E10"/>
    <w:rsid w:val="5A5DF1E4"/>
    <w:rsid w:val="5A61BF48"/>
    <w:rsid w:val="5A636AE1"/>
    <w:rsid w:val="5A66828A"/>
    <w:rsid w:val="5A6A81B7"/>
    <w:rsid w:val="5A6C2D7B"/>
    <w:rsid w:val="5A7095F9"/>
    <w:rsid w:val="5A77444A"/>
    <w:rsid w:val="5A7A6CC4"/>
    <w:rsid w:val="5A7B8CBF"/>
    <w:rsid w:val="5A7E979E"/>
    <w:rsid w:val="5A82930F"/>
    <w:rsid w:val="5A82AD22"/>
    <w:rsid w:val="5A8567E8"/>
    <w:rsid w:val="5A876947"/>
    <w:rsid w:val="5A879B3B"/>
    <w:rsid w:val="5A88E023"/>
    <w:rsid w:val="5A8F0B3F"/>
    <w:rsid w:val="5A93C887"/>
    <w:rsid w:val="5A95D2FF"/>
    <w:rsid w:val="5A9949F2"/>
    <w:rsid w:val="5A9998E3"/>
    <w:rsid w:val="5A9D05CD"/>
    <w:rsid w:val="5AA15CAA"/>
    <w:rsid w:val="5AA23789"/>
    <w:rsid w:val="5AA25112"/>
    <w:rsid w:val="5AA92F41"/>
    <w:rsid w:val="5AAD2253"/>
    <w:rsid w:val="5AB2529A"/>
    <w:rsid w:val="5AB394F6"/>
    <w:rsid w:val="5AB3EE6E"/>
    <w:rsid w:val="5ABAF5AB"/>
    <w:rsid w:val="5ABC3653"/>
    <w:rsid w:val="5ABD0876"/>
    <w:rsid w:val="5ABFC2F1"/>
    <w:rsid w:val="5AC0BFB9"/>
    <w:rsid w:val="5AC0ECA7"/>
    <w:rsid w:val="5AC1827E"/>
    <w:rsid w:val="5AC31071"/>
    <w:rsid w:val="5AC3CABD"/>
    <w:rsid w:val="5AC40B8D"/>
    <w:rsid w:val="5AC40DE2"/>
    <w:rsid w:val="5AC49773"/>
    <w:rsid w:val="5AC51524"/>
    <w:rsid w:val="5AC520EF"/>
    <w:rsid w:val="5AC6271B"/>
    <w:rsid w:val="5AC79A47"/>
    <w:rsid w:val="5AC7EEE4"/>
    <w:rsid w:val="5ACD6596"/>
    <w:rsid w:val="5AD05B0A"/>
    <w:rsid w:val="5AD30101"/>
    <w:rsid w:val="5AD87144"/>
    <w:rsid w:val="5ADB5B25"/>
    <w:rsid w:val="5ADF81BE"/>
    <w:rsid w:val="5AE0F84F"/>
    <w:rsid w:val="5AE22A00"/>
    <w:rsid w:val="5AE2F2C8"/>
    <w:rsid w:val="5AF6748C"/>
    <w:rsid w:val="5B023135"/>
    <w:rsid w:val="5B0498B1"/>
    <w:rsid w:val="5B0511F6"/>
    <w:rsid w:val="5B0D3428"/>
    <w:rsid w:val="5B11D226"/>
    <w:rsid w:val="5B13F04A"/>
    <w:rsid w:val="5B145061"/>
    <w:rsid w:val="5B17299C"/>
    <w:rsid w:val="5B174A74"/>
    <w:rsid w:val="5B1995FC"/>
    <w:rsid w:val="5B19CC31"/>
    <w:rsid w:val="5B1B6459"/>
    <w:rsid w:val="5B1B6788"/>
    <w:rsid w:val="5B1C9B97"/>
    <w:rsid w:val="5B1DF463"/>
    <w:rsid w:val="5B1E57BC"/>
    <w:rsid w:val="5B1FB042"/>
    <w:rsid w:val="5B200014"/>
    <w:rsid w:val="5B211578"/>
    <w:rsid w:val="5B267883"/>
    <w:rsid w:val="5B269DDC"/>
    <w:rsid w:val="5B2ADBDD"/>
    <w:rsid w:val="5B2AF333"/>
    <w:rsid w:val="5B2CC4F7"/>
    <w:rsid w:val="5B2DB85D"/>
    <w:rsid w:val="5B2FEFB2"/>
    <w:rsid w:val="5B30AF55"/>
    <w:rsid w:val="5B310A4A"/>
    <w:rsid w:val="5B3340FF"/>
    <w:rsid w:val="5B36D900"/>
    <w:rsid w:val="5B3B2F31"/>
    <w:rsid w:val="5B3D0878"/>
    <w:rsid w:val="5B42299E"/>
    <w:rsid w:val="5B48344A"/>
    <w:rsid w:val="5B4ABCB8"/>
    <w:rsid w:val="5B4B3942"/>
    <w:rsid w:val="5B5231AC"/>
    <w:rsid w:val="5B57FBC7"/>
    <w:rsid w:val="5B5AC449"/>
    <w:rsid w:val="5B5CA867"/>
    <w:rsid w:val="5B5DF9B3"/>
    <w:rsid w:val="5B5EEC04"/>
    <w:rsid w:val="5B5EF73F"/>
    <w:rsid w:val="5B634D07"/>
    <w:rsid w:val="5B6460BA"/>
    <w:rsid w:val="5B650C11"/>
    <w:rsid w:val="5B65A076"/>
    <w:rsid w:val="5B6A3723"/>
    <w:rsid w:val="5B6AC017"/>
    <w:rsid w:val="5B6CFD4E"/>
    <w:rsid w:val="5B6D0F22"/>
    <w:rsid w:val="5B6D6838"/>
    <w:rsid w:val="5B75C164"/>
    <w:rsid w:val="5B75EBA1"/>
    <w:rsid w:val="5B76F0E1"/>
    <w:rsid w:val="5B77E5CE"/>
    <w:rsid w:val="5B84F55E"/>
    <w:rsid w:val="5B86B7A3"/>
    <w:rsid w:val="5B8A6870"/>
    <w:rsid w:val="5B8B0D2B"/>
    <w:rsid w:val="5B8D4B0B"/>
    <w:rsid w:val="5B905C76"/>
    <w:rsid w:val="5B91A2CF"/>
    <w:rsid w:val="5B95FD3F"/>
    <w:rsid w:val="5B97E7C1"/>
    <w:rsid w:val="5B98DBE1"/>
    <w:rsid w:val="5B9939CE"/>
    <w:rsid w:val="5B9BBCE4"/>
    <w:rsid w:val="5B9DEDB5"/>
    <w:rsid w:val="5B9EBE38"/>
    <w:rsid w:val="5B9FAF95"/>
    <w:rsid w:val="5BA0B051"/>
    <w:rsid w:val="5BA39185"/>
    <w:rsid w:val="5BA4AE2C"/>
    <w:rsid w:val="5BA79B13"/>
    <w:rsid w:val="5BAB6AFE"/>
    <w:rsid w:val="5BAEEA16"/>
    <w:rsid w:val="5BB164DD"/>
    <w:rsid w:val="5BB5A64A"/>
    <w:rsid w:val="5BBAA099"/>
    <w:rsid w:val="5BBAAFEE"/>
    <w:rsid w:val="5BBD99AA"/>
    <w:rsid w:val="5BBF944D"/>
    <w:rsid w:val="5BC046D1"/>
    <w:rsid w:val="5BC3B350"/>
    <w:rsid w:val="5BC51C86"/>
    <w:rsid w:val="5BC75543"/>
    <w:rsid w:val="5BCB4518"/>
    <w:rsid w:val="5BCD06CA"/>
    <w:rsid w:val="5BD08359"/>
    <w:rsid w:val="5BD34318"/>
    <w:rsid w:val="5BD4F2E5"/>
    <w:rsid w:val="5BD984A4"/>
    <w:rsid w:val="5BD9A88A"/>
    <w:rsid w:val="5BDAC67D"/>
    <w:rsid w:val="5BDF271C"/>
    <w:rsid w:val="5BDF94A8"/>
    <w:rsid w:val="5BE28428"/>
    <w:rsid w:val="5BE2B1CF"/>
    <w:rsid w:val="5BE7A16F"/>
    <w:rsid w:val="5BECA23E"/>
    <w:rsid w:val="5BF6EA70"/>
    <w:rsid w:val="5BF9D200"/>
    <w:rsid w:val="5BFAC1DB"/>
    <w:rsid w:val="5BFD38B1"/>
    <w:rsid w:val="5BFD62B7"/>
    <w:rsid w:val="5C05C8FE"/>
    <w:rsid w:val="5C064782"/>
    <w:rsid w:val="5C071EEA"/>
    <w:rsid w:val="5C075FF5"/>
    <w:rsid w:val="5C0A71EA"/>
    <w:rsid w:val="5C0E83D2"/>
    <w:rsid w:val="5C0ECD44"/>
    <w:rsid w:val="5C1692EB"/>
    <w:rsid w:val="5C1DE7DD"/>
    <w:rsid w:val="5C1E0FEB"/>
    <w:rsid w:val="5C1E4759"/>
    <w:rsid w:val="5C215E57"/>
    <w:rsid w:val="5C219E5B"/>
    <w:rsid w:val="5C22AACC"/>
    <w:rsid w:val="5C25CA96"/>
    <w:rsid w:val="5C277D0E"/>
    <w:rsid w:val="5C27C6E7"/>
    <w:rsid w:val="5C27E911"/>
    <w:rsid w:val="5C283AB1"/>
    <w:rsid w:val="5C2B774F"/>
    <w:rsid w:val="5C2C9C46"/>
    <w:rsid w:val="5C2CAFC0"/>
    <w:rsid w:val="5C2E026D"/>
    <w:rsid w:val="5C32D7F6"/>
    <w:rsid w:val="5C38CD2D"/>
    <w:rsid w:val="5C3C2BBC"/>
    <w:rsid w:val="5C3EE7F7"/>
    <w:rsid w:val="5C407114"/>
    <w:rsid w:val="5C42D643"/>
    <w:rsid w:val="5C44F594"/>
    <w:rsid w:val="5C494ED7"/>
    <w:rsid w:val="5C4D305A"/>
    <w:rsid w:val="5C511D9A"/>
    <w:rsid w:val="5C529966"/>
    <w:rsid w:val="5C575FB4"/>
    <w:rsid w:val="5C5A738F"/>
    <w:rsid w:val="5C63EEA8"/>
    <w:rsid w:val="5C65B420"/>
    <w:rsid w:val="5C674EE0"/>
    <w:rsid w:val="5C6753D8"/>
    <w:rsid w:val="5C69C1C1"/>
    <w:rsid w:val="5C6A03F7"/>
    <w:rsid w:val="5C6D13EA"/>
    <w:rsid w:val="5C6F26B1"/>
    <w:rsid w:val="5C730C1B"/>
    <w:rsid w:val="5C7344FA"/>
    <w:rsid w:val="5C73654E"/>
    <w:rsid w:val="5C737872"/>
    <w:rsid w:val="5C760983"/>
    <w:rsid w:val="5C795565"/>
    <w:rsid w:val="5C7D7BA1"/>
    <w:rsid w:val="5C8102FB"/>
    <w:rsid w:val="5C8132FE"/>
    <w:rsid w:val="5C880B97"/>
    <w:rsid w:val="5C89BBBA"/>
    <w:rsid w:val="5C8E3634"/>
    <w:rsid w:val="5C953776"/>
    <w:rsid w:val="5C95F0B8"/>
    <w:rsid w:val="5C9778D0"/>
    <w:rsid w:val="5C9A2306"/>
    <w:rsid w:val="5C9AAF0F"/>
    <w:rsid w:val="5C9C62B4"/>
    <w:rsid w:val="5CA11EE4"/>
    <w:rsid w:val="5CA13185"/>
    <w:rsid w:val="5CA1A100"/>
    <w:rsid w:val="5CA44A16"/>
    <w:rsid w:val="5CA45519"/>
    <w:rsid w:val="5CA72A6E"/>
    <w:rsid w:val="5CB1A1BC"/>
    <w:rsid w:val="5CB1E91F"/>
    <w:rsid w:val="5CB3F231"/>
    <w:rsid w:val="5CB4459A"/>
    <w:rsid w:val="5CB457A4"/>
    <w:rsid w:val="5CB611B9"/>
    <w:rsid w:val="5CB96249"/>
    <w:rsid w:val="5CBD29CE"/>
    <w:rsid w:val="5CBD5D3F"/>
    <w:rsid w:val="5CC3F29D"/>
    <w:rsid w:val="5CC81F07"/>
    <w:rsid w:val="5CC9733D"/>
    <w:rsid w:val="5CC9A7BF"/>
    <w:rsid w:val="5CD218F4"/>
    <w:rsid w:val="5CD3E261"/>
    <w:rsid w:val="5CDADC0B"/>
    <w:rsid w:val="5CDD74F0"/>
    <w:rsid w:val="5CDDD394"/>
    <w:rsid w:val="5CDFB0F0"/>
    <w:rsid w:val="5CE35378"/>
    <w:rsid w:val="5CE6AB69"/>
    <w:rsid w:val="5CE77CC8"/>
    <w:rsid w:val="5CE7F87A"/>
    <w:rsid w:val="5CECF531"/>
    <w:rsid w:val="5CF12FF9"/>
    <w:rsid w:val="5CF493EB"/>
    <w:rsid w:val="5CF68E45"/>
    <w:rsid w:val="5CF8997B"/>
    <w:rsid w:val="5CF9B817"/>
    <w:rsid w:val="5CFA46A7"/>
    <w:rsid w:val="5CFAD9A7"/>
    <w:rsid w:val="5CFEF11A"/>
    <w:rsid w:val="5D083CE1"/>
    <w:rsid w:val="5D0C3A33"/>
    <w:rsid w:val="5D0E55F0"/>
    <w:rsid w:val="5D1AAFD9"/>
    <w:rsid w:val="5D1C4579"/>
    <w:rsid w:val="5D1FED21"/>
    <w:rsid w:val="5D28B385"/>
    <w:rsid w:val="5D28CD47"/>
    <w:rsid w:val="5D2A8539"/>
    <w:rsid w:val="5D2BB5F6"/>
    <w:rsid w:val="5D2DD10D"/>
    <w:rsid w:val="5D2F3456"/>
    <w:rsid w:val="5D31775A"/>
    <w:rsid w:val="5D39FF0A"/>
    <w:rsid w:val="5D3A26F2"/>
    <w:rsid w:val="5D3C4059"/>
    <w:rsid w:val="5D3E3055"/>
    <w:rsid w:val="5D3EB3E0"/>
    <w:rsid w:val="5D3ECD74"/>
    <w:rsid w:val="5D43A229"/>
    <w:rsid w:val="5D481C70"/>
    <w:rsid w:val="5D48DFAF"/>
    <w:rsid w:val="5D4EBFAC"/>
    <w:rsid w:val="5D4FAD8A"/>
    <w:rsid w:val="5D5372F7"/>
    <w:rsid w:val="5D564043"/>
    <w:rsid w:val="5D5827F0"/>
    <w:rsid w:val="5D58AF7C"/>
    <w:rsid w:val="5D5BB3F0"/>
    <w:rsid w:val="5D6420C3"/>
    <w:rsid w:val="5D681E55"/>
    <w:rsid w:val="5D69FC98"/>
    <w:rsid w:val="5D6DC9BC"/>
    <w:rsid w:val="5D7009D5"/>
    <w:rsid w:val="5D881935"/>
    <w:rsid w:val="5D8B313E"/>
    <w:rsid w:val="5D8BA5DE"/>
    <w:rsid w:val="5D8EB334"/>
    <w:rsid w:val="5D90E89B"/>
    <w:rsid w:val="5D93D0F5"/>
    <w:rsid w:val="5D96387B"/>
    <w:rsid w:val="5D96B5D2"/>
    <w:rsid w:val="5D9C01F4"/>
    <w:rsid w:val="5D9C8E68"/>
    <w:rsid w:val="5D9E6D49"/>
    <w:rsid w:val="5DA0AC27"/>
    <w:rsid w:val="5DA46222"/>
    <w:rsid w:val="5DA54458"/>
    <w:rsid w:val="5DAB2167"/>
    <w:rsid w:val="5DAC7E65"/>
    <w:rsid w:val="5DBAC3EF"/>
    <w:rsid w:val="5DBCFAFD"/>
    <w:rsid w:val="5DBEDA46"/>
    <w:rsid w:val="5DBFD85A"/>
    <w:rsid w:val="5DC47859"/>
    <w:rsid w:val="5DC55EB4"/>
    <w:rsid w:val="5DC5654A"/>
    <w:rsid w:val="5DC6BA6C"/>
    <w:rsid w:val="5DC9B59F"/>
    <w:rsid w:val="5DD099E7"/>
    <w:rsid w:val="5DDBDAFD"/>
    <w:rsid w:val="5DE554D0"/>
    <w:rsid w:val="5DEB7926"/>
    <w:rsid w:val="5DEF52DE"/>
    <w:rsid w:val="5DEFA41D"/>
    <w:rsid w:val="5DF1FA6B"/>
    <w:rsid w:val="5DF30D0A"/>
    <w:rsid w:val="5DF507D9"/>
    <w:rsid w:val="5DF5131B"/>
    <w:rsid w:val="5DFB684B"/>
    <w:rsid w:val="5DFB920C"/>
    <w:rsid w:val="5DFD9C20"/>
    <w:rsid w:val="5DFDF36E"/>
    <w:rsid w:val="5DFF4698"/>
    <w:rsid w:val="5E042F2D"/>
    <w:rsid w:val="5E0A2035"/>
    <w:rsid w:val="5E0CDE7C"/>
    <w:rsid w:val="5E12CBD8"/>
    <w:rsid w:val="5E1636AB"/>
    <w:rsid w:val="5E179658"/>
    <w:rsid w:val="5E1ABFC6"/>
    <w:rsid w:val="5E1E81C1"/>
    <w:rsid w:val="5E205A28"/>
    <w:rsid w:val="5E22A26E"/>
    <w:rsid w:val="5E26A457"/>
    <w:rsid w:val="5E2D4724"/>
    <w:rsid w:val="5E2E0B0F"/>
    <w:rsid w:val="5E2F8A38"/>
    <w:rsid w:val="5E321080"/>
    <w:rsid w:val="5E35C685"/>
    <w:rsid w:val="5E3CF7E1"/>
    <w:rsid w:val="5E3DB397"/>
    <w:rsid w:val="5E3EBE91"/>
    <w:rsid w:val="5E417037"/>
    <w:rsid w:val="5E44A903"/>
    <w:rsid w:val="5E46F782"/>
    <w:rsid w:val="5E4BBDDA"/>
    <w:rsid w:val="5E4CE04E"/>
    <w:rsid w:val="5E4DD1E8"/>
    <w:rsid w:val="5E52E5A9"/>
    <w:rsid w:val="5E556327"/>
    <w:rsid w:val="5E578044"/>
    <w:rsid w:val="5E588AFD"/>
    <w:rsid w:val="5E5E9551"/>
    <w:rsid w:val="5E5FC4D5"/>
    <w:rsid w:val="5E6AE2B1"/>
    <w:rsid w:val="5E6BD43F"/>
    <w:rsid w:val="5E6E79B8"/>
    <w:rsid w:val="5E7B00F8"/>
    <w:rsid w:val="5E7CD6EE"/>
    <w:rsid w:val="5E80D68A"/>
    <w:rsid w:val="5E85F556"/>
    <w:rsid w:val="5E922B1E"/>
    <w:rsid w:val="5E926533"/>
    <w:rsid w:val="5E94DBB1"/>
    <w:rsid w:val="5E958EFC"/>
    <w:rsid w:val="5E98AD9C"/>
    <w:rsid w:val="5E9981C5"/>
    <w:rsid w:val="5E9B6D91"/>
    <w:rsid w:val="5E9EFE0B"/>
    <w:rsid w:val="5EA14B1E"/>
    <w:rsid w:val="5EA6E6E9"/>
    <w:rsid w:val="5EA720FF"/>
    <w:rsid w:val="5EA814C2"/>
    <w:rsid w:val="5EAA3D82"/>
    <w:rsid w:val="5EAA594F"/>
    <w:rsid w:val="5EAE17D2"/>
    <w:rsid w:val="5EB325E1"/>
    <w:rsid w:val="5EB7A8F2"/>
    <w:rsid w:val="5EB9E038"/>
    <w:rsid w:val="5EBB85A6"/>
    <w:rsid w:val="5EBE17DC"/>
    <w:rsid w:val="5EC4DAFC"/>
    <w:rsid w:val="5EC50351"/>
    <w:rsid w:val="5EC779BE"/>
    <w:rsid w:val="5EC799BD"/>
    <w:rsid w:val="5EC7DEAB"/>
    <w:rsid w:val="5ECA74B5"/>
    <w:rsid w:val="5ECE01CF"/>
    <w:rsid w:val="5ED2D510"/>
    <w:rsid w:val="5ED67622"/>
    <w:rsid w:val="5ED791F7"/>
    <w:rsid w:val="5EDEB3D6"/>
    <w:rsid w:val="5EDFABB2"/>
    <w:rsid w:val="5EE27780"/>
    <w:rsid w:val="5EE4731F"/>
    <w:rsid w:val="5EE563E7"/>
    <w:rsid w:val="5EEE18F9"/>
    <w:rsid w:val="5EF0B98A"/>
    <w:rsid w:val="5EF111D8"/>
    <w:rsid w:val="5EF5BBD5"/>
    <w:rsid w:val="5EF80CC9"/>
    <w:rsid w:val="5EF859EF"/>
    <w:rsid w:val="5EFB18CE"/>
    <w:rsid w:val="5EFF9D15"/>
    <w:rsid w:val="5F0413D6"/>
    <w:rsid w:val="5F0BA10B"/>
    <w:rsid w:val="5F0C2C70"/>
    <w:rsid w:val="5F0F2B41"/>
    <w:rsid w:val="5F0F553E"/>
    <w:rsid w:val="5F12A24A"/>
    <w:rsid w:val="5F1347C7"/>
    <w:rsid w:val="5F14F3E3"/>
    <w:rsid w:val="5F151404"/>
    <w:rsid w:val="5F17389E"/>
    <w:rsid w:val="5F1B8FD7"/>
    <w:rsid w:val="5F1ECAD7"/>
    <w:rsid w:val="5F1FE9D0"/>
    <w:rsid w:val="5F204F3D"/>
    <w:rsid w:val="5F24CC86"/>
    <w:rsid w:val="5F26A7C4"/>
    <w:rsid w:val="5F27043D"/>
    <w:rsid w:val="5F276C4F"/>
    <w:rsid w:val="5F28D2C8"/>
    <w:rsid w:val="5F2BEAA5"/>
    <w:rsid w:val="5F2E92A1"/>
    <w:rsid w:val="5F2FF932"/>
    <w:rsid w:val="5F305F8A"/>
    <w:rsid w:val="5F38E938"/>
    <w:rsid w:val="5F4289B1"/>
    <w:rsid w:val="5F42A339"/>
    <w:rsid w:val="5F4448D8"/>
    <w:rsid w:val="5F448A46"/>
    <w:rsid w:val="5F45586D"/>
    <w:rsid w:val="5F45DB0A"/>
    <w:rsid w:val="5F482365"/>
    <w:rsid w:val="5F4B9672"/>
    <w:rsid w:val="5F4DEDD9"/>
    <w:rsid w:val="5F4E689E"/>
    <w:rsid w:val="5F51471A"/>
    <w:rsid w:val="5F5197AE"/>
    <w:rsid w:val="5F51A072"/>
    <w:rsid w:val="5F51BA80"/>
    <w:rsid w:val="5F53CB62"/>
    <w:rsid w:val="5F547C73"/>
    <w:rsid w:val="5F57850C"/>
    <w:rsid w:val="5F57C34A"/>
    <w:rsid w:val="5F5E5F4D"/>
    <w:rsid w:val="5F5FD90F"/>
    <w:rsid w:val="5F62746E"/>
    <w:rsid w:val="5F6680D2"/>
    <w:rsid w:val="5F6C36A9"/>
    <w:rsid w:val="5F6DDCFA"/>
    <w:rsid w:val="5F6EBAB7"/>
    <w:rsid w:val="5F6F9BA1"/>
    <w:rsid w:val="5F73C474"/>
    <w:rsid w:val="5F764C68"/>
    <w:rsid w:val="5F7C7553"/>
    <w:rsid w:val="5F7E6A6A"/>
    <w:rsid w:val="5F81640D"/>
    <w:rsid w:val="5F85F187"/>
    <w:rsid w:val="5F8B1178"/>
    <w:rsid w:val="5F8F0210"/>
    <w:rsid w:val="5F950DC1"/>
    <w:rsid w:val="5F97E39F"/>
    <w:rsid w:val="5F99C7AC"/>
    <w:rsid w:val="5F9F2E65"/>
    <w:rsid w:val="5FA4013A"/>
    <w:rsid w:val="5FA52329"/>
    <w:rsid w:val="5FA56042"/>
    <w:rsid w:val="5FA5B885"/>
    <w:rsid w:val="5FB52276"/>
    <w:rsid w:val="5FB632FE"/>
    <w:rsid w:val="5FB8C656"/>
    <w:rsid w:val="5FC0313B"/>
    <w:rsid w:val="5FC05599"/>
    <w:rsid w:val="5FC4C9B4"/>
    <w:rsid w:val="5FC7F9BE"/>
    <w:rsid w:val="5FC82C53"/>
    <w:rsid w:val="5FC8A8A7"/>
    <w:rsid w:val="5FCA2C68"/>
    <w:rsid w:val="5FCFEB11"/>
    <w:rsid w:val="5FD01A7A"/>
    <w:rsid w:val="5FD1459B"/>
    <w:rsid w:val="5FD403A1"/>
    <w:rsid w:val="5FD5B5D4"/>
    <w:rsid w:val="5FDA164D"/>
    <w:rsid w:val="5FDAA03E"/>
    <w:rsid w:val="5FDCC556"/>
    <w:rsid w:val="5FDCD647"/>
    <w:rsid w:val="5FDD7841"/>
    <w:rsid w:val="5FE005B3"/>
    <w:rsid w:val="5FE616EE"/>
    <w:rsid w:val="5FE68A39"/>
    <w:rsid w:val="5FE76563"/>
    <w:rsid w:val="5FEBF57C"/>
    <w:rsid w:val="5FEE8BAA"/>
    <w:rsid w:val="5FEEE662"/>
    <w:rsid w:val="5FEEE895"/>
    <w:rsid w:val="5FF1E7A6"/>
    <w:rsid w:val="5FF666FB"/>
    <w:rsid w:val="5FFAD6FF"/>
    <w:rsid w:val="60003539"/>
    <w:rsid w:val="6003BBFF"/>
    <w:rsid w:val="600764EB"/>
    <w:rsid w:val="6008D37B"/>
    <w:rsid w:val="600A9EDD"/>
    <w:rsid w:val="600D145A"/>
    <w:rsid w:val="6014F03B"/>
    <w:rsid w:val="601A48CE"/>
    <w:rsid w:val="601CFF56"/>
    <w:rsid w:val="601EE7D8"/>
    <w:rsid w:val="601F621D"/>
    <w:rsid w:val="601F85B1"/>
    <w:rsid w:val="60215435"/>
    <w:rsid w:val="60250BEB"/>
    <w:rsid w:val="602CCD8C"/>
    <w:rsid w:val="602E9486"/>
    <w:rsid w:val="6031EF0E"/>
    <w:rsid w:val="60376DB0"/>
    <w:rsid w:val="6037CA80"/>
    <w:rsid w:val="603DC358"/>
    <w:rsid w:val="603E1626"/>
    <w:rsid w:val="6042754B"/>
    <w:rsid w:val="6042FAC7"/>
    <w:rsid w:val="6045C7D8"/>
    <w:rsid w:val="60468D37"/>
    <w:rsid w:val="6047455B"/>
    <w:rsid w:val="604C57FA"/>
    <w:rsid w:val="604FF238"/>
    <w:rsid w:val="6050F849"/>
    <w:rsid w:val="60581D4C"/>
    <w:rsid w:val="605B9800"/>
    <w:rsid w:val="605E0A5E"/>
    <w:rsid w:val="605F195A"/>
    <w:rsid w:val="6061A2A5"/>
    <w:rsid w:val="6062E9A8"/>
    <w:rsid w:val="60634411"/>
    <w:rsid w:val="606775B7"/>
    <w:rsid w:val="606FBFB8"/>
    <w:rsid w:val="607345A3"/>
    <w:rsid w:val="6075B678"/>
    <w:rsid w:val="60783262"/>
    <w:rsid w:val="607B75BF"/>
    <w:rsid w:val="607BA22B"/>
    <w:rsid w:val="6084A34E"/>
    <w:rsid w:val="60881E37"/>
    <w:rsid w:val="608C580A"/>
    <w:rsid w:val="609394CA"/>
    <w:rsid w:val="6094B377"/>
    <w:rsid w:val="6095A424"/>
    <w:rsid w:val="6095E061"/>
    <w:rsid w:val="609726CC"/>
    <w:rsid w:val="6097F6E3"/>
    <w:rsid w:val="609D1219"/>
    <w:rsid w:val="609D1730"/>
    <w:rsid w:val="609D691E"/>
    <w:rsid w:val="60A9BE42"/>
    <w:rsid w:val="60AA70D4"/>
    <w:rsid w:val="60AB6BD3"/>
    <w:rsid w:val="60AB6E4F"/>
    <w:rsid w:val="60ABF0ED"/>
    <w:rsid w:val="60ACF09E"/>
    <w:rsid w:val="60AD1229"/>
    <w:rsid w:val="60B53883"/>
    <w:rsid w:val="60B608C9"/>
    <w:rsid w:val="60BB67D5"/>
    <w:rsid w:val="60BE4BA8"/>
    <w:rsid w:val="60C21AA6"/>
    <w:rsid w:val="60C4DCEC"/>
    <w:rsid w:val="60C829F2"/>
    <w:rsid w:val="60CBC455"/>
    <w:rsid w:val="60D2CD7F"/>
    <w:rsid w:val="60D66793"/>
    <w:rsid w:val="60D736ED"/>
    <w:rsid w:val="60D7467D"/>
    <w:rsid w:val="60D8444E"/>
    <w:rsid w:val="60DF2BC1"/>
    <w:rsid w:val="60E045C3"/>
    <w:rsid w:val="60E8FE93"/>
    <w:rsid w:val="60F00DCA"/>
    <w:rsid w:val="60F86BD2"/>
    <w:rsid w:val="6100F62C"/>
    <w:rsid w:val="61041F38"/>
    <w:rsid w:val="6106F2A1"/>
    <w:rsid w:val="610854AB"/>
    <w:rsid w:val="61092992"/>
    <w:rsid w:val="6109A960"/>
    <w:rsid w:val="6112A3B7"/>
    <w:rsid w:val="6113C284"/>
    <w:rsid w:val="6113CD9E"/>
    <w:rsid w:val="61159564"/>
    <w:rsid w:val="6116A541"/>
    <w:rsid w:val="611D2EF3"/>
    <w:rsid w:val="611F6EF4"/>
    <w:rsid w:val="6128DE68"/>
    <w:rsid w:val="61291654"/>
    <w:rsid w:val="612AC699"/>
    <w:rsid w:val="613264E7"/>
    <w:rsid w:val="6138B13D"/>
    <w:rsid w:val="613B4772"/>
    <w:rsid w:val="613C10F8"/>
    <w:rsid w:val="6141D137"/>
    <w:rsid w:val="61480D35"/>
    <w:rsid w:val="61483AE3"/>
    <w:rsid w:val="61489748"/>
    <w:rsid w:val="61495EBE"/>
    <w:rsid w:val="614E9A40"/>
    <w:rsid w:val="61581AB1"/>
    <w:rsid w:val="615E7F88"/>
    <w:rsid w:val="61636CBF"/>
    <w:rsid w:val="61650E8E"/>
    <w:rsid w:val="6166C52C"/>
    <w:rsid w:val="616EC816"/>
    <w:rsid w:val="6172A4EE"/>
    <w:rsid w:val="6176311D"/>
    <w:rsid w:val="6177FE8C"/>
    <w:rsid w:val="6179362A"/>
    <w:rsid w:val="61797682"/>
    <w:rsid w:val="617E755A"/>
    <w:rsid w:val="61859CAF"/>
    <w:rsid w:val="6188A640"/>
    <w:rsid w:val="61892D77"/>
    <w:rsid w:val="618AE3ED"/>
    <w:rsid w:val="618B6D5B"/>
    <w:rsid w:val="618C379C"/>
    <w:rsid w:val="618C709A"/>
    <w:rsid w:val="61905BDE"/>
    <w:rsid w:val="61946B25"/>
    <w:rsid w:val="6198BBC0"/>
    <w:rsid w:val="619AAE75"/>
    <w:rsid w:val="619C5738"/>
    <w:rsid w:val="619CA998"/>
    <w:rsid w:val="619CB938"/>
    <w:rsid w:val="619E0B2B"/>
    <w:rsid w:val="61A15383"/>
    <w:rsid w:val="61A305D2"/>
    <w:rsid w:val="61A55BEE"/>
    <w:rsid w:val="61A86ADC"/>
    <w:rsid w:val="61A900A8"/>
    <w:rsid w:val="61A96375"/>
    <w:rsid w:val="61B47246"/>
    <w:rsid w:val="61B6B130"/>
    <w:rsid w:val="61B6FD10"/>
    <w:rsid w:val="61B9A25E"/>
    <w:rsid w:val="61BA91BB"/>
    <w:rsid w:val="61BDE45F"/>
    <w:rsid w:val="61BDFEF9"/>
    <w:rsid w:val="61BFABC8"/>
    <w:rsid w:val="61C0CA85"/>
    <w:rsid w:val="61C33317"/>
    <w:rsid w:val="61C5772A"/>
    <w:rsid w:val="61C6B9CE"/>
    <w:rsid w:val="61D168F9"/>
    <w:rsid w:val="61D65EC1"/>
    <w:rsid w:val="61D87C9A"/>
    <w:rsid w:val="61DBB7A2"/>
    <w:rsid w:val="61E3DE0B"/>
    <w:rsid w:val="61E8150D"/>
    <w:rsid w:val="61EB75F1"/>
    <w:rsid w:val="61EDB0CC"/>
    <w:rsid w:val="61EFFB70"/>
    <w:rsid w:val="61F13057"/>
    <w:rsid w:val="61F2689B"/>
    <w:rsid w:val="61F3663D"/>
    <w:rsid w:val="61F4D97B"/>
    <w:rsid w:val="61F56F4B"/>
    <w:rsid w:val="61FA6E2E"/>
    <w:rsid w:val="61FB2032"/>
    <w:rsid w:val="61FF38FE"/>
    <w:rsid w:val="61FF5FEF"/>
    <w:rsid w:val="61FFDFEF"/>
    <w:rsid w:val="62012B65"/>
    <w:rsid w:val="6202249E"/>
    <w:rsid w:val="620246D8"/>
    <w:rsid w:val="620A4BFE"/>
    <w:rsid w:val="620A64F6"/>
    <w:rsid w:val="620F4722"/>
    <w:rsid w:val="6210601B"/>
    <w:rsid w:val="6212E6E4"/>
    <w:rsid w:val="6215F5BE"/>
    <w:rsid w:val="621B9615"/>
    <w:rsid w:val="621C8261"/>
    <w:rsid w:val="62208FE3"/>
    <w:rsid w:val="622115E4"/>
    <w:rsid w:val="622325F8"/>
    <w:rsid w:val="62280F2E"/>
    <w:rsid w:val="62285399"/>
    <w:rsid w:val="623104CE"/>
    <w:rsid w:val="6231D748"/>
    <w:rsid w:val="62325AE3"/>
    <w:rsid w:val="62348043"/>
    <w:rsid w:val="6235520F"/>
    <w:rsid w:val="623BB857"/>
    <w:rsid w:val="623D657B"/>
    <w:rsid w:val="623DBA3C"/>
    <w:rsid w:val="624135CE"/>
    <w:rsid w:val="62417ECC"/>
    <w:rsid w:val="6241D9B9"/>
    <w:rsid w:val="62420059"/>
    <w:rsid w:val="624A79BD"/>
    <w:rsid w:val="624DB86A"/>
    <w:rsid w:val="624F6CBB"/>
    <w:rsid w:val="6254A887"/>
    <w:rsid w:val="62565D64"/>
    <w:rsid w:val="6257527B"/>
    <w:rsid w:val="625A56EF"/>
    <w:rsid w:val="625BF56A"/>
    <w:rsid w:val="625D37F9"/>
    <w:rsid w:val="625D51B2"/>
    <w:rsid w:val="625E2663"/>
    <w:rsid w:val="6263C1C7"/>
    <w:rsid w:val="626468D9"/>
    <w:rsid w:val="6265C496"/>
    <w:rsid w:val="62660CBB"/>
    <w:rsid w:val="62670113"/>
    <w:rsid w:val="626D8599"/>
    <w:rsid w:val="626D9029"/>
    <w:rsid w:val="626E261B"/>
    <w:rsid w:val="6271975F"/>
    <w:rsid w:val="6278D452"/>
    <w:rsid w:val="6279B91D"/>
    <w:rsid w:val="627B0A13"/>
    <w:rsid w:val="627DCFF3"/>
    <w:rsid w:val="62829613"/>
    <w:rsid w:val="628990C1"/>
    <w:rsid w:val="628A3B3A"/>
    <w:rsid w:val="628AE9C9"/>
    <w:rsid w:val="628B020C"/>
    <w:rsid w:val="628B97CC"/>
    <w:rsid w:val="628EE04A"/>
    <w:rsid w:val="6291A374"/>
    <w:rsid w:val="62933E45"/>
    <w:rsid w:val="62979D13"/>
    <w:rsid w:val="6299FC4B"/>
    <w:rsid w:val="629AC767"/>
    <w:rsid w:val="629DADEE"/>
    <w:rsid w:val="62A27EA4"/>
    <w:rsid w:val="62A9E92D"/>
    <w:rsid w:val="62AB59C5"/>
    <w:rsid w:val="62AB99BB"/>
    <w:rsid w:val="62B0B553"/>
    <w:rsid w:val="62B1D45D"/>
    <w:rsid w:val="62B3434D"/>
    <w:rsid w:val="62B52958"/>
    <w:rsid w:val="62B5B8FA"/>
    <w:rsid w:val="62B5EF8C"/>
    <w:rsid w:val="62B85442"/>
    <w:rsid w:val="62BB94A6"/>
    <w:rsid w:val="62C3B787"/>
    <w:rsid w:val="62C94AA1"/>
    <w:rsid w:val="62D2085C"/>
    <w:rsid w:val="62D30825"/>
    <w:rsid w:val="62D672BE"/>
    <w:rsid w:val="62D6B244"/>
    <w:rsid w:val="62D6EE32"/>
    <w:rsid w:val="62D9A285"/>
    <w:rsid w:val="62DC5414"/>
    <w:rsid w:val="62DCAC53"/>
    <w:rsid w:val="62DED81C"/>
    <w:rsid w:val="62E70AFC"/>
    <w:rsid w:val="62E9E18D"/>
    <w:rsid w:val="62F08E3E"/>
    <w:rsid w:val="62F2C848"/>
    <w:rsid w:val="62F303C6"/>
    <w:rsid w:val="62F5DB81"/>
    <w:rsid w:val="62FBADD5"/>
    <w:rsid w:val="62FC1219"/>
    <w:rsid w:val="62FD56F1"/>
    <w:rsid w:val="630317A6"/>
    <w:rsid w:val="63062F4E"/>
    <w:rsid w:val="630C70E4"/>
    <w:rsid w:val="630E24D6"/>
    <w:rsid w:val="6311D766"/>
    <w:rsid w:val="631A144A"/>
    <w:rsid w:val="631C6092"/>
    <w:rsid w:val="631D60F6"/>
    <w:rsid w:val="631EFACB"/>
    <w:rsid w:val="6320CBDC"/>
    <w:rsid w:val="632479E8"/>
    <w:rsid w:val="6326660A"/>
    <w:rsid w:val="6326D4D6"/>
    <w:rsid w:val="632A6E4E"/>
    <w:rsid w:val="632DAA53"/>
    <w:rsid w:val="632DF595"/>
    <w:rsid w:val="632E8A6F"/>
    <w:rsid w:val="6333808C"/>
    <w:rsid w:val="6334FD0F"/>
    <w:rsid w:val="63419147"/>
    <w:rsid w:val="634680CD"/>
    <w:rsid w:val="634B0503"/>
    <w:rsid w:val="6350794D"/>
    <w:rsid w:val="63530FC4"/>
    <w:rsid w:val="6359D12E"/>
    <w:rsid w:val="635A045A"/>
    <w:rsid w:val="635CB2E9"/>
    <w:rsid w:val="6362050E"/>
    <w:rsid w:val="636366B8"/>
    <w:rsid w:val="6364C698"/>
    <w:rsid w:val="6365D57F"/>
    <w:rsid w:val="63668791"/>
    <w:rsid w:val="6367AF87"/>
    <w:rsid w:val="636B0126"/>
    <w:rsid w:val="636BAE25"/>
    <w:rsid w:val="636BD43F"/>
    <w:rsid w:val="636DC648"/>
    <w:rsid w:val="637339D4"/>
    <w:rsid w:val="637380C8"/>
    <w:rsid w:val="6376665C"/>
    <w:rsid w:val="63770EBD"/>
    <w:rsid w:val="6377A09A"/>
    <w:rsid w:val="63783ECF"/>
    <w:rsid w:val="63796214"/>
    <w:rsid w:val="637C189C"/>
    <w:rsid w:val="63864E17"/>
    <w:rsid w:val="63874B24"/>
    <w:rsid w:val="6388B0B8"/>
    <w:rsid w:val="638AB586"/>
    <w:rsid w:val="638C2139"/>
    <w:rsid w:val="638CA251"/>
    <w:rsid w:val="638DFE43"/>
    <w:rsid w:val="6390645D"/>
    <w:rsid w:val="639104C4"/>
    <w:rsid w:val="6395DF47"/>
    <w:rsid w:val="639A2CD1"/>
    <w:rsid w:val="639A6786"/>
    <w:rsid w:val="639B3D06"/>
    <w:rsid w:val="63A142FF"/>
    <w:rsid w:val="63A2E243"/>
    <w:rsid w:val="63A3C95D"/>
    <w:rsid w:val="63A451A8"/>
    <w:rsid w:val="63A58261"/>
    <w:rsid w:val="63AB6F2A"/>
    <w:rsid w:val="63ABF9C4"/>
    <w:rsid w:val="63ADB612"/>
    <w:rsid w:val="63B14C01"/>
    <w:rsid w:val="63B15436"/>
    <w:rsid w:val="63B1C59D"/>
    <w:rsid w:val="63B23833"/>
    <w:rsid w:val="63B45758"/>
    <w:rsid w:val="63B4ADD0"/>
    <w:rsid w:val="63B56F4D"/>
    <w:rsid w:val="63B6AA29"/>
    <w:rsid w:val="63B9870E"/>
    <w:rsid w:val="63C5BB45"/>
    <w:rsid w:val="63CA909F"/>
    <w:rsid w:val="63CB0AF2"/>
    <w:rsid w:val="63CCB1D5"/>
    <w:rsid w:val="63D1FE71"/>
    <w:rsid w:val="63D5F755"/>
    <w:rsid w:val="63D6599E"/>
    <w:rsid w:val="63E196FD"/>
    <w:rsid w:val="63E38181"/>
    <w:rsid w:val="63E3B7F1"/>
    <w:rsid w:val="63E5673A"/>
    <w:rsid w:val="63E8AFC2"/>
    <w:rsid w:val="63EA5710"/>
    <w:rsid w:val="63ED5E9A"/>
    <w:rsid w:val="63EF4BAA"/>
    <w:rsid w:val="63F2EF47"/>
    <w:rsid w:val="63FD3765"/>
    <w:rsid w:val="63FF0807"/>
    <w:rsid w:val="6405EB29"/>
    <w:rsid w:val="6408A0F1"/>
    <w:rsid w:val="6409D838"/>
    <w:rsid w:val="640A4E3C"/>
    <w:rsid w:val="640B0D2A"/>
    <w:rsid w:val="641C5693"/>
    <w:rsid w:val="64202731"/>
    <w:rsid w:val="6421477D"/>
    <w:rsid w:val="642266C1"/>
    <w:rsid w:val="6427F34F"/>
    <w:rsid w:val="642BBF87"/>
    <w:rsid w:val="642D7027"/>
    <w:rsid w:val="642D7852"/>
    <w:rsid w:val="642E5BA8"/>
    <w:rsid w:val="643609CA"/>
    <w:rsid w:val="643E900A"/>
    <w:rsid w:val="6440E30E"/>
    <w:rsid w:val="6442E7D2"/>
    <w:rsid w:val="6444161A"/>
    <w:rsid w:val="6444FA5F"/>
    <w:rsid w:val="64479B36"/>
    <w:rsid w:val="644973F8"/>
    <w:rsid w:val="644A7C6A"/>
    <w:rsid w:val="644E2970"/>
    <w:rsid w:val="644F319C"/>
    <w:rsid w:val="64580485"/>
    <w:rsid w:val="645A9659"/>
    <w:rsid w:val="645B33B2"/>
    <w:rsid w:val="645C1EBD"/>
    <w:rsid w:val="6460EEF0"/>
    <w:rsid w:val="64632052"/>
    <w:rsid w:val="6468FEF6"/>
    <w:rsid w:val="64692608"/>
    <w:rsid w:val="6469EB1D"/>
    <w:rsid w:val="646A57E9"/>
    <w:rsid w:val="646A97D4"/>
    <w:rsid w:val="647554B6"/>
    <w:rsid w:val="64784D8D"/>
    <w:rsid w:val="647BEBAE"/>
    <w:rsid w:val="647D4F23"/>
    <w:rsid w:val="647E4135"/>
    <w:rsid w:val="6487361F"/>
    <w:rsid w:val="6488BFD3"/>
    <w:rsid w:val="648ADCDB"/>
    <w:rsid w:val="648E0A27"/>
    <w:rsid w:val="648FD1B7"/>
    <w:rsid w:val="64925608"/>
    <w:rsid w:val="64948945"/>
    <w:rsid w:val="6495735B"/>
    <w:rsid w:val="649A52FC"/>
    <w:rsid w:val="64A07908"/>
    <w:rsid w:val="64A2F113"/>
    <w:rsid w:val="64ACB86F"/>
    <w:rsid w:val="64B5EE43"/>
    <w:rsid w:val="64BBC4E4"/>
    <w:rsid w:val="64BBC973"/>
    <w:rsid w:val="64C03F31"/>
    <w:rsid w:val="64C64D2C"/>
    <w:rsid w:val="64C6A5F8"/>
    <w:rsid w:val="64C9378E"/>
    <w:rsid w:val="64CDB58D"/>
    <w:rsid w:val="64CDF937"/>
    <w:rsid w:val="64CE0680"/>
    <w:rsid w:val="64D2CC9F"/>
    <w:rsid w:val="64D5C8DB"/>
    <w:rsid w:val="64D98A56"/>
    <w:rsid w:val="64D9930B"/>
    <w:rsid w:val="64E01C4B"/>
    <w:rsid w:val="64E3E67D"/>
    <w:rsid w:val="64E43DCF"/>
    <w:rsid w:val="64E496ED"/>
    <w:rsid w:val="64E862EB"/>
    <w:rsid w:val="64E8C621"/>
    <w:rsid w:val="64EB05D3"/>
    <w:rsid w:val="64EC7036"/>
    <w:rsid w:val="64EF25F7"/>
    <w:rsid w:val="64EFD6BF"/>
    <w:rsid w:val="64F46957"/>
    <w:rsid w:val="64F4E8ED"/>
    <w:rsid w:val="64F67518"/>
    <w:rsid w:val="64F83138"/>
    <w:rsid w:val="64FC0829"/>
    <w:rsid w:val="64FFF1BC"/>
    <w:rsid w:val="650048B3"/>
    <w:rsid w:val="65076B53"/>
    <w:rsid w:val="65087FD4"/>
    <w:rsid w:val="6509869C"/>
    <w:rsid w:val="650B9C89"/>
    <w:rsid w:val="650F5DF1"/>
    <w:rsid w:val="65178787"/>
    <w:rsid w:val="651A32CB"/>
    <w:rsid w:val="651B5547"/>
    <w:rsid w:val="651BA80A"/>
    <w:rsid w:val="651D1AB5"/>
    <w:rsid w:val="651E398B"/>
    <w:rsid w:val="6520814B"/>
    <w:rsid w:val="6525A883"/>
    <w:rsid w:val="652EE8C8"/>
    <w:rsid w:val="652FE31F"/>
    <w:rsid w:val="653101D4"/>
    <w:rsid w:val="6539DA15"/>
    <w:rsid w:val="6539DAC6"/>
    <w:rsid w:val="653FD84D"/>
    <w:rsid w:val="65478BC5"/>
    <w:rsid w:val="6548E1EC"/>
    <w:rsid w:val="654BFEAC"/>
    <w:rsid w:val="654DBCB9"/>
    <w:rsid w:val="654F1E86"/>
    <w:rsid w:val="655414B4"/>
    <w:rsid w:val="65553B98"/>
    <w:rsid w:val="65578F94"/>
    <w:rsid w:val="655DE129"/>
    <w:rsid w:val="656508E7"/>
    <w:rsid w:val="6568A7E2"/>
    <w:rsid w:val="6575FA36"/>
    <w:rsid w:val="657A0C79"/>
    <w:rsid w:val="657D89C7"/>
    <w:rsid w:val="6585707F"/>
    <w:rsid w:val="6586C4AA"/>
    <w:rsid w:val="65885788"/>
    <w:rsid w:val="658A6F59"/>
    <w:rsid w:val="658A7F19"/>
    <w:rsid w:val="658E2663"/>
    <w:rsid w:val="658FC511"/>
    <w:rsid w:val="6590B162"/>
    <w:rsid w:val="659115AC"/>
    <w:rsid w:val="65993EEC"/>
    <w:rsid w:val="659AEACB"/>
    <w:rsid w:val="659B85CE"/>
    <w:rsid w:val="659DCBA1"/>
    <w:rsid w:val="659EA552"/>
    <w:rsid w:val="65A15AF7"/>
    <w:rsid w:val="65A223EA"/>
    <w:rsid w:val="65A51269"/>
    <w:rsid w:val="65A6129E"/>
    <w:rsid w:val="65A848AA"/>
    <w:rsid w:val="65AADEFA"/>
    <w:rsid w:val="65AC249E"/>
    <w:rsid w:val="65B31985"/>
    <w:rsid w:val="65B32456"/>
    <w:rsid w:val="65B6C83B"/>
    <w:rsid w:val="65C04E18"/>
    <w:rsid w:val="65C09AE6"/>
    <w:rsid w:val="65C7B875"/>
    <w:rsid w:val="65CDBC67"/>
    <w:rsid w:val="65D38FD0"/>
    <w:rsid w:val="65E25D7D"/>
    <w:rsid w:val="65E2E11F"/>
    <w:rsid w:val="65E37147"/>
    <w:rsid w:val="65E744F1"/>
    <w:rsid w:val="65ED2113"/>
    <w:rsid w:val="65EDA4B0"/>
    <w:rsid w:val="65F66088"/>
    <w:rsid w:val="65F93CD6"/>
    <w:rsid w:val="65FA4B3A"/>
    <w:rsid w:val="65FDC9A4"/>
    <w:rsid w:val="65FE6DD7"/>
    <w:rsid w:val="66039755"/>
    <w:rsid w:val="660555CF"/>
    <w:rsid w:val="66067FB1"/>
    <w:rsid w:val="660B0CD1"/>
    <w:rsid w:val="66147445"/>
    <w:rsid w:val="6616724E"/>
    <w:rsid w:val="661797B3"/>
    <w:rsid w:val="66187FCA"/>
    <w:rsid w:val="6619355E"/>
    <w:rsid w:val="66199192"/>
    <w:rsid w:val="661A6C60"/>
    <w:rsid w:val="661B9BB3"/>
    <w:rsid w:val="661BC2E9"/>
    <w:rsid w:val="661C6A15"/>
    <w:rsid w:val="6620A409"/>
    <w:rsid w:val="6623A9D8"/>
    <w:rsid w:val="6626E695"/>
    <w:rsid w:val="66294C9F"/>
    <w:rsid w:val="662E82F4"/>
    <w:rsid w:val="6637C44C"/>
    <w:rsid w:val="663C1F17"/>
    <w:rsid w:val="66407854"/>
    <w:rsid w:val="66417BA5"/>
    <w:rsid w:val="66425110"/>
    <w:rsid w:val="6646933B"/>
    <w:rsid w:val="664A5D65"/>
    <w:rsid w:val="664B15E5"/>
    <w:rsid w:val="664BAAC8"/>
    <w:rsid w:val="66564DAF"/>
    <w:rsid w:val="6658F346"/>
    <w:rsid w:val="66611E52"/>
    <w:rsid w:val="66625D1E"/>
    <w:rsid w:val="66685B47"/>
    <w:rsid w:val="666A2008"/>
    <w:rsid w:val="666A37B0"/>
    <w:rsid w:val="666A577E"/>
    <w:rsid w:val="666B66E1"/>
    <w:rsid w:val="666F1821"/>
    <w:rsid w:val="6673B693"/>
    <w:rsid w:val="6673EFA0"/>
    <w:rsid w:val="66761C00"/>
    <w:rsid w:val="6677283F"/>
    <w:rsid w:val="6679E25D"/>
    <w:rsid w:val="667A4CC1"/>
    <w:rsid w:val="667DF996"/>
    <w:rsid w:val="6684F865"/>
    <w:rsid w:val="668D1504"/>
    <w:rsid w:val="668DC07A"/>
    <w:rsid w:val="6693526B"/>
    <w:rsid w:val="6694F33D"/>
    <w:rsid w:val="66985202"/>
    <w:rsid w:val="669AFC7C"/>
    <w:rsid w:val="669B375D"/>
    <w:rsid w:val="669BFCCA"/>
    <w:rsid w:val="669EC439"/>
    <w:rsid w:val="66A0F795"/>
    <w:rsid w:val="66A1BC18"/>
    <w:rsid w:val="66A48103"/>
    <w:rsid w:val="66A4D17F"/>
    <w:rsid w:val="66A59E1F"/>
    <w:rsid w:val="66A692D8"/>
    <w:rsid w:val="66A8612B"/>
    <w:rsid w:val="66B44389"/>
    <w:rsid w:val="66B53E95"/>
    <w:rsid w:val="66B69BBF"/>
    <w:rsid w:val="66B741B9"/>
    <w:rsid w:val="66B7BA30"/>
    <w:rsid w:val="66BE0F43"/>
    <w:rsid w:val="66C0F1FB"/>
    <w:rsid w:val="66C561E1"/>
    <w:rsid w:val="66CCDDD5"/>
    <w:rsid w:val="66CD8FC2"/>
    <w:rsid w:val="66D06540"/>
    <w:rsid w:val="66D1E430"/>
    <w:rsid w:val="66D24101"/>
    <w:rsid w:val="66DF2490"/>
    <w:rsid w:val="66E7F4FD"/>
    <w:rsid w:val="66E950E0"/>
    <w:rsid w:val="66E99D78"/>
    <w:rsid w:val="66ED1F2A"/>
    <w:rsid w:val="66F269D8"/>
    <w:rsid w:val="66FA33D9"/>
    <w:rsid w:val="66FCCD51"/>
    <w:rsid w:val="66FEF6D2"/>
    <w:rsid w:val="6706E3FC"/>
    <w:rsid w:val="67070F12"/>
    <w:rsid w:val="67077CB2"/>
    <w:rsid w:val="670C16FD"/>
    <w:rsid w:val="670C512A"/>
    <w:rsid w:val="6711CEEE"/>
    <w:rsid w:val="67141A7F"/>
    <w:rsid w:val="671ED24F"/>
    <w:rsid w:val="6720E04E"/>
    <w:rsid w:val="6726D75D"/>
    <w:rsid w:val="6727CE92"/>
    <w:rsid w:val="6727DF42"/>
    <w:rsid w:val="6728953A"/>
    <w:rsid w:val="67292B6C"/>
    <w:rsid w:val="6729A315"/>
    <w:rsid w:val="672C449C"/>
    <w:rsid w:val="672C5705"/>
    <w:rsid w:val="672DFA13"/>
    <w:rsid w:val="672E8207"/>
    <w:rsid w:val="672F0D79"/>
    <w:rsid w:val="672FF889"/>
    <w:rsid w:val="6736F4C1"/>
    <w:rsid w:val="67389903"/>
    <w:rsid w:val="673AA836"/>
    <w:rsid w:val="673BCC08"/>
    <w:rsid w:val="673C636A"/>
    <w:rsid w:val="673E007D"/>
    <w:rsid w:val="673F0049"/>
    <w:rsid w:val="67466B63"/>
    <w:rsid w:val="674B01CE"/>
    <w:rsid w:val="675497EE"/>
    <w:rsid w:val="6757D2F3"/>
    <w:rsid w:val="675B9158"/>
    <w:rsid w:val="675D5A2F"/>
    <w:rsid w:val="675D9384"/>
    <w:rsid w:val="67686744"/>
    <w:rsid w:val="676869B9"/>
    <w:rsid w:val="6769127C"/>
    <w:rsid w:val="676B35D0"/>
    <w:rsid w:val="676BE4B4"/>
    <w:rsid w:val="676C5AB4"/>
    <w:rsid w:val="676D7AA3"/>
    <w:rsid w:val="6771F13A"/>
    <w:rsid w:val="6773269D"/>
    <w:rsid w:val="6773CC00"/>
    <w:rsid w:val="6775508E"/>
    <w:rsid w:val="6776967B"/>
    <w:rsid w:val="6778CB8F"/>
    <w:rsid w:val="677D1B1A"/>
    <w:rsid w:val="677D472A"/>
    <w:rsid w:val="677F72FE"/>
    <w:rsid w:val="6788F3DE"/>
    <w:rsid w:val="67894C82"/>
    <w:rsid w:val="678CEC1A"/>
    <w:rsid w:val="67943CF7"/>
    <w:rsid w:val="67961071"/>
    <w:rsid w:val="679CB596"/>
    <w:rsid w:val="679F9655"/>
    <w:rsid w:val="679FDAFB"/>
    <w:rsid w:val="67AB4449"/>
    <w:rsid w:val="67AFCFA4"/>
    <w:rsid w:val="67B8964F"/>
    <w:rsid w:val="67BA892B"/>
    <w:rsid w:val="67BACFEE"/>
    <w:rsid w:val="67C458B5"/>
    <w:rsid w:val="67C966A7"/>
    <w:rsid w:val="67CBBB1B"/>
    <w:rsid w:val="67D0E5C6"/>
    <w:rsid w:val="67D445E3"/>
    <w:rsid w:val="67D6D23F"/>
    <w:rsid w:val="67D8688B"/>
    <w:rsid w:val="67DB4A9E"/>
    <w:rsid w:val="67DF0E86"/>
    <w:rsid w:val="67DF8520"/>
    <w:rsid w:val="67E0E9E4"/>
    <w:rsid w:val="67E29328"/>
    <w:rsid w:val="67E35585"/>
    <w:rsid w:val="67E75A08"/>
    <w:rsid w:val="67E81D85"/>
    <w:rsid w:val="67E96278"/>
    <w:rsid w:val="67EA8CEB"/>
    <w:rsid w:val="67EC10D4"/>
    <w:rsid w:val="67ECA5F1"/>
    <w:rsid w:val="67EE8863"/>
    <w:rsid w:val="67F28CCA"/>
    <w:rsid w:val="67FB6118"/>
    <w:rsid w:val="67FC1BA2"/>
    <w:rsid w:val="67FDE45D"/>
    <w:rsid w:val="67FF3742"/>
    <w:rsid w:val="6801F23F"/>
    <w:rsid w:val="68057E03"/>
    <w:rsid w:val="6806D5A2"/>
    <w:rsid w:val="68072008"/>
    <w:rsid w:val="6807EC35"/>
    <w:rsid w:val="680B4FEB"/>
    <w:rsid w:val="680B8CD1"/>
    <w:rsid w:val="6811CDB7"/>
    <w:rsid w:val="681232A6"/>
    <w:rsid w:val="681A18BA"/>
    <w:rsid w:val="681CEE75"/>
    <w:rsid w:val="68298C66"/>
    <w:rsid w:val="6829FE69"/>
    <w:rsid w:val="682A6CCB"/>
    <w:rsid w:val="682D4457"/>
    <w:rsid w:val="682D4540"/>
    <w:rsid w:val="682F21D0"/>
    <w:rsid w:val="682FAC5D"/>
    <w:rsid w:val="68302D6E"/>
    <w:rsid w:val="683097A6"/>
    <w:rsid w:val="6830E4DC"/>
    <w:rsid w:val="6833B555"/>
    <w:rsid w:val="6839DAEF"/>
    <w:rsid w:val="68450941"/>
    <w:rsid w:val="68454AB0"/>
    <w:rsid w:val="684742AE"/>
    <w:rsid w:val="684AA128"/>
    <w:rsid w:val="684BED33"/>
    <w:rsid w:val="684DD0F7"/>
    <w:rsid w:val="6850A636"/>
    <w:rsid w:val="6855C912"/>
    <w:rsid w:val="6860C78B"/>
    <w:rsid w:val="68693FB3"/>
    <w:rsid w:val="6869DF20"/>
    <w:rsid w:val="686A1319"/>
    <w:rsid w:val="686D7FF8"/>
    <w:rsid w:val="6875452E"/>
    <w:rsid w:val="6879A2E4"/>
    <w:rsid w:val="687C750D"/>
    <w:rsid w:val="687DD964"/>
    <w:rsid w:val="687DDFFF"/>
    <w:rsid w:val="687FF18A"/>
    <w:rsid w:val="6880EE01"/>
    <w:rsid w:val="68814525"/>
    <w:rsid w:val="6882DB20"/>
    <w:rsid w:val="6882DEBF"/>
    <w:rsid w:val="6884C04B"/>
    <w:rsid w:val="6885BB4A"/>
    <w:rsid w:val="688BC991"/>
    <w:rsid w:val="6890ADBD"/>
    <w:rsid w:val="68919A81"/>
    <w:rsid w:val="6893BB11"/>
    <w:rsid w:val="6897638C"/>
    <w:rsid w:val="6897779B"/>
    <w:rsid w:val="68979023"/>
    <w:rsid w:val="68986DAC"/>
    <w:rsid w:val="689ADF87"/>
    <w:rsid w:val="689DBB15"/>
    <w:rsid w:val="689EB7D9"/>
    <w:rsid w:val="689FBFE6"/>
    <w:rsid w:val="68ADF495"/>
    <w:rsid w:val="68B00DA7"/>
    <w:rsid w:val="68B12859"/>
    <w:rsid w:val="68B1E45C"/>
    <w:rsid w:val="68B30D39"/>
    <w:rsid w:val="68B43727"/>
    <w:rsid w:val="68B4CE82"/>
    <w:rsid w:val="68B519B6"/>
    <w:rsid w:val="68B729EE"/>
    <w:rsid w:val="68BFF594"/>
    <w:rsid w:val="68C3B6B3"/>
    <w:rsid w:val="68C42763"/>
    <w:rsid w:val="68CFE55A"/>
    <w:rsid w:val="68D132A9"/>
    <w:rsid w:val="68D13701"/>
    <w:rsid w:val="68D23391"/>
    <w:rsid w:val="68D32758"/>
    <w:rsid w:val="68D6E940"/>
    <w:rsid w:val="68D79358"/>
    <w:rsid w:val="68D7BE85"/>
    <w:rsid w:val="68DBF711"/>
    <w:rsid w:val="68DC3122"/>
    <w:rsid w:val="68DE14CB"/>
    <w:rsid w:val="68E843FC"/>
    <w:rsid w:val="68E8B17C"/>
    <w:rsid w:val="68E960D4"/>
    <w:rsid w:val="68ECFCAD"/>
    <w:rsid w:val="68EFB28E"/>
    <w:rsid w:val="68F51BEA"/>
    <w:rsid w:val="68F77D11"/>
    <w:rsid w:val="68F87519"/>
    <w:rsid w:val="68FA545A"/>
    <w:rsid w:val="68FACEC5"/>
    <w:rsid w:val="68FB7C35"/>
    <w:rsid w:val="690046D2"/>
    <w:rsid w:val="6901C959"/>
    <w:rsid w:val="6902D6C4"/>
    <w:rsid w:val="6902E16B"/>
    <w:rsid w:val="69081B99"/>
    <w:rsid w:val="6917F1AC"/>
    <w:rsid w:val="6918E352"/>
    <w:rsid w:val="691F88D3"/>
    <w:rsid w:val="6920DD57"/>
    <w:rsid w:val="69255058"/>
    <w:rsid w:val="6927B938"/>
    <w:rsid w:val="692A8E3F"/>
    <w:rsid w:val="692B09B1"/>
    <w:rsid w:val="692D6DC5"/>
    <w:rsid w:val="693051AA"/>
    <w:rsid w:val="6934D380"/>
    <w:rsid w:val="69390FD1"/>
    <w:rsid w:val="693BDBAA"/>
    <w:rsid w:val="6941C7AD"/>
    <w:rsid w:val="69434E15"/>
    <w:rsid w:val="69437CD9"/>
    <w:rsid w:val="694594A0"/>
    <w:rsid w:val="69487137"/>
    <w:rsid w:val="694A418B"/>
    <w:rsid w:val="694BD510"/>
    <w:rsid w:val="6951365D"/>
    <w:rsid w:val="69540D6C"/>
    <w:rsid w:val="695697BF"/>
    <w:rsid w:val="69621D75"/>
    <w:rsid w:val="696442DD"/>
    <w:rsid w:val="6964CEC8"/>
    <w:rsid w:val="6965E1C4"/>
    <w:rsid w:val="696ACC20"/>
    <w:rsid w:val="696C9D16"/>
    <w:rsid w:val="696DE21B"/>
    <w:rsid w:val="696F9E65"/>
    <w:rsid w:val="6970BD88"/>
    <w:rsid w:val="697411AB"/>
    <w:rsid w:val="6975BB5E"/>
    <w:rsid w:val="6978F2A6"/>
    <w:rsid w:val="6979B435"/>
    <w:rsid w:val="697AE55C"/>
    <w:rsid w:val="69838DA5"/>
    <w:rsid w:val="698AC350"/>
    <w:rsid w:val="698D1F2D"/>
    <w:rsid w:val="69911F5E"/>
    <w:rsid w:val="69917F10"/>
    <w:rsid w:val="699253CC"/>
    <w:rsid w:val="6995ABE3"/>
    <w:rsid w:val="6997BBCE"/>
    <w:rsid w:val="699A4661"/>
    <w:rsid w:val="699B8AAB"/>
    <w:rsid w:val="69A52AAC"/>
    <w:rsid w:val="69A776AE"/>
    <w:rsid w:val="69B1EEE1"/>
    <w:rsid w:val="69B30128"/>
    <w:rsid w:val="69B30374"/>
    <w:rsid w:val="69B4B0AA"/>
    <w:rsid w:val="69B8E9A2"/>
    <w:rsid w:val="69B93C7D"/>
    <w:rsid w:val="69B9BB8C"/>
    <w:rsid w:val="69BBDDF9"/>
    <w:rsid w:val="69BE43AA"/>
    <w:rsid w:val="69C9A92F"/>
    <w:rsid w:val="69CD26E1"/>
    <w:rsid w:val="69CDAB8D"/>
    <w:rsid w:val="69CE10E8"/>
    <w:rsid w:val="69D132AD"/>
    <w:rsid w:val="69D301BA"/>
    <w:rsid w:val="69D3CEC5"/>
    <w:rsid w:val="69D4C2B5"/>
    <w:rsid w:val="69D6506D"/>
    <w:rsid w:val="69DA9EA3"/>
    <w:rsid w:val="69DBCB61"/>
    <w:rsid w:val="69DC7380"/>
    <w:rsid w:val="69E030FD"/>
    <w:rsid w:val="69E0888C"/>
    <w:rsid w:val="69E83394"/>
    <w:rsid w:val="69E8572D"/>
    <w:rsid w:val="69E96C0B"/>
    <w:rsid w:val="69EAA1D8"/>
    <w:rsid w:val="69ED4CB4"/>
    <w:rsid w:val="69EDB9AE"/>
    <w:rsid w:val="69EE20A3"/>
    <w:rsid w:val="69F06DEE"/>
    <w:rsid w:val="69F445AB"/>
    <w:rsid w:val="69F4FA73"/>
    <w:rsid w:val="69F88658"/>
    <w:rsid w:val="69F9A5D9"/>
    <w:rsid w:val="69FB3E47"/>
    <w:rsid w:val="69FCEA0A"/>
    <w:rsid w:val="69FFAD32"/>
    <w:rsid w:val="6A01C9A0"/>
    <w:rsid w:val="6A01DD59"/>
    <w:rsid w:val="6A029170"/>
    <w:rsid w:val="6A071B67"/>
    <w:rsid w:val="6A099B68"/>
    <w:rsid w:val="6A0A64F8"/>
    <w:rsid w:val="6A104AE2"/>
    <w:rsid w:val="6A128C74"/>
    <w:rsid w:val="6A12D6E8"/>
    <w:rsid w:val="6A16604D"/>
    <w:rsid w:val="6A179C1A"/>
    <w:rsid w:val="6A18D041"/>
    <w:rsid w:val="6A18FB7F"/>
    <w:rsid w:val="6A1A6107"/>
    <w:rsid w:val="6A26B8A8"/>
    <w:rsid w:val="6A26CF05"/>
    <w:rsid w:val="6A2E2F65"/>
    <w:rsid w:val="6A3B3362"/>
    <w:rsid w:val="6A3EFB64"/>
    <w:rsid w:val="6A4C4D53"/>
    <w:rsid w:val="6A4C60EE"/>
    <w:rsid w:val="6A4E266B"/>
    <w:rsid w:val="6A52DF41"/>
    <w:rsid w:val="6A538FBD"/>
    <w:rsid w:val="6A54C45C"/>
    <w:rsid w:val="6A5BFDD9"/>
    <w:rsid w:val="6A5C37E9"/>
    <w:rsid w:val="6A5C83F6"/>
    <w:rsid w:val="6A6210A9"/>
    <w:rsid w:val="6A628F52"/>
    <w:rsid w:val="6A65FCA1"/>
    <w:rsid w:val="6A663CCE"/>
    <w:rsid w:val="6A679178"/>
    <w:rsid w:val="6A67BF1F"/>
    <w:rsid w:val="6A690BA6"/>
    <w:rsid w:val="6A6BA414"/>
    <w:rsid w:val="6A6D01EE"/>
    <w:rsid w:val="6A6D09E1"/>
    <w:rsid w:val="6A7B7B56"/>
    <w:rsid w:val="6A7DF714"/>
    <w:rsid w:val="6A7E0D04"/>
    <w:rsid w:val="6A80AAA6"/>
    <w:rsid w:val="6A8153F5"/>
    <w:rsid w:val="6A819100"/>
    <w:rsid w:val="6A821F18"/>
    <w:rsid w:val="6A8441AC"/>
    <w:rsid w:val="6A8852EF"/>
    <w:rsid w:val="6A8CECF2"/>
    <w:rsid w:val="6A910C5D"/>
    <w:rsid w:val="6A9215A0"/>
    <w:rsid w:val="6A93895A"/>
    <w:rsid w:val="6A95A512"/>
    <w:rsid w:val="6AA5846B"/>
    <w:rsid w:val="6AAAEB64"/>
    <w:rsid w:val="6AAFA976"/>
    <w:rsid w:val="6AB2BE32"/>
    <w:rsid w:val="6ABB7306"/>
    <w:rsid w:val="6ABC6AA4"/>
    <w:rsid w:val="6ABE3198"/>
    <w:rsid w:val="6ABE97B5"/>
    <w:rsid w:val="6AC2B0BA"/>
    <w:rsid w:val="6ACA9025"/>
    <w:rsid w:val="6ACCA32A"/>
    <w:rsid w:val="6AD2FFA3"/>
    <w:rsid w:val="6AD8C32D"/>
    <w:rsid w:val="6ADE00A4"/>
    <w:rsid w:val="6ADF4A50"/>
    <w:rsid w:val="6AE1C40B"/>
    <w:rsid w:val="6AE1E45A"/>
    <w:rsid w:val="6AE9F424"/>
    <w:rsid w:val="6AEDACAB"/>
    <w:rsid w:val="6AEE0C41"/>
    <w:rsid w:val="6AF4C7DA"/>
    <w:rsid w:val="6AF7931C"/>
    <w:rsid w:val="6AFB8A19"/>
    <w:rsid w:val="6AFFC89D"/>
    <w:rsid w:val="6B009E57"/>
    <w:rsid w:val="6B0DBD04"/>
    <w:rsid w:val="6B0F6F7A"/>
    <w:rsid w:val="6B140D00"/>
    <w:rsid w:val="6B1C9775"/>
    <w:rsid w:val="6B1D289D"/>
    <w:rsid w:val="6B207C4B"/>
    <w:rsid w:val="6B21AA7E"/>
    <w:rsid w:val="6B263034"/>
    <w:rsid w:val="6B278B7C"/>
    <w:rsid w:val="6B27EA61"/>
    <w:rsid w:val="6B2FAD1F"/>
    <w:rsid w:val="6B33E9CE"/>
    <w:rsid w:val="6B358F54"/>
    <w:rsid w:val="6B36CF5F"/>
    <w:rsid w:val="6B3A175A"/>
    <w:rsid w:val="6B3DE238"/>
    <w:rsid w:val="6B3EFA84"/>
    <w:rsid w:val="6B42662F"/>
    <w:rsid w:val="6B431691"/>
    <w:rsid w:val="6B456799"/>
    <w:rsid w:val="6B47993F"/>
    <w:rsid w:val="6B522A3B"/>
    <w:rsid w:val="6B59B95C"/>
    <w:rsid w:val="6B5C5087"/>
    <w:rsid w:val="6B605680"/>
    <w:rsid w:val="6B66D67D"/>
    <w:rsid w:val="6B67D366"/>
    <w:rsid w:val="6B6C44E8"/>
    <w:rsid w:val="6B6D6E54"/>
    <w:rsid w:val="6B6E05E9"/>
    <w:rsid w:val="6B6EB4D9"/>
    <w:rsid w:val="6B726282"/>
    <w:rsid w:val="6B7263BA"/>
    <w:rsid w:val="6B7474B1"/>
    <w:rsid w:val="6B77CC61"/>
    <w:rsid w:val="6B78ACAC"/>
    <w:rsid w:val="6B7DD421"/>
    <w:rsid w:val="6B7E364C"/>
    <w:rsid w:val="6B802A65"/>
    <w:rsid w:val="6B828BB2"/>
    <w:rsid w:val="6B869B5B"/>
    <w:rsid w:val="6B87FD72"/>
    <w:rsid w:val="6B8BC5BF"/>
    <w:rsid w:val="6B8C77D2"/>
    <w:rsid w:val="6B8CE9CE"/>
    <w:rsid w:val="6B95D596"/>
    <w:rsid w:val="6B995BB0"/>
    <w:rsid w:val="6B9F25E8"/>
    <w:rsid w:val="6BA23595"/>
    <w:rsid w:val="6BA4682E"/>
    <w:rsid w:val="6BA8FBBE"/>
    <w:rsid w:val="6BAA8EAF"/>
    <w:rsid w:val="6BAAA2BD"/>
    <w:rsid w:val="6BB042A6"/>
    <w:rsid w:val="6BB1C66C"/>
    <w:rsid w:val="6BB975F9"/>
    <w:rsid w:val="6BBAA051"/>
    <w:rsid w:val="6BC301DF"/>
    <w:rsid w:val="6BC6B309"/>
    <w:rsid w:val="6BC7DA71"/>
    <w:rsid w:val="6BC9D271"/>
    <w:rsid w:val="6BCEB86C"/>
    <w:rsid w:val="6BE6863A"/>
    <w:rsid w:val="6BEDB07F"/>
    <w:rsid w:val="6BEDDA58"/>
    <w:rsid w:val="6BF12E29"/>
    <w:rsid w:val="6BF3513F"/>
    <w:rsid w:val="6BF8E9B8"/>
    <w:rsid w:val="6BF932C8"/>
    <w:rsid w:val="6BFBCCB2"/>
    <w:rsid w:val="6BFE56E3"/>
    <w:rsid w:val="6C00D24D"/>
    <w:rsid w:val="6C0C2C1F"/>
    <w:rsid w:val="6C0DC0C4"/>
    <w:rsid w:val="6C0E93A6"/>
    <w:rsid w:val="6C105E69"/>
    <w:rsid w:val="6C112074"/>
    <w:rsid w:val="6C130E69"/>
    <w:rsid w:val="6C163544"/>
    <w:rsid w:val="6C1D7822"/>
    <w:rsid w:val="6C2307D9"/>
    <w:rsid w:val="6C26C6DA"/>
    <w:rsid w:val="6C3083D3"/>
    <w:rsid w:val="6C313B7D"/>
    <w:rsid w:val="6C3497F9"/>
    <w:rsid w:val="6C34B192"/>
    <w:rsid w:val="6C383122"/>
    <w:rsid w:val="6C4114A0"/>
    <w:rsid w:val="6C41507C"/>
    <w:rsid w:val="6C467DB1"/>
    <w:rsid w:val="6C487657"/>
    <w:rsid w:val="6C48854E"/>
    <w:rsid w:val="6C48BE61"/>
    <w:rsid w:val="6C4E1228"/>
    <w:rsid w:val="6C4E5BA3"/>
    <w:rsid w:val="6C4FBFDF"/>
    <w:rsid w:val="6C5663D6"/>
    <w:rsid w:val="6C567A48"/>
    <w:rsid w:val="6C5776C4"/>
    <w:rsid w:val="6C585390"/>
    <w:rsid w:val="6C5A8DC8"/>
    <w:rsid w:val="6C5C4168"/>
    <w:rsid w:val="6C5DEC9D"/>
    <w:rsid w:val="6C5F883B"/>
    <w:rsid w:val="6C618BF7"/>
    <w:rsid w:val="6C61EBC0"/>
    <w:rsid w:val="6C693C2F"/>
    <w:rsid w:val="6C6B6E5B"/>
    <w:rsid w:val="6C6E96FC"/>
    <w:rsid w:val="6C6F07DB"/>
    <w:rsid w:val="6C6F898D"/>
    <w:rsid w:val="6C6FFC02"/>
    <w:rsid w:val="6C710A74"/>
    <w:rsid w:val="6C726CD3"/>
    <w:rsid w:val="6C729A99"/>
    <w:rsid w:val="6C73E87D"/>
    <w:rsid w:val="6C7C7155"/>
    <w:rsid w:val="6C808C1E"/>
    <w:rsid w:val="6C80BD3E"/>
    <w:rsid w:val="6C80CB7A"/>
    <w:rsid w:val="6C80EB0C"/>
    <w:rsid w:val="6C81DABE"/>
    <w:rsid w:val="6C86491A"/>
    <w:rsid w:val="6C8708A8"/>
    <w:rsid w:val="6C8BC204"/>
    <w:rsid w:val="6C8DD4AE"/>
    <w:rsid w:val="6C93ABFA"/>
    <w:rsid w:val="6C940C25"/>
    <w:rsid w:val="6C953634"/>
    <w:rsid w:val="6C967100"/>
    <w:rsid w:val="6C97A2CE"/>
    <w:rsid w:val="6C97A45F"/>
    <w:rsid w:val="6C9E5CAC"/>
    <w:rsid w:val="6CA2F77E"/>
    <w:rsid w:val="6CA3B80A"/>
    <w:rsid w:val="6CAD2658"/>
    <w:rsid w:val="6CB458CC"/>
    <w:rsid w:val="6CB49410"/>
    <w:rsid w:val="6CB824E8"/>
    <w:rsid w:val="6CB9E189"/>
    <w:rsid w:val="6CBF1E94"/>
    <w:rsid w:val="6CC66E66"/>
    <w:rsid w:val="6CCC13B5"/>
    <w:rsid w:val="6CCC7E5D"/>
    <w:rsid w:val="6CD1026A"/>
    <w:rsid w:val="6CD30C12"/>
    <w:rsid w:val="6CD4265E"/>
    <w:rsid w:val="6CDB0A70"/>
    <w:rsid w:val="6CDC69E1"/>
    <w:rsid w:val="6CDECA2A"/>
    <w:rsid w:val="6CE24CDA"/>
    <w:rsid w:val="6CE4A321"/>
    <w:rsid w:val="6CE6000E"/>
    <w:rsid w:val="6CE64BA1"/>
    <w:rsid w:val="6CE69D08"/>
    <w:rsid w:val="6CE6EBFB"/>
    <w:rsid w:val="6CE8F6E0"/>
    <w:rsid w:val="6CEBD783"/>
    <w:rsid w:val="6CF05FFD"/>
    <w:rsid w:val="6CFD9622"/>
    <w:rsid w:val="6CFED65D"/>
    <w:rsid w:val="6D03E741"/>
    <w:rsid w:val="6D04C570"/>
    <w:rsid w:val="6D065ED3"/>
    <w:rsid w:val="6D07C6E3"/>
    <w:rsid w:val="6D09E45B"/>
    <w:rsid w:val="6D0C4F66"/>
    <w:rsid w:val="6D0FE944"/>
    <w:rsid w:val="6D1205C2"/>
    <w:rsid w:val="6D130563"/>
    <w:rsid w:val="6D130E89"/>
    <w:rsid w:val="6D184E44"/>
    <w:rsid w:val="6D195090"/>
    <w:rsid w:val="6D1A6A2F"/>
    <w:rsid w:val="6D1A85C9"/>
    <w:rsid w:val="6D1B2744"/>
    <w:rsid w:val="6D1B86BC"/>
    <w:rsid w:val="6D1FA81E"/>
    <w:rsid w:val="6D20C9CC"/>
    <w:rsid w:val="6D2104C4"/>
    <w:rsid w:val="6D214A50"/>
    <w:rsid w:val="6D2A3DF0"/>
    <w:rsid w:val="6D2A5BBA"/>
    <w:rsid w:val="6D2FBF2F"/>
    <w:rsid w:val="6D3128DB"/>
    <w:rsid w:val="6D32C06A"/>
    <w:rsid w:val="6D32C48E"/>
    <w:rsid w:val="6D351BCB"/>
    <w:rsid w:val="6D3687EB"/>
    <w:rsid w:val="6D37BF72"/>
    <w:rsid w:val="6D39716C"/>
    <w:rsid w:val="6D3C9B20"/>
    <w:rsid w:val="6D3D610B"/>
    <w:rsid w:val="6D4105C4"/>
    <w:rsid w:val="6D42A709"/>
    <w:rsid w:val="6D462E91"/>
    <w:rsid w:val="6D47C6D4"/>
    <w:rsid w:val="6D49D9AB"/>
    <w:rsid w:val="6D4A4557"/>
    <w:rsid w:val="6D4E8792"/>
    <w:rsid w:val="6D4EDE27"/>
    <w:rsid w:val="6D52B5BE"/>
    <w:rsid w:val="6D57B4EC"/>
    <w:rsid w:val="6D58D08A"/>
    <w:rsid w:val="6D594865"/>
    <w:rsid w:val="6D5BEDA6"/>
    <w:rsid w:val="6D5F2E61"/>
    <w:rsid w:val="6D636E03"/>
    <w:rsid w:val="6D63D01A"/>
    <w:rsid w:val="6D6419BD"/>
    <w:rsid w:val="6D64D648"/>
    <w:rsid w:val="6D656323"/>
    <w:rsid w:val="6D67DB21"/>
    <w:rsid w:val="6D67FECF"/>
    <w:rsid w:val="6D69489D"/>
    <w:rsid w:val="6D6A0EB5"/>
    <w:rsid w:val="6D7062E6"/>
    <w:rsid w:val="6D72E17B"/>
    <w:rsid w:val="6D773B9D"/>
    <w:rsid w:val="6D82145A"/>
    <w:rsid w:val="6D876E90"/>
    <w:rsid w:val="6D87A99E"/>
    <w:rsid w:val="6D8F2DD1"/>
    <w:rsid w:val="6D93286E"/>
    <w:rsid w:val="6D942BCE"/>
    <w:rsid w:val="6D985D7D"/>
    <w:rsid w:val="6D9ABD1D"/>
    <w:rsid w:val="6D9B04D8"/>
    <w:rsid w:val="6D9B67ED"/>
    <w:rsid w:val="6D9FC122"/>
    <w:rsid w:val="6DA061E7"/>
    <w:rsid w:val="6DA901AF"/>
    <w:rsid w:val="6DA9D217"/>
    <w:rsid w:val="6DAAF19F"/>
    <w:rsid w:val="6DACB688"/>
    <w:rsid w:val="6DACF79C"/>
    <w:rsid w:val="6DAF3A98"/>
    <w:rsid w:val="6DAF9A72"/>
    <w:rsid w:val="6DB0F904"/>
    <w:rsid w:val="6DB11B56"/>
    <w:rsid w:val="6DB61A97"/>
    <w:rsid w:val="6DB80EF9"/>
    <w:rsid w:val="6DBEFC0D"/>
    <w:rsid w:val="6DC3C3D3"/>
    <w:rsid w:val="6DC48E68"/>
    <w:rsid w:val="6DC5AC5B"/>
    <w:rsid w:val="6DCADDD4"/>
    <w:rsid w:val="6DD2E214"/>
    <w:rsid w:val="6DD5455A"/>
    <w:rsid w:val="6DDAD2E5"/>
    <w:rsid w:val="6DDD9B70"/>
    <w:rsid w:val="6DE1D1DA"/>
    <w:rsid w:val="6DE6E0F3"/>
    <w:rsid w:val="6DEB50A8"/>
    <w:rsid w:val="6DEC841A"/>
    <w:rsid w:val="6DF2F5CD"/>
    <w:rsid w:val="6DF4FEDF"/>
    <w:rsid w:val="6DF86E30"/>
    <w:rsid w:val="6DF95913"/>
    <w:rsid w:val="6DF96DDB"/>
    <w:rsid w:val="6DFA41A4"/>
    <w:rsid w:val="6DFC0DBC"/>
    <w:rsid w:val="6E0159F5"/>
    <w:rsid w:val="6E0220F6"/>
    <w:rsid w:val="6E02F140"/>
    <w:rsid w:val="6E046D5E"/>
    <w:rsid w:val="6E0587B0"/>
    <w:rsid w:val="6E05AC8D"/>
    <w:rsid w:val="6E08276B"/>
    <w:rsid w:val="6E0EC61B"/>
    <w:rsid w:val="6E131D13"/>
    <w:rsid w:val="6E14C260"/>
    <w:rsid w:val="6E15D095"/>
    <w:rsid w:val="6E17A386"/>
    <w:rsid w:val="6E19A700"/>
    <w:rsid w:val="6E1A37F9"/>
    <w:rsid w:val="6E1D4145"/>
    <w:rsid w:val="6E1DF9A4"/>
    <w:rsid w:val="6E259022"/>
    <w:rsid w:val="6E260818"/>
    <w:rsid w:val="6E298321"/>
    <w:rsid w:val="6E2AF9A8"/>
    <w:rsid w:val="6E329CDE"/>
    <w:rsid w:val="6E3A4256"/>
    <w:rsid w:val="6E410698"/>
    <w:rsid w:val="6E43868E"/>
    <w:rsid w:val="6E45E357"/>
    <w:rsid w:val="6E4A0BB2"/>
    <w:rsid w:val="6E4AA7B5"/>
    <w:rsid w:val="6E4E61D1"/>
    <w:rsid w:val="6E535D28"/>
    <w:rsid w:val="6E59C90F"/>
    <w:rsid w:val="6E5D0A03"/>
    <w:rsid w:val="6E5E7BA7"/>
    <w:rsid w:val="6E5F64D0"/>
    <w:rsid w:val="6E63E5D0"/>
    <w:rsid w:val="6E67F88C"/>
    <w:rsid w:val="6E6975D4"/>
    <w:rsid w:val="6E6D3748"/>
    <w:rsid w:val="6E6D683F"/>
    <w:rsid w:val="6E6DD095"/>
    <w:rsid w:val="6E6F42DD"/>
    <w:rsid w:val="6E71AAB8"/>
    <w:rsid w:val="6E760E60"/>
    <w:rsid w:val="6E78606A"/>
    <w:rsid w:val="6E7A122D"/>
    <w:rsid w:val="6E7A39EF"/>
    <w:rsid w:val="6E7BAC49"/>
    <w:rsid w:val="6E815D2B"/>
    <w:rsid w:val="6E8BA6E5"/>
    <w:rsid w:val="6E91BF8D"/>
    <w:rsid w:val="6E92DD74"/>
    <w:rsid w:val="6E937590"/>
    <w:rsid w:val="6E9F82C5"/>
    <w:rsid w:val="6EA0452C"/>
    <w:rsid w:val="6EA5B2E7"/>
    <w:rsid w:val="6EA77655"/>
    <w:rsid w:val="6EB0FB03"/>
    <w:rsid w:val="6EB34C98"/>
    <w:rsid w:val="6EB537DF"/>
    <w:rsid w:val="6EB587EA"/>
    <w:rsid w:val="6EB7EF44"/>
    <w:rsid w:val="6EBDD87F"/>
    <w:rsid w:val="6EC23997"/>
    <w:rsid w:val="6EC245B8"/>
    <w:rsid w:val="6EC2C1C6"/>
    <w:rsid w:val="6EC5A435"/>
    <w:rsid w:val="6EC908CD"/>
    <w:rsid w:val="6ED0940A"/>
    <w:rsid w:val="6ED258AD"/>
    <w:rsid w:val="6ED40FCE"/>
    <w:rsid w:val="6ED86DAC"/>
    <w:rsid w:val="6ED98661"/>
    <w:rsid w:val="6EDA1B72"/>
    <w:rsid w:val="6EDAABBC"/>
    <w:rsid w:val="6EDBA51B"/>
    <w:rsid w:val="6EDBD4E8"/>
    <w:rsid w:val="6EDF1810"/>
    <w:rsid w:val="6EE16203"/>
    <w:rsid w:val="6EE2B64C"/>
    <w:rsid w:val="6EEA0A43"/>
    <w:rsid w:val="6EEA7C88"/>
    <w:rsid w:val="6EEDF301"/>
    <w:rsid w:val="6EEE6C7C"/>
    <w:rsid w:val="6EEEE2B9"/>
    <w:rsid w:val="6EF54FE5"/>
    <w:rsid w:val="6EF73392"/>
    <w:rsid w:val="6EF85BD1"/>
    <w:rsid w:val="6EFB9271"/>
    <w:rsid w:val="6EFC7703"/>
    <w:rsid w:val="6EFCCDD6"/>
    <w:rsid w:val="6EFD2B15"/>
    <w:rsid w:val="6EFFF19D"/>
    <w:rsid w:val="6F00ACDF"/>
    <w:rsid w:val="6F02A8B4"/>
    <w:rsid w:val="6F039C72"/>
    <w:rsid w:val="6F04D502"/>
    <w:rsid w:val="6F06358F"/>
    <w:rsid w:val="6F07AFCA"/>
    <w:rsid w:val="6F0C0C4B"/>
    <w:rsid w:val="6F0ED398"/>
    <w:rsid w:val="6F0EF752"/>
    <w:rsid w:val="6F12D467"/>
    <w:rsid w:val="6F15A22A"/>
    <w:rsid w:val="6F1900A8"/>
    <w:rsid w:val="6F1C95CD"/>
    <w:rsid w:val="6F1D60B4"/>
    <w:rsid w:val="6F1FF787"/>
    <w:rsid w:val="6F20D315"/>
    <w:rsid w:val="6F29B169"/>
    <w:rsid w:val="6F2FEEEB"/>
    <w:rsid w:val="6F30B4EC"/>
    <w:rsid w:val="6F35ECBD"/>
    <w:rsid w:val="6F3A825C"/>
    <w:rsid w:val="6F3B50F1"/>
    <w:rsid w:val="6F3C400B"/>
    <w:rsid w:val="6F43C206"/>
    <w:rsid w:val="6F44AFF4"/>
    <w:rsid w:val="6F45818B"/>
    <w:rsid w:val="6F48FCF7"/>
    <w:rsid w:val="6F49BD34"/>
    <w:rsid w:val="6F4FB997"/>
    <w:rsid w:val="6F526D8A"/>
    <w:rsid w:val="6F52F933"/>
    <w:rsid w:val="6F550757"/>
    <w:rsid w:val="6F5554F7"/>
    <w:rsid w:val="6F5990F1"/>
    <w:rsid w:val="6F5AE79C"/>
    <w:rsid w:val="6F5E6D0D"/>
    <w:rsid w:val="6F602489"/>
    <w:rsid w:val="6F66F4A1"/>
    <w:rsid w:val="6F6C967E"/>
    <w:rsid w:val="6F72F072"/>
    <w:rsid w:val="6F73F437"/>
    <w:rsid w:val="6F76B9BC"/>
    <w:rsid w:val="6F775696"/>
    <w:rsid w:val="6F78B3F4"/>
    <w:rsid w:val="6F7963E3"/>
    <w:rsid w:val="6F79ED6E"/>
    <w:rsid w:val="6F83A5A7"/>
    <w:rsid w:val="6F859887"/>
    <w:rsid w:val="6F8AFC12"/>
    <w:rsid w:val="6F8BD8B6"/>
    <w:rsid w:val="6F9014D3"/>
    <w:rsid w:val="6F912B86"/>
    <w:rsid w:val="6F922F4D"/>
    <w:rsid w:val="6F97DC06"/>
    <w:rsid w:val="6F9B60A2"/>
    <w:rsid w:val="6F9CB62E"/>
    <w:rsid w:val="6F9DA080"/>
    <w:rsid w:val="6F9DC83A"/>
    <w:rsid w:val="6FA16CFA"/>
    <w:rsid w:val="6FA18C9D"/>
    <w:rsid w:val="6FA6B426"/>
    <w:rsid w:val="6FA8028F"/>
    <w:rsid w:val="6FAB86B2"/>
    <w:rsid w:val="6FB14D45"/>
    <w:rsid w:val="6FB194F5"/>
    <w:rsid w:val="6FB40D2E"/>
    <w:rsid w:val="6FB5EDFD"/>
    <w:rsid w:val="6FB665C5"/>
    <w:rsid w:val="6FBABADC"/>
    <w:rsid w:val="6FBC6B28"/>
    <w:rsid w:val="6FBE36C6"/>
    <w:rsid w:val="6FBFC8B4"/>
    <w:rsid w:val="6FC0421A"/>
    <w:rsid w:val="6FC2AD8A"/>
    <w:rsid w:val="6FC65121"/>
    <w:rsid w:val="6FC87769"/>
    <w:rsid w:val="6FCAE870"/>
    <w:rsid w:val="6FCD300B"/>
    <w:rsid w:val="6FCDDC61"/>
    <w:rsid w:val="6FD06560"/>
    <w:rsid w:val="6FD4D3A3"/>
    <w:rsid w:val="6FD55E92"/>
    <w:rsid w:val="6FD7BE70"/>
    <w:rsid w:val="6FDF1BCF"/>
    <w:rsid w:val="6FE1C756"/>
    <w:rsid w:val="6FE357D1"/>
    <w:rsid w:val="6FE8EC0F"/>
    <w:rsid w:val="6FF0D86B"/>
    <w:rsid w:val="6FF873D0"/>
    <w:rsid w:val="6FF99059"/>
    <w:rsid w:val="6FFDBDB0"/>
    <w:rsid w:val="6FFFF73D"/>
    <w:rsid w:val="7005C801"/>
    <w:rsid w:val="7008179B"/>
    <w:rsid w:val="700B7854"/>
    <w:rsid w:val="700BBF3E"/>
    <w:rsid w:val="700FE86F"/>
    <w:rsid w:val="70103C5A"/>
    <w:rsid w:val="70119B67"/>
    <w:rsid w:val="7012D601"/>
    <w:rsid w:val="7018CDC4"/>
    <w:rsid w:val="701C80A8"/>
    <w:rsid w:val="70266B70"/>
    <w:rsid w:val="70283B41"/>
    <w:rsid w:val="702994E8"/>
    <w:rsid w:val="702BE547"/>
    <w:rsid w:val="702DB2BA"/>
    <w:rsid w:val="70319965"/>
    <w:rsid w:val="7034ED56"/>
    <w:rsid w:val="7036F43C"/>
    <w:rsid w:val="703775C0"/>
    <w:rsid w:val="70382C37"/>
    <w:rsid w:val="7038624F"/>
    <w:rsid w:val="703E9C70"/>
    <w:rsid w:val="7041E690"/>
    <w:rsid w:val="704361A0"/>
    <w:rsid w:val="70490394"/>
    <w:rsid w:val="704B0A3E"/>
    <w:rsid w:val="704D3598"/>
    <w:rsid w:val="704E418A"/>
    <w:rsid w:val="704FF47A"/>
    <w:rsid w:val="7051120F"/>
    <w:rsid w:val="7052C7E0"/>
    <w:rsid w:val="7054988A"/>
    <w:rsid w:val="7059B9E0"/>
    <w:rsid w:val="705D34C1"/>
    <w:rsid w:val="70639CD2"/>
    <w:rsid w:val="70645B50"/>
    <w:rsid w:val="7064D94A"/>
    <w:rsid w:val="70681E64"/>
    <w:rsid w:val="7068B86D"/>
    <w:rsid w:val="7068C7AD"/>
    <w:rsid w:val="706F11C2"/>
    <w:rsid w:val="70709226"/>
    <w:rsid w:val="70749C15"/>
    <w:rsid w:val="70759962"/>
    <w:rsid w:val="7077BD20"/>
    <w:rsid w:val="70857DFC"/>
    <w:rsid w:val="708CFF4F"/>
    <w:rsid w:val="709242CD"/>
    <w:rsid w:val="7092D483"/>
    <w:rsid w:val="70936A7F"/>
    <w:rsid w:val="709434E8"/>
    <w:rsid w:val="7095625F"/>
    <w:rsid w:val="7096CDE0"/>
    <w:rsid w:val="709AD895"/>
    <w:rsid w:val="709B3123"/>
    <w:rsid w:val="709FCA4F"/>
    <w:rsid w:val="70A3780D"/>
    <w:rsid w:val="70A74AAF"/>
    <w:rsid w:val="70A931A9"/>
    <w:rsid w:val="70AB9E93"/>
    <w:rsid w:val="70AE995B"/>
    <w:rsid w:val="70B0E8BA"/>
    <w:rsid w:val="70B2F782"/>
    <w:rsid w:val="70B47A04"/>
    <w:rsid w:val="70B59554"/>
    <w:rsid w:val="70B5E80B"/>
    <w:rsid w:val="70B696DB"/>
    <w:rsid w:val="70B72C37"/>
    <w:rsid w:val="70BA02D2"/>
    <w:rsid w:val="70BFCC61"/>
    <w:rsid w:val="70C4B36E"/>
    <w:rsid w:val="70C90343"/>
    <w:rsid w:val="70CA72C2"/>
    <w:rsid w:val="70CFF561"/>
    <w:rsid w:val="70D15CB3"/>
    <w:rsid w:val="70D35066"/>
    <w:rsid w:val="70D37B2F"/>
    <w:rsid w:val="70D5F285"/>
    <w:rsid w:val="70DC9FBB"/>
    <w:rsid w:val="70E0073E"/>
    <w:rsid w:val="70E18FE2"/>
    <w:rsid w:val="70EA03ED"/>
    <w:rsid w:val="70EAAE39"/>
    <w:rsid w:val="70ECE334"/>
    <w:rsid w:val="70F5B5FC"/>
    <w:rsid w:val="70F7384A"/>
    <w:rsid w:val="70FC52D7"/>
    <w:rsid w:val="70FF1E28"/>
    <w:rsid w:val="70FF2946"/>
    <w:rsid w:val="70FF34DD"/>
    <w:rsid w:val="7100181C"/>
    <w:rsid w:val="710DB9F2"/>
    <w:rsid w:val="710DEB99"/>
    <w:rsid w:val="7110EFAE"/>
    <w:rsid w:val="71140340"/>
    <w:rsid w:val="711489E5"/>
    <w:rsid w:val="7114BA54"/>
    <w:rsid w:val="711B5267"/>
    <w:rsid w:val="7121D2EF"/>
    <w:rsid w:val="71275C27"/>
    <w:rsid w:val="7127D692"/>
    <w:rsid w:val="7132267E"/>
    <w:rsid w:val="71339719"/>
    <w:rsid w:val="7133B392"/>
    <w:rsid w:val="7134CFDA"/>
    <w:rsid w:val="71368E18"/>
    <w:rsid w:val="7136FA44"/>
    <w:rsid w:val="713B2891"/>
    <w:rsid w:val="71404F33"/>
    <w:rsid w:val="71420F62"/>
    <w:rsid w:val="71444AF7"/>
    <w:rsid w:val="71465033"/>
    <w:rsid w:val="714CF87F"/>
    <w:rsid w:val="714ED8BF"/>
    <w:rsid w:val="714EE4D9"/>
    <w:rsid w:val="71537934"/>
    <w:rsid w:val="7155637E"/>
    <w:rsid w:val="7156E872"/>
    <w:rsid w:val="71581A43"/>
    <w:rsid w:val="715AF6DC"/>
    <w:rsid w:val="715DEACE"/>
    <w:rsid w:val="715EC1F4"/>
    <w:rsid w:val="71637542"/>
    <w:rsid w:val="7164369F"/>
    <w:rsid w:val="716CAE02"/>
    <w:rsid w:val="716DD51A"/>
    <w:rsid w:val="716E0D32"/>
    <w:rsid w:val="716F3BCF"/>
    <w:rsid w:val="71704F04"/>
    <w:rsid w:val="7173E283"/>
    <w:rsid w:val="71769489"/>
    <w:rsid w:val="717BE53D"/>
    <w:rsid w:val="717DBCF1"/>
    <w:rsid w:val="717DD7BD"/>
    <w:rsid w:val="7182AFAB"/>
    <w:rsid w:val="7182B5CC"/>
    <w:rsid w:val="71843CB4"/>
    <w:rsid w:val="7189BF77"/>
    <w:rsid w:val="719104B2"/>
    <w:rsid w:val="7191BAC8"/>
    <w:rsid w:val="7194D607"/>
    <w:rsid w:val="7197B597"/>
    <w:rsid w:val="7197FD5F"/>
    <w:rsid w:val="719A51EA"/>
    <w:rsid w:val="719A82CE"/>
    <w:rsid w:val="71A10675"/>
    <w:rsid w:val="71A44686"/>
    <w:rsid w:val="71A5E71D"/>
    <w:rsid w:val="71A85A46"/>
    <w:rsid w:val="71AB5EE0"/>
    <w:rsid w:val="71B099A6"/>
    <w:rsid w:val="71BAC150"/>
    <w:rsid w:val="71BDC475"/>
    <w:rsid w:val="71BE56BD"/>
    <w:rsid w:val="71BF2473"/>
    <w:rsid w:val="71C45651"/>
    <w:rsid w:val="71C8EAC1"/>
    <w:rsid w:val="71C99EB5"/>
    <w:rsid w:val="71CB72F6"/>
    <w:rsid w:val="71D27882"/>
    <w:rsid w:val="71D2F957"/>
    <w:rsid w:val="71D56FE2"/>
    <w:rsid w:val="71D879F8"/>
    <w:rsid w:val="71D988E5"/>
    <w:rsid w:val="71E267FB"/>
    <w:rsid w:val="71E2EDD7"/>
    <w:rsid w:val="71E40134"/>
    <w:rsid w:val="71E7CCB5"/>
    <w:rsid w:val="71F1C38E"/>
    <w:rsid w:val="71F74612"/>
    <w:rsid w:val="7200408A"/>
    <w:rsid w:val="72041A18"/>
    <w:rsid w:val="720438DC"/>
    <w:rsid w:val="72060833"/>
    <w:rsid w:val="7206814A"/>
    <w:rsid w:val="72083FD6"/>
    <w:rsid w:val="720CF2C0"/>
    <w:rsid w:val="720CFE19"/>
    <w:rsid w:val="720E2905"/>
    <w:rsid w:val="7212E31D"/>
    <w:rsid w:val="721431D7"/>
    <w:rsid w:val="7219059D"/>
    <w:rsid w:val="721DBB04"/>
    <w:rsid w:val="721FC760"/>
    <w:rsid w:val="722237E4"/>
    <w:rsid w:val="722460A2"/>
    <w:rsid w:val="722495E1"/>
    <w:rsid w:val="7224CAF6"/>
    <w:rsid w:val="7227082F"/>
    <w:rsid w:val="72275E61"/>
    <w:rsid w:val="722A3D5E"/>
    <w:rsid w:val="722CFB66"/>
    <w:rsid w:val="7232324A"/>
    <w:rsid w:val="72327B0A"/>
    <w:rsid w:val="723319A2"/>
    <w:rsid w:val="7235EB4D"/>
    <w:rsid w:val="723D5612"/>
    <w:rsid w:val="7241D897"/>
    <w:rsid w:val="72497376"/>
    <w:rsid w:val="724A5E77"/>
    <w:rsid w:val="724C313C"/>
    <w:rsid w:val="724F1942"/>
    <w:rsid w:val="7250CAA5"/>
    <w:rsid w:val="72521CA6"/>
    <w:rsid w:val="725CBF3E"/>
    <w:rsid w:val="725DF9D6"/>
    <w:rsid w:val="725FD28C"/>
    <w:rsid w:val="72628165"/>
    <w:rsid w:val="72669C6E"/>
    <w:rsid w:val="7266D75E"/>
    <w:rsid w:val="7267A90C"/>
    <w:rsid w:val="7268ECD5"/>
    <w:rsid w:val="727112EA"/>
    <w:rsid w:val="7271641E"/>
    <w:rsid w:val="727721AC"/>
    <w:rsid w:val="7279ED0B"/>
    <w:rsid w:val="727E4774"/>
    <w:rsid w:val="72800149"/>
    <w:rsid w:val="72814B97"/>
    <w:rsid w:val="728213C8"/>
    <w:rsid w:val="7286F122"/>
    <w:rsid w:val="72871D79"/>
    <w:rsid w:val="72877E60"/>
    <w:rsid w:val="7287F31D"/>
    <w:rsid w:val="72890513"/>
    <w:rsid w:val="728D6BBE"/>
    <w:rsid w:val="728DFFAC"/>
    <w:rsid w:val="728F2A17"/>
    <w:rsid w:val="7294E14D"/>
    <w:rsid w:val="7295FC36"/>
    <w:rsid w:val="729622FF"/>
    <w:rsid w:val="729B4302"/>
    <w:rsid w:val="729D10C9"/>
    <w:rsid w:val="729D89A7"/>
    <w:rsid w:val="729F0E9B"/>
    <w:rsid w:val="729F3A5A"/>
    <w:rsid w:val="72A05D0E"/>
    <w:rsid w:val="72A07E6E"/>
    <w:rsid w:val="72A1C939"/>
    <w:rsid w:val="72A212D8"/>
    <w:rsid w:val="72A8B172"/>
    <w:rsid w:val="72ABB88C"/>
    <w:rsid w:val="72B15174"/>
    <w:rsid w:val="72B4A8BE"/>
    <w:rsid w:val="72BAD937"/>
    <w:rsid w:val="72BB526E"/>
    <w:rsid w:val="72BBA2CB"/>
    <w:rsid w:val="72C2855D"/>
    <w:rsid w:val="72C3A553"/>
    <w:rsid w:val="72C6E005"/>
    <w:rsid w:val="72D1D242"/>
    <w:rsid w:val="72D3502C"/>
    <w:rsid w:val="72D41E4F"/>
    <w:rsid w:val="72DF8645"/>
    <w:rsid w:val="72E0C18A"/>
    <w:rsid w:val="72E19C7D"/>
    <w:rsid w:val="72E594E2"/>
    <w:rsid w:val="72E69262"/>
    <w:rsid w:val="72EC2D51"/>
    <w:rsid w:val="72EC456E"/>
    <w:rsid w:val="72ED0780"/>
    <w:rsid w:val="72EFF762"/>
    <w:rsid w:val="72F39727"/>
    <w:rsid w:val="72F6B1DC"/>
    <w:rsid w:val="72F6BAAA"/>
    <w:rsid w:val="73024686"/>
    <w:rsid w:val="7304FA05"/>
    <w:rsid w:val="73075BA7"/>
    <w:rsid w:val="73096D6A"/>
    <w:rsid w:val="730C2BA7"/>
    <w:rsid w:val="730ED9D2"/>
    <w:rsid w:val="7315BC5C"/>
    <w:rsid w:val="7317E550"/>
    <w:rsid w:val="731E915D"/>
    <w:rsid w:val="7321569D"/>
    <w:rsid w:val="73271B76"/>
    <w:rsid w:val="732D0BDD"/>
    <w:rsid w:val="732DE6D4"/>
    <w:rsid w:val="732E4DB2"/>
    <w:rsid w:val="7332390A"/>
    <w:rsid w:val="7333D3EE"/>
    <w:rsid w:val="73350A3B"/>
    <w:rsid w:val="733C43A9"/>
    <w:rsid w:val="733F6BB1"/>
    <w:rsid w:val="733F92BB"/>
    <w:rsid w:val="7342C2D2"/>
    <w:rsid w:val="734440AA"/>
    <w:rsid w:val="734468DC"/>
    <w:rsid w:val="7344D8B7"/>
    <w:rsid w:val="7344FE38"/>
    <w:rsid w:val="7347497A"/>
    <w:rsid w:val="734D4292"/>
    <w:rsid w:val="73510A03"/>
    <w:rsid w:val="73523E20"/>
    <w:rsid w:val="7352DF19"/>
    <w:rsid w:val="735962EE"/>
    <w:rsid w:val="735C8F29"/>
    <w:rsid w:val="735D6C97"/>
    <w:rsid w:val="735FDCE2"/>
    <w:rsid w:val="73613F1A"/>
    <w:rsid w:val="73647E0C"/>
    <w:rsid w:val="73649535"/>
    <w:rsid w:val="73678B5A"/>
    <w:rsid w:val="736CEC12"/>
    <w:rsid w:val="736DDC7B"/>
    <w:rsid w:val="736F1A78"/>
    <w:rsid w:val="73713B69"/>
    <w:rsid w:val="73774F83"/>
    <w:rsid w:val="737A5022"/>
    <w:rsid w:val="737DA3F3"/>
    <w:rsid w:val="737E789B"/>
    <w:rsid w:val="738AFFEE"/>
    <w:rsid w:val="738C054B"/>
    <w:rsid w:val="738E0119"/>
    <w:rsid w:val="738E927C"/>
    <w:rsid w:val="73902527"/>
    <w:rsid w:val="7391FD4E"/>
    <w:rsid w:val="73960CBD"/>
    <w:rsid w:val="73966472"/>
    <w:rsid w:val="73995DEF"/>
    <w:rsid w:val="739F0F09"/>
    <w:rsid w:val="739F40FB"/>
    <w:rsid w:val="73A05419"/>
    <w:rsid w:val="73A54853"/>
    <w:rsid w:val="73A68B5D"/>
    <w:rsid w:val="73AF171F"/>
    <w:rsid w:val="73BA9FF1"/>
    <w:rsid w:val="73BB166B"/>
    <w:rsid w:val="73BDCC0B"/>
    <w:rsid w:val="73C052E3"/>
    <w:rsid w:val="73C41282"/>
    <w:rsid w:val="73C54908"/>
    <w:rsid w:val="73CF38B0"/>
    <w:rsid w:val="73D48F31"/>
    <w:rsid w:val="73D5D53A"/>
    <w:rsid w:val="73D6229B"/>
    <w:rsid w:val="73E0EDFB"/>
    <w:rsid w:val="73E3AFCA"/>
    <w:rsid w:val="73E9064D"/>
    <w:rsid w:val="73E9953F"/>
    <w:rsid w:val="73EC1EF6"/>
    <w:rsid w:val="73F279C8"/>
    <w:rsid w:val="73F4B3FF"/>
    <w:rsid w:val="73F75A29"/>
    <w:rsid w:val="73F819D4"/>
    <w:rsid w:val="73F9C11E"/>
    <w:rsid w:val="73FE4DCC"/>
    <w:rsid w:val="74028B0E"/>
    <w:rsid w:val="7404A4FD"/>
    <w:rsid w:val="740F98A5"/>
    <w:rsid w:val="7413DC2A"/>
    <w:rsid w:val="7417228D"/>
    <w:rsid w:val="74187AB3"/>
    <w:rsid w:val="741D1486"/>
    <w:rsid w:val="741EA47E"/>
    <w:rsid w:val="742C7033"/>
    <w:rsid w:val="74343231"/>
    <w:rsid w:val="743AF270"/>
    <w:rsid w:val="743CB95C"/>
    <w:rsid w:val="743FD5AA"/>
    <w:rsid w:val="74403D79"/>
    <w:rsid w:val="74441382"/>
    <w:rsid w:val="7449CB85"/>
    <w:rsid w:val="744A1CE0"/>
    <w:rsid w:val="7453CE11"/>
    <w:rsid w:val="74540C01"/>
    <w:rsid w:val="74578722"/>
    <w:rsid w:val="7457C38C"/>
    <w:rsid w:val="745C026F"/>
    <w:rsid w:val="745D6AE3"/>
    <w:rsid w:val="7464B890"/>
    <w:rsid w:val="74687C25"/>
    <w:rsid w:val="746A86B2"/>
    <w:rsid w:val="746AF901"/>
    <w:rsid w:val="746C6307"/>
    <w:rsid w:val="746FEA58"/>
    <w:rsid w:val="74709C4A"/>
    <w:rsid w:val="7470D1A9"/>
    <w:rsid w:val="74749870"/>
    <w:rsid w:val="7479D804"/>
    <w:rsid w:val="747A2919"/>
    <w:rsid w:val="747B3CD8"/>
    <w:rsid w:val="747F9226"/>
    <w:rsid w:val="74832C0F"/>
    <w:rsid w:val="7486E54B"/>
    <w:rsid w:val="748AADFE"/>
    <w:rsid w:val="748F9180"/>
    <w:rsid w:val="7496E9C9"/>
    <w:rsid w:val="74985DB6"/>
    <w:rsid w:val="749FDF1B"/>
    <w:rsid w:val="74A4BA5B"/>
    <w:rsid w:val="74A771AE"/>
    <w:rsid w:val="74A8015A"/>
    <w:rsid w:val="74ADC953"/>
    <w:rsid w:val="74B10E0E"/>
    <w:rsid w:val="74B53044"/>
    <w:rsid w:val="74B7FCD0"/>
    <w:rsid w:val="74B9A659"/>
    <w:rsid w:val="74BA0670"/>
    <w:rsid w:val="74BE5DCB"/>
    <w:rsid w:val="74BF80F4"/>
    <w:rsid w:val="74C1C1E9"/>
    <w:rsid w:val="74C2FE66"/>
    <w:rsid w:val="74C7664B"/>
    <w:rsid w:val="74C91899"/>
    <w:rsid w:val="74CC2E0B"/>
    <w:rsid w:val="74CC3523"/>
    <w:rsid w:val="74CDB08E"/>
    <w:rsid w:val="74CE69EA"/>
    <w:rsid w:val="74D22394"/>
    <w:rsid w:val="74D4B6F9"/>
    <w:rsid w:val="74D939F0"/>
    <w:rsid w:val="74E1CE00"/>
    <w:rsid w:val="74E29786"/>
    <w:rsid w:val="74E30A1C"/>
    <w:rsid w:val="74E3427E"/>
    <w:rsid w:val="74E8DE29"/>
    <w:rsid w:val="74EBFF50"/>
    <w:rsid w:val="74ED924A"/>
    <w:rsid w:val="74EEBB1C"/>
    <w:rsid w:val="74F18A98"/>
    <w:rsid w:val="74F5E14B"/>
    <w:rsid w:val="74FA8C74"/>
    <w:rsid w:val="74FD6140"/>
    <w:rsid w:val="74FD6D15"/>
    <w:rsid w:val="74FE6B38"/>
    <w:rsid w:val="75049CA2"/>
    <w:rsid w:val="750546F0"/>
    <w:rsid w:val="7506E432"/>
    <w:rsid w:val="75076C57"/>
    <w:rsid w:val="75095961"/>
    <w:rsid w:val="75098691"/>
    <w:rsid w:val="750C8F0A"/>
    <w:rsid w:val="750EC0BD"/>
    <w:rsid w:val="7512E627"/>
    <w:rsid w:val="751BCBCD"/>
    <w:rsid w:val="751FD3E5"/>
    <w:rsid w:val="75248B7A"/>
    <w:rsid w:val="7527F879"/>
    <w:rsid w:val="7532B540"/>
    <w:rsid w:val="75336D37"/>
    <w:rsid w:val="7536A920"/>
    <w:rsid w:val="753A68CF"/>
    <w:rsid w:val="753B28F5"/>
    <w:rsid w:val="753D77DC"/>
    <w:rsid w:val="753D83E9"/>
    <w:rsid w:val="753F2884"/>
    <w:rsid w:val="7540A4B8"/>
    <w:rsid w:val="75423EA1"/>
    <w:rsid w:val="75442276"/>
    <w:rsid w:val="754F6771"/>
    <w:rsid w:val="7552970F"/>
    <w:rsid w:val="75540A94"/>
    <w:rsid w:val="7555AE5A"/>
    <w:rsid w:val="755C54D3"/>
    <w:rsid w:val="755EC18A"/>
    <w:rsid w:val="7561B37E"/>
    <w:rsid w:val="756307E7"/>
    <w:rsid w:val="7565957C"/>
    <w:rsid w:val="756C6730"/>
    <w:rsid w:val="756CBAB0"/>
    <w:rsid w:val="756D1DF7"/>
    <w:rsid w:val="756E3874"/>
    <w:rsid w:val="757006F8"/>
    <w:rsid w:val="75713A40"/>
    <w:rsid w:val="757294BC"/>
    <w:rsid w:val="75747960"/>
    <w:rsid w:val="7575D9DC"/>
    <w:rsid w:val="757678E1"/>
    <w:rsid w:val="757B64AF"/>
    <w:rsid w:val="7582E3FB"/>
    <w:rsid w:val="75847F86"/>
    <w:rsid w:val="758832BE"/>
    <w:rsid w:val="7588A6AC"/>
    <w:rsid w:val="75930EE4"/>
    <w:rsid w:val="759C4F34"/>
    <w:rsid w:val="759C8F01"/>
    <w:rsid w:val="759F0393"/>
    <w:rsid w:val="75A05794"/>
    <w:rsid w:val="75A131EF"/>
    <w:rsid w:val="75A1735D"/>
    <w:rsid w:val="75A2F1E0"/>
    <w:rsid w:val="75A3BA5C"/>
    <w:rsid w:val="75A4894A"/>
    <w:rsid w:val="75A586C1"/>
    <w:rsid w:val="75A58FBD"/>
    <w:rsid w:val="75AEA134"/>
    <w:rsid w:val="75B07F36"/>
    <w:rsid w:val="75B22ABA"/>
    <w:rsid w:val="75B6B96E"/>
    <w:rsid w:val="75B7A75C"/>
    <w:rsid w:val="75C34316"/>
    <w:rsid w:val="75C4BC90"/>
    <w:rsid w:val="75C6C9B6"/>
    <w:rsid w:val="75CB7967"/>
    <w:rsid w:val="75D0D5AE"/>
    <w:rsid w:val="75D35CB6"/>
    <w:rsid w:val="75D7D030"/>
    <w:rsid w:val="75DD23BD"/>
    <w:rsid w:val="75E16BE5"/>
    <w:rsid w:val="75E24A7C"/>
    <w:rsid w:val="75E43C2F"/>
    <w:rsid w:val="75E4B8DF"/>
    <w:rsid w:val="75E4D5FE"/>
    <w:rsid w:val="75E6D2C3"/>
    <w:rsid w:val="75F34793"/>
    <w:rsid w:val="75F43572"/>
    <w:rsid w:val="75F682C9"/>
    <w:rsid w:val="75FBCFE0"/>
    <w:rsid w:val="75FC200F"/>
    <w:rsid w:val="75FD3619"/>
    <w:rsid w:val="7600AB17"/>
    <w:rsid w:val="76012719"/>
    <w:rsid w:val="76015E96"/>
    <w:rsid w:val="7609A77B"/>
    <w:rsid w:val="760BB723"/>
    <w:rsid w:val="760E565D"/>
    <w:rsid w:val="76144BA8"/>
    <w:rsid w:val="7615DFE4"/>
    <w:rsid w:val="761B9BAF"/>
    <w:rsid w:val="761CE782"/>
    <w:rsid w:val="761E8642"/>
    <w:rsid w:val="7622BAA7"/>
    <w:rsid w:val="7624FE2B"/>
    <w:rsid w:val="7629592D"/>
    <w:rsid w:val="7629837D"/>
    <w:rsid w:val="762B7795"/>
    <w:rsid w:val="76307615"/>
    <w:rsid w:val="7630998B"/>
    <w:rsid w:val="76383DB7"/>
    <w:rsid w:val="76392600"/>
    <w:rsid w:val="763C0159"/>
    <w:rsid w:val="7646CFC1"/>
    <w:rsid w:val="7649C790"/>
    <w:rsid w:val="764B5A89"/>
    <w:rsid w:val="764C4100"/>
    <w:rsid w:val="764CAE3E"/>
    <w:rsid w:val="764F5CB1"/>
    <w:rsid w:val="7658752A"/>
    <w:rsid w:val="765BEDC2"/>
    <w:rsid w:val="765BF0F4"/>
    <w:rsid w:val="765D7D97"/>
    <w:rsid w:val="7661BC1B"/>
    <w:rsid w:val="766645D9"/>
    <w:rsid w:val="766B7891"/>
    <w:rsid w:val="7675DCEC"/>
    <w:rsid w:val="767FAAFA"/>
    <w:rsid w:val="7689F967"/>
    <w:rsid w:val="768C8962"/>
    <w:rsid w:val="768CBE9C"/>
    <w:rsid w:val="768F4094"/>
    <w:rsid w:val="769565B9"/>
    <w:rsid w:val="76996380"/>
    <w:rsid w:val="76996672"/>
    <w:rsid w:val="769D61F6"/>
    <w:rsid w:val="76A14B08"/>
    <w:rsid w:val="76A23DBE"/>
    <w:rsid w:val="76A2D33B"/>
    <w:rsid w:val="76A3C1E5"/>
    <w:rsid w:val="76AA3B8E"/>
    <w:rsid w:val="76AC412F"/>
    <w:rsid w:val="76B10CA8"/>
    <w:rsid w:val="76B2774D"/>
    <w:rsid w:val="76B27B6E"/>
    <w:rsid w:val="76B38357"/>
    <w:rsid w:val="76B39A3F"/>
    <w:rsid w:val="76C3B2E2"/>
    <w:rsid w:val="76C6F259"/>
    <w:rsid w:val="76C7AAA1"/>
    <w:rsid w:val="76C7FA44"/>
    <w:rsid w:val="76CD5A81"/>
    <w:rsid w:val="76CFE72F"/>
    <w:rsid w:val="76D84E09"/>
    <w:rsid w:val="76DF72BB"/>
    <w:rsid w:val="76E9B24F"/>
    <w:rsid w:val="76ED25D0"/>
    <w:rsid w:val="76F0485D"/>
    <w:rsid w:val="76FC47F7"/>
    <w:rsid w:val="77001473"/>
    <w:rsid w:val="7708D77B"/>
    <w:rsid w:val="77095445"/>
    <w:rsid w:val="770CCA0E"/>
    <w:rsid w:val="770FD436"/>
    <w:rsid w:val="7711BE5E"/>
    <w:rsid w:val="7713508B"/>
    <w:rsid w:val="7718C6AE"/>
    <w:rsid w:val="7719BA98"/>
    <w:rsid w:val="7721E039"/>
    <w:rsid w:val="77255853"/>
    <w:rsid w:val="772651FB"/>
    <w:rsid w:val="7728D7BE"/>
    <w:rsid w:val="77294962"/>
    <w:rsid w:val="77296D5F"/>
    <w:rsid w:val="77336523"/>
    <w:rsid w:val="7735111F"/>
    <w:rsid w:val="77366AC1"/>
    <w:rsid w:val="77399C3E"/>
    <w:rsid w:val="773BAC0E"/>
    <w:rsid w:val="773E5207"/>
    <w:rsid w:val="773E8787"/>
    <w:rsid w:val="774180F1"/>
    <w:rsid w:val="7744E73B"/>
    <w:rsid w:val="7746B72B"/>
    <w:rsid w:val="7748E1AD"/>
    <w:rsid w:val="774943A8"/>
    <w:rsid w:val="774A001F"/>
    <w:rsid w:val="7750F39E"/>
    <w:rsid w:val="77575100"/>
    <w:rsid w:val="775DA4F0"/>
    <w:rsid w:val="7764CBF8"/>
    <w:rsid w:val="7768A514"/>
    <w:rsid w:val="776ADF89"/>
    <w:rsid w:val="776D82EC"/>
    <w:rsid w:val="77723851"/>
    <w:rsid w:val="77744104"/>
    <w:rsid w:val="77762C3B"/>
    <w:rsid w:val="777ABA4D"/>
    <w:rsid w:val="777B5810"/>
    <w:rsid w:val="777CA3A8"/>
    <w:rsid w:val="77819B0C"/>
    <w:rsid w:val="778426C3"/>
    <w:rsid w:val="77886B52"/>
    <w:rsid w:val="778BB756"/>
    <w:rsid w:val="779161A4"/>
    <w:rsid w:val="7796551A"/>
    <w:rsid w:val="779733BA"/>
    <w:rsid w:val="779999EC"/>
    <w:rsid w:val="779B6886"/>
    <w:rsid w:val="779BC713"/>
    <w:rsid w:val="779CBC63"/>
    <w:rsid w:val="779D7285"/>
    <w:rsid w:val="77A208E1"/>
    <w:rsid w:val="77A243AE"/>
    <w:rsid w:val="77A87833"/>
    <w:rsid w:val="77AAC0B7"/>
    <w:rsid w:val="77AB96CD"/>
    <w:rsid w:val="77ABBBE5"/>
    <w:rsid w:val="77B46A7E"/>
    <w:rsid w:val="77B4AA80"/>
    <w:rsid w:val="77B538CF"/>
    <w:rsid w:val="77B82975"/>
    <w:rsid w:val="77B8B9B6"/>
    <w:rsid w:val="77BACE65"/>
    <w:rsid w:val="77BAE1FB"/>
    <w:rsid w:val="77BD8F2E"/>
    <w:rsid w:val="77BEC6E2"/>
    <w:rsid w:val="77BFBAB7"/>
    <w:rsid w:val="77BFC5B8"/>
    <w:rsid w:val="77C197CD"/>
    <w:rsid w:val="77C62704"/>
    <w:rsid w:val="77C7CD62"/>
    <w:rsid w:val="77C9B15D"/>
    <w:rsid w:val="77CA3B9F"/>
    <w:rsid w:val="77CEAA43"/>
    <w:rsid w:val="77D10DD1"/>
    <w:rsid w:val="77D112B8"/>
    <w:rsid w:val="77D98974"/>
    <w:rsid w:val="77E0D051"/>
    <w:rsid w:val="77E24584"/>
    <w:rsid w:val="77E2F1D1"/>
    <w:rsid w:val="77EA7684"/>
    <w:rsid w:val="77EC1206"/>
    <w:rsid w:val="77ECB5CD"/>
    <w:rsid w:val="77ED14F0"/>
    <w:rsid w:val="77F174A6"/>
    <w:rsid w:val="77F28F58"/>
    <w:rsid w:val="77F490D8"/>
    <w:rsid w:val="77F8593D"/>
    <w:rsid w:val="77F9F314"/>
    <w:rsid w:val="77FA5D00"/>
    <w:rsid w:val="77FB5912"/>
    <w:rsid w:val="77FE0E20"/>
    <w:rsid w:val="7809691B"/>
    <w:rsid w:val="7809E8E3"/>
    <w:rsid w:val="780BECC9"/>
    <w:rsid w:val="780C1E25"/>
    <w:rsid w:val="780C4567"/>
    <w:rsid w:val="78125F31"/>
    <w:rsid w:val="78146D7A"/>
    <w:rsid w:val="7818036F"/>
    <w:rsid w:val="781B078D"/>
    <w:rsid w:val="781D333D"/>
    <w:rsid w:val="781D5788"/>
    <w:rsid w:val="781E70E5"/>
    <w:rsid w:val="78223B4A"/>
    <w:rsid w:val="7823AF7C"/>
    <w:rsid w:val="782A18FA"/>
    <w:rsid w:val="782F73EE"/>
    <w:rsid w:val="783159C3"/>
    <w:rsid w:val="7832A1DA"/>
    <w:rsid w:val="78368414"/>
    <w:rsid w:val="7836AFD0"/>
    <w:rsid w:val="7839CF8D"/>
    <w:rsid w:val="783D55AE"/>
    <w:rsid w:val="783DE0DD"/>
    <w:rsid w:val="78417C1D"/>
    <w:rsid w:val="78476CAF"/>
    <w:rsid w:val="784DFF92"/>
    <w:rsid w:val="784E4BF9"/>
    <w:rsid w:val="78513CD2"/>
    <w:rsid w:val="785D017B"/>
    <w:rsid w:val="785F8ED0"/>
    <w:rsid w:val="78662857"/>
    <w:rsid w:val="787281CD"/>
    <w:rsid w:val="78796203"/>
    <w:rsid w:val="787A714B"/>
    <w:rsid w:val="787D0964"/>
    <w:rsid w:val="78804149"/>
    <w:rsid w:val="7881C1CC"/>
    <w:rsid w:val="78846333"/>
    <w:rsid w:val="7884E767"/>
    <w:rsid w:val="7888BCAC"/>
    <w:rsid w:val="788D13AB"/>
    <w:rsid w:val="788DC28A"/>
    <w:rsid w:val="788DF8D0"/>
    <w:rsid w:val="78928B29"/>
    <w:rsid w:val="78941C4A"/>
    <w:rsid w:val="78967949"/>
    <w:rsid w:val="78967E2F"/>
    <w:rsid w:val="7899032E"/>
    <w:rsid w:val="789E6AC6"/>
    <w:rsid w:val="78A23D80"/>
    <w:rsid w:val="78A2A307"/>
    <w:rsid w:val="78A454A9"/>
    <w:rsid w:val="78A7A216"/>
    <w:rsid w:val="78A803A4"/>
    <w:rsid w:val="78AC4DFF"/>
    <w:rsid w:val="78AE18B2"/>
    <w:rsid w:val="78AE56A2"/>
    <w:rsid w:val="78B5D13A"/>
    <w:rsid w:val="78B64567"/>
    <w:rsid w:val="78B7941A"/>
    <w:rsid w:val="78BA7675"/>
    <w:rsid w:val="78BAC983"/>
    <w:rsid w:val="78BBB64F"/>
    <w:rsid w:val="78C36BFE"/>
    <w:rsid w:val="78C60CB2"/>
    <w:rsid w:val="78C903AA"/>
    <w:rsid w:val="78D28DFE"/>
    <w:rsid w:val="78D3634B"/>
    <w:rsid w:val="78D53C4A"/>
    <w:rsid w:val="78DDAF8A"/>
    <w:rsid w:val="78E27D8B"/>
    <w:rsid w:val="78E2F383"/>
    <w:rsid w:val="78E97DB9"/>
    <w:rsid w:val="78EACF0A"/>
    <w:rsid w:val="78F42775"/>
    <w:rsid w:val="78F77EB9"/>
    <w:rsid w:val="78F893A0"/>
    <w:rsid w:val="78FDCE15"/>
    <w:rsid w:val="78FDF1FD"/>
    <w:rsid w:val="78FE15EB"/>
    <w:rsid w:val="78FEB206"/>
    <w:rsid w:val="79014868"/>
    <w:rsid w:val="7905C1C3"/>
    <w:rsid w:val="79093D5B"/>
    <w:rsid w:val="7909F559"/>
    <w:rsid w:val="790D9450"/>
    <w:rsid w:val="790E5E00"/>
    <w:rsid w:val="7910630C"/>
    <w:rsid w:val="7911AD4F"/>
    <w:rsid w:val="7912F2A5"/>
    <w:rsid w:val="7917272D"/>
    <w:rsid w:val="791D1845"/>
    <w:rsid w:val="791D5FE3"/>
    <w:rsid w:val="791DCAF0"/>
    <w:rsid w:val="79229AE7"/>
    <w:rsid w:val="792E78FF"/>
    <w:rsid w:val="792F29C2"/>
    <w:rsid w:val="7931FEEC"/>
    <w:rsid w:val="79362C50"/>
    <w:rsid w:val="7939AEA4"/>
    <w:rsid w:val="793A031F"/>
    <w:rsid w:val="793A2B80"/>
    <w:rsid w:val="793DFBB3"/>
    <w:rsid w:val="794202AD"/>
    <w:rsid w:val="7942BC61"/>
    <w:rsid w:val="79445EC5"/>
    <w:rsid w:val="7944F040"/>
    <w:rsid w:val="79472A85"/>
    <w:rsid w:val="79488136"/>
    <w:rsid w:val="7949EFCF"/>
    <w:rsid w:val="794B5B86"/>
    <w:rsid w:val="794CF168"/>
    <w:rsid w:val="794ECB62"/>
    <w:rsid w:val="794FB7D5"/>
    <w:rsid w:val="79528B9B"/>
    <w:rsid w:val="7955BF84"/>
    <w:rsid w:val="795738C7"/>
    <w:rsid w:val="7957A7D6"/>
    <w:rsid w:val="79594702"/>
    <w:rsid w:val="795D82AE"/>
    <w:rsid w:val="795EE7D3"/>
    <w:rsid w:val="795FF307"/>
    <w:rsid w:val="79632190"/>
    <w:rsid w:val="796498ED"/>
    <w:rsid w:val="796A2E1C"/>
    <w:rsid w:val="796A9CFF"/>
    <w:rsid w:val="796C730C"/>
    <w:rsid w:val="79718E31"/>
    <w:rsid w:val="797A6AB8"/>
    <w:rsid w:val="797B69F2"/>
    <w:rsid w:val="798123AA"/>
    <w:rsid w:val="79831DBB"/>
    <w:rsid w:val="798436CF"/>
    <w:rsid w:val="7985C5D5"/>
    <w:rsid w:val="7988E6C4"/>
    <w:rsid w:val="798B1398"/>
    <w:rsid w:val="79916072"/>
    <w:rsid w:val="7991B1FF"/>
    <w:rsid w:val="79931266"/>
    <w:rsid w:val="7993BE31"/>
    <w:rsid w:val="799A6657"/>
    <w:rsid w:val="799DB1B6"/>
    <w:rsid w:val="799ED305"/>
    <w:rsid w:val="799F8A31"/>
    <w:rsid w:val="79A741CC"/>
    <w:rsid w:val="79A79AB0"/>
    <w:rsid w:val="79A832AA"/>
    <w:rsid w:val="79AD6CBE"/>
    <w:rsid w:val="79AE63E2"/>
    <w:rsid w:val="79B03D91"/>
    <w:rsid w:val="79B13E90"/>
    <w:rsid w:val="79B984CD"/>
    <w:rsid w:val="79BE37E5"/>
    <w:rsid w:val="79BF2DFD"/>
    <w:rsid w:val="79BFE3E4"/>
    <w:rsid w:val="79C3EC07"/>
    <w:rsid w:val="79C59607"/>
    <w:rsid w:val="79C701AE"/>
    <w:rsid w:val="79CAEC2D"/>
    <w:rsid w:val="79CBAEAB"/>
    <w:rsid w:val="79CC22E1"/>
    <w:rsid w:val="79CCDB6A"/>
    <w:rsid w:val="79CE313E"/>
    <w:rsid w:val="79CF9AE9"/>
    <w:rsid w:val="79D029C6"/>
    <w:rsid w:val="79D0D42D"/>
    <w:rsid w:val="79D2B3C3"/>
    <w:rsid w:val="79D463B9"/>
    <w:rsid w:val="79D7086F"/>
    <w:rsid w:val="79D9ACFB"/>
    <w:rsid w:val="79DA9F79"/>
    <w:rsid w:val="79DC9ECE"/>
    <w:rsid w:val="79E8B5C5"/>
    <w:rsid w:val="79E97C21"/>
    <w:rsid w:val="79EC4991"/>
    <w:rsid w:val="79F2D51F"/>
    <w:rsid w:val="79F34E86"/>
    <w:rsid w:val="79F6C6FA"/>
    <w:rsid w:val="79F7110E"/>
    <w:rsid w:val="79F73397"/>
    <w:rsid w:val="79F7F475"/>
    <w:rsid w:val="79F89F73"/>
    <w:rsid w:val="79F95559"/>
    <w:rsid w:val="79FF3B74"/>
    <w:rsid w:val="7A00A812"/>
    <w:rsid w:val="7A03EB09"/>
    <w:rsid w:val="7A061F40"/>
    <w:rsid w:val="7A07251D"/>
    <w:rsid w:val="7A0819EF"/>
    <w:rsid w:val="7A088AC6"/>
    <w:rsid w:val="7A0B88E9"/>
    <w:rsid w:val="7A0CF8C8"/>
    <w:rsid w:val="7A0D1654"/>
    <w:rsid w:val="7A0EB774"/>
    <w:rsid w:val="7A11E1EF"/>
    <w:rsid w:val="7A13CAF8"/>
    <w:rsid w:val="7A145D51"/>
    <w:rsid w:val="7A168FFC"/>
    <w:rsid w:val="7A19DAF4"/>
    <w:rsid w:val="7A1ABF21"/>
    <w:rsid w:val="7A1ADE29"/>
    <w:rsid w:val="7A23072F"/>
    <w:rsid w:val="7A2501F2"/>
    <w:rsid w:val="7A261B3F"/>
    <w:rsid w:val="7A341D06"/>
    <w:rsid w:val="7A39D7C3"/>
    <w:rsid w:val="7A3B5CC4"/>
    <w:rsid w:val="7A3D3F08"/>
    <w:rsid w:val="7A3EA9DA"/>
    <w:rsid w:val="7A417D04"/>
    <w:rsid w:val="7A434632"/>
    <w:rsid w:val="7A4F85B7"/>
    <w:rsid w:val="7A50BCAE"/>
    <w:rsid w:val="7A539E82"/>
    <w:rsid w:val="7A545453"/>
    <w:rsid w:val="7A5B73EB"/>
    <w:rsid w:val="7A5CCD11"/>
    <w:rsid w:val="7A610136"/>
    <w:rsid w:val="7A6401BB"/>
    <w:rsid w:val="7A659B6C"/>
    <w:rsid w:val="7A65C6EC"/>
    <w:rsid w:val="7A6F5127"/>
    <w:rsid w:val="7A745EE2"/>
    <w:rsid w:val="7A74F7F4"/>
    <w:rsid w:val="7A7617E0"/>
    <w:rsid w:val="7A778259"/>
    <w:rsid w:val="7A7845C7"/>
    <w:rsid w:val="7A820555"/>
    <w:rsid w:val="7A8253BE"/>
    <w:rsid w:val="7A860E91"/>
    <w:rsid w:val="7A87EDDC"/>
    <w:rsid w:val="7A895059"/>
    <w:rsid w:val="7A8D6C24"/>
    <w:rsid w:val="7A8E538E"/>
    <w:rsid w:val="7A8E5AED"/>
    <w:rsid w:val="7A8EE0FB"/>
    <w:rsid w:val="7A8EF0B7"/>
    <w:rsid w:val="7A9512DF"/>
    <w:rsid w:val="7A951857"/>
    <w:rsid w:val="7A9CD476"/>
    <w:rsid w:val="7AA00675"/>
    <w:rsid w:val="7AA1D194"/>
    <w:rsid w:val="7AA3ED58"/>
    <w:rsid w:val="7AA506C1"/>
    <w:rsid w:val="7AA5A526"/>
    <w:rsid w:val="7AA8CCA4"/>
    <w:rsid w:val="7AAAC9C1"/>
    <w:rsid w:val="7AAB8A33"/>
    <w:rsid w:val="7AABD50B"/>
    <w:rsid w:val="7AABD9AB"/>
    <w:rsid w:val="7AB0A626"/>
    <w:rsid w:val="7AB22B44"/>
    <w:rsid w:val="7AB5A28F"/>
    <w:rsid w:val="7AB6592D"/>
    <w:rsid w:val="7ABADE1E"/>
    <w:rsid w:val="7ABBEDEF"/>
    <w:rsid w:val="7ABCC3C7"/>
    <w:rsid w:val="7ABF3803"/>
    <w:rsid w:val="7ABF67D6"/>
    <w:rsid w:val="7AC028FD"/>
    <w:rsid w:val="7AC1D592"/>
    <w:rsid w:val="7AC1ED3A"/>
    <w:rsid w:val="7AC2ACE7"/>
    <w:rsid w:val="7AC2ED4F"/>
    <w:rsid w:val="7AC2EE70"/>
    <w:rsid w:val="7AC7E443"/>
    <w:rsid w:val="7AC9461D"/>
    <w:rsid w:val="7AC96C77"/>
    <w:rsid w:val="7ACCA1AF"/>
    <w:rsid w:val="7AD1C8A2"/>
    <w:rsid w:val="7ADA1CDF"/>
    <w:rsid w:val="7ADA7CEB"/>
    <w:rsid w:val="7ADC1CF2"/>
    <w:rsid w:val="7ADD367A"/>
    <w:rsid w:val="7ADF7D97"/>
    <w:rsid w:val="7AE26186"/>
    <w:rsid w:val="7AE2FD97"/>
    <w:rsid w:val="7AE93ED5"/>
    <w:rsid w:val="7AEBCC69"/>
    <w:rsid w:val="7AEC6899"/>
    <w:rsid w:val="7AF52B52"/>
    <w:rsid w:val="7AF54533"/>
    <w:rsid w:val="7AF59948"/>
    <w:rsid w:val="7AF6A7CB"/>
    <w:rsid w:val="7AFA7373"/>
    <w:rsid w:val="7AFBA5E1"/>
    <w:rsid w:val="7AFC4420"/>
    <w:rsid w:val="7AFC73A6"/>
    <w:rsid w:val="7B032204"/>
    <w:rsid w:val="7B066505"/>
    <w:rsid w:val="7B0AD1EF"/>
    <w:rsid w:val="7B1171C1"/>
    <w:rsid w:val="7B154993"/>
    <w:rsid w:val="7B16FA34"/>
    <w:rsid w:val="7B235334"/>
    <w:rsid w:val="7B24AD41"/>
    <w:rsid w:val="7B2763D4"/>
    <w:rsid w:val="7B2ADB3E"/>
    <w:rsid w:val="7B2AF4F8"/>
    <w:rsid w:val="7B2CA703"/>
    <w:rsid w:val="7B2CD131"/>
    <w:rsid w:val="7B320DE8"/>
    <w:rsid w:val="7B34AA24"/>
    <w:rsid w:val="7B38ABA8"/>
    <w:rsid w:val="7B3FECA8"/>
    <w:rsid w:val="7B418C0F"/>
    <w:rsid w:val="7B422D30"/>
    <w:rsid w:val="7B465688"/>
    <w:rsid w:val="7B47C862"/>
    <w:rsid w:val="7B48ABF2"/>
    <w:rsid w:val="7B4E2979"/>
    <w:rsid w:val="7B4E79F9"/>
    <w:rsid w:val="7B4F9AB9"/>
    <w:rsid w:val="7B5852CA"/>
    <w:rsid w:val="7B5D19B3"/>
    <w:rsid w:val="7B631CB2"/>
    <w:rsid w:val="7B651D8C"/>
    <w:rsid w:val="7B652219"/>
    <w:rsid w:val="7B6A93D7"/>
    <w:rsid w:val="7B788147"/>
    <w:rsid w:val="7B7B64B7"/>
    <w:rsid w:val="7B829EB6"/>
    <w:rsid w:val="7B82B896"/>
    <w:rsid w:val="7B871BE8"/>
    <w:rsid w:val="7B8B10BC"/>
    <w:rsid w:val="7B8D146A"/>
    <w:rsid w:val="7B930439"/>
    <w:rsid w:val="7B9640E7"/>
    <w:rsid w:val="7B9F88EC"/>
    <w:rsid w:val="7BA3319C"/>
    <w:rsid w:val="7BA5FC01"/>
    <w:rsid w:val="7BA60029"/>
    <w:rsid w:val="7BAB4C3E"/>
    <w:rsid w:val="7BABB40A"/>
    <w:rsid w:val="7BAD4F28"/>
    <w:rsid w:val="7BAD5DBB"/>
    <w:rsid w:val="7BAE1F22"/>
    <w:rsid w:val="7BAE416A"/>
    <w:rsid w:val="7BAEA493"/>
    <w:rsid w:val="7BAF31F9"/>
    <w:rsid w:val="7BAFBB49"/>
    <w:rsid w:val="7BB1BB84"/>
    <w:rsid w:val="7BB3BE4E"/>
    <w:rsid w:val="7BB755CA"/>
    <w:rsid w:val="7BB757E8"/>
    <w:rsid w:val="7BB82CD7"/>
    <w:rsid w:val="7BB9D044"/>
    <w:rsid w:val="7BBF4B26"/>
    <w:rsid w:val="7BC08FC8"/>
    <w:rsid w:val="7BC2D374"/>
    <w:rsid w:val="7BC3FD95"/>
    <w:rsid w:val="7BC85D5C"/>
    <w:rsid w:val="7BCA1575"/>
    <w:rsid w:val="7BD02B21"/>
    <w:rsid w:val="7BD1D108"/>
    <w:rsid w:val="7BD291D1"/>
    <w:rsid w:val="7BD46125"/>
    <w:rsid w:val="7BD7B879"/>
    <w:rsid w:val="7BD7F70B"/>
    <w:rsid w:val="7BD8B68D"/>
    <w:rsid w:val="7BE25851"/>
    <w:rsid w:val="7BE4CA74"/>
    <w:rsid w:val="7BE909C4"/>
    <w:rsid w:val="7BEAC433"/>
    <w:rsid w:val="7BEE0AF2"/>
    <w:rsid w:val="7BEE5AC5"/>
    <w:rsid w:val="7BF4E778"/>
    <w:rsid w:val="7BF5BE1A"/>
    <w:rsid w:val="7BF6A0ED"/>
    <w:rsid w:val="7BF8A93C"/>
    <w:rsid w:val="7BFB91FC"/>
    <w:rsid w:val="7BFC69AF"/>
    <w:rsid w:val="7BFE8BB9"/>
    <w:rsid w:val="7C01BB44"/>
    <w:rsid w:val="7C0A498B"/>
    <w:rsid w:val="7C0CEEF3"/>
    <w:rsid w:val="7C0E1EAB"/>
    <w:rsid w:val="7C13D02B"/>
    <w:rsid w:val="7C13D965"/>
    <w:rsid w:val="7C15C592"/>
    <w:rsid w:val="7C1A31AE"/>
    <w:rsid w:val="7C1D441C"/>
    <w:rsid w:val="7C1E4CA1"/>
    <w:rsid w:val="7C26254D"/>
    <w:rsid w:val="7C2B0BB4"/>
    <w:rsid w:val="7C303179"/>
    <w:rsid w:val="7C303E49"/>
    <w:rsid w:val="7C319BF9"/>
    <w:rsid w:val="7C348439"/>
    <w:rsid w:val="7C37ED71"/>
    <w:rsid w:val="7C404C7F"/>
    <w:rsid w:val="7C4381AD"/>
    <w:rsid w:val="7C4D1F58"/>
    <w:rsid w:val="7C4ED015"/>
    <w:rsid w:val="7C4F405F"/>
    <w:rsid w:val="7C4FFB28"/>
    <w:rsid w:val="7C508EFA"/>
    <w:rsid w:val="7C50925D"/>
    <w:rsid w:val="7C524B28"/>
    <w:rsid w:val="7C56D6F2"/>
    <w:rsid w:val="7C5A28F5"/>
    <w:rsid w:val="7C5C7BB0"/>
    <w:rsid w:val="7C6AAFE1"/>
    <w:rsid w:val="7C6D48DB"/>
    <w:rsid w:val="7C7052A0"/>
    <w:rsid w:val="7C73946A"/>
    <w:rsid w:val="7C75F547"/>
    <w:rsid w:val="7C7B5333"/>
    <w:rsid w:val="7C7E65A6"/>
    <w:rsid w:val="7C8057C7"/>
    <w:rsid w:val="7C828F46"/>
    <w:rsid w:val="7C82F5F7"/>
    <w:rsid w:val="7C84E88E"/>
    <w:rsid w:val="7C92529C"/>
    <w:rsid w:val="7C93F5A1"/>
    <w:rsid w:val="7C95AED5"/>
    <w:rsid w:val="7C983C54"/>
    <w:rsid w:val="7CA41E2F"/>
    <w:rsid w:val="7CA4DA06"/>
    <w:rsid w:val="7CA538F7"/>
    <w:rsid w:val="7CA8A236"/>
    <w:rsid w:val="7CA9BAF2"/>
    <w:rsid w:val="7CAD0099"/>
    <w:rsid w:val="7CAD80F9"/>
    <w:rsid w:val="7CB3AEA2"/>
    <w:rsid w:val="7CB6E864"/>
    <w:rsid w:val="7CB70FCF"/>
    <w:rsid w:val="7CB7772A"/>
    <w:rsid w:val="7CB7C14F"/>
    <w:rsid w:val="7CB8EF04"/>
    <w:rsid w:val="7CBA9F61"/>
    <w:rsid w:val="7CBB28F3"/>
    <w:rsid w:val="7CBBCC99"/>
    <w:rsid w:val="7CBCFB3A"/>
    <w:rsid w:val="7CBDDF46"/>
    <w:rsid w:val="7CC3A7A5"/>
    <w:rsid w:val="7CC542FA"/>
    <w:rsid w:val="7CC604F7"/>
    <w:rsid w:val="7CCAA24D"/>
    <w:rsid w:val="7CCAB1AE"/>
    <w:rsid w:val="7CCAEF6F"/>
    <w:rsid w:val="7CCF22A1"/>
    <w:rsid w:val="7CD35B2A"/>
    <w:rsid w:val="7CD4E255"/>
    <w:rsid w:val="7CD5D328"/>
    <w:rsid w:val="7CD6B98D"/>
    <w:rsid w:val="7CDA7EB9"/>
    <w:rsid w:val="7CDFCB37"/>
    <w:rsid w:val="7CE40F78"/>
    <w:rsid w:val="7CE474CE"/>
    <w:rsid w:val="7CE6B364"/>
    <w:rsid w:val="7CE782A7"/>
    <w:rsid w:val="7CEAEC59"/>
    <w:rsid w:val="7CEC7BB1"/>
    <w:rsid w:val="7CED7BDD"/>
    <w:rsid w:val="7CF0E0B1"/>
    <w:rsid w:val="7CFB884F"/>
    <w:rsid w:val="7CFBD138"/>
    <w:rsid w:val="7CFD18FA"/>
    <w:rsid w:val="7D00AD12"/>
    <w:rsid w:val="7D03399D"/>
    <w:rsid w:val="7D04948D"/>
    <w:rsid w:val="7D08ED7E"/>
    <w:rsid w:val="7D0A9E48"/>
    <w:rsid w:val="7D133F43"/>
    <w:rsid w:val="7D149BF2"/>
    <w:rsid w:val="7D17097A"/>
    <w:rsid w:val="7D19F9F0"/>
    <w:rsid w:val="7D1A468B"/>
    <w:rsid w:val="7D1AA729"/>
    <w:rsid w:val="7D261175"/>
    <w:rsid w:val="7D2CD9E5"/>
    <w:rsid w:val="7D312989"/>
    <w:rsid w:val="7D355DFE"/>
    <w:rsid w:val="7D3ACA02"/>
    <w:rsid w:val="7D3C0005"/>
    <w:rsid w:val="7D3C6A0B"/>
    <w:rsid w:val="7D44D133"/>
    <w:rsid w:val="7D46BCA0"/>
    <w:rsid w:val="7D481CF5"/>
    <w:rsid w:val="7D485716"/>
    <w:rsid w:val="7D4B080D"/>
    <w:rsid w:val="7D4B083C"/>
    <w:rsid w:val="7D4EEA93"/>
    <w:rsid w:val="7D503663"/>
    <w:rsid w:val="7D5286C5"/>
    <w:rsid w:val="7D546219"/>
    <w:rsid w:val="7D55BD94"/>
    <w:rsid w:val="7D56702A"/>
    <w:rsid w:val="7D59DF6F"/>
    <w:rsid w:val="7D5AB440"/>
    <w:rsid w:val="7D5E2842"/>
    <w:rsid w:val="7D5FF4B0"/>
    <w:rsid w:val="7D612C5B"/>
    <w:rsid w:val="7D61DDB4"/>
    <w:rsid w:val="7D68D117"/>
    <w:rsid w:val="7D68E051"/>
    <w:rsid w:val="7D6A06CE"/>
    <w:rsid w:val="7D6D855D"/>
    <w:rsid w:val="7D6F506B"/>
    <w:rsid w:val="7D6FCB58"/>
    <w:rsid w:val="7D71E4BE"/>
    <w:rsid w:val="7D72C660"/>
    <w:rsid w:val="7D74C505"/>
    <w:rsid w:val="7D755037"/>
    <w:rsid w:val="7D76A286"/>
    <w:rsid w:val="7D776F6D"/>
    <w:rsid w:val="7D795B6E"/>
    <w:rsid w:val="7D7CFC1A"/>
    <w:rsid w:val="7D7DB91F"/>
    <w:rsid w:val="7D7EC5D0"/>
    <w:rsid w:val="7D864236"/>
    <w:rsid w:val="7D887EAE"/>
    <w:rsid w:val="7D8B8C24"/>
    <w:rsid w:val="7DA052A9"/>
    <w:rsid w:val="7DA0F148"/>
    <w:rsid w:val="7DA175C6"/>
    <w:rsid w:val="7DA34DBF"/>
    <w:rsid w:val="7DA3E807"/>
    <w:rsid w:val="7DA50C11"/>
    <w:rsid w:val="7DA747AC"/>
    <w:rsid w:val="7DA9254A"/>
    <w:rsid w:val="7DA9D1B0"/>
    <w:rsid w:val="7DAC250D"/>
    <w:rsid w:val="7DACB109"/>
    <w:rsid w:val="7DADBAA5"/>
    <w:rsid w:val="7DB54562"/>
    <w:rsid w:val="7DB8F79E"/>
    <w:rsid w:val="7DB9AC32"/>
    <w:rsid w:val="7DBA2B1E"/>
    <w:rsid w:val="7DBA8342"/>
    <w:rsid w:val="7DBD0C93"/>
    <w:rsid w:val="7DBF9EB0"/>
    <w:rsid w:val="7DC105B5"/>
    <w:rsid w:val="7DC10C36"/>
    <w:rsid w:val="7DC5BE20"/>
    <w:rsid w:val="7DCA6AC7"/>
    <w:rsid w:val="7DD35363"/>
    <w:rsid w:val="7DD936EE"/>
    <w:rsid w:val="7DDF6995"/>
    <w:rsid w:val="7DE54433"/>
    <w:rsid w:val="7DEB6770"/>
    <w:rsid w:val="7DEC7583"/>
    <w:rsid w:val="7DEC9DEC"/>
    <w:rsid w:val="7DEF75B2"/>
    <w:rsid w:val="7DEFF6B4"/>
    <w:rsid w:val="7DF2F09E"/>
    <w:rsid w:val="7DF8CD4D"/>
    <w:rsid w:val="7DFACDA5"/>
    <w:rsid w:val="7DFB4829"/>
    <w:rsid w:val="7E0234F5"/>
    <w:rsid w:val="7E083B57"/>
    <w:rsid w:val="7E0AD838"/>
    <w:rsid w:val="7E0C314D"/>
    <w:rsid w:val="7E0D270C"/>
    <w:rsid w:val="7E0E2C8E"/>
    <w:rsid w:val="7E14F2E0"/>
    <w:rsid w:val="7E156F35"/>
    <w:rsid w:val="7E16E410"/>
    <w:rsid w:val="7E19428B"/>
    <w:rsid w:val="7E1C1BF9"/>
    <w:rsid w:val="7E27D567"/>
    <w:rsid w:val="7E2C87E7"/>
    <w:rsid w:val="7E33279B"/>
    <w:rsid w:val="7E336303"/>
    <w:rsid w:val="7E3A989C"/>
    <w:rsid w:val="7E3E7E01"/>
    <w:rsid w:val="7E3EB7BE"/>
    <w:rsid w:val="7E3FB9F5"/>
    <w:rsid w:val="7E41E27D"/>
    <w:rsid w:val="7E429533"/>
    <w:rsid w:val="7E434C91"/>
    <w:rsid w:val="7E454FEA"/>
    <w:rsid w:val="7E46A2F9"/>
    <w:rsid w:val="7E48235C"/>
    <w:rsid w:val="7E5176A5"/>
    <w:rsid w:val="7E545222"/>
    <w:rsid w:val="7E552C1D"/>
    <w:rsid w:val="7E5B2292"/>
    <w:rsid w:val="7E5C02EF"/>
    <w:rsid w:val="7E61FE50"/>
    <w:rsid w:val="7E64C2CE"/>
    <w:rsid w:val="7E652AC7"/>
    <w:rsid w:val="7E68ED49"/>
    <w:rsid w:val="7E6BD38C"/>
    <w:rsid w:val="7E6CFFF2"/>
    <w:rsid w:val="7E728D3F"/>
    <w:rsid w:val="7E7A19CF"/>
    <w:rsid w:val="7E7F8EB1"/>
    <w:rsid w:val="7E815C21"/>
    <w:rsid w:val="7E82F79A"/>
    <w:rsid w:val="7E8857EF"/>
    <w:rsid w:val="7E89A6EE"/>
    <w:rsid w:val="7E8AA178"/>
    <w:rsid w:val="7E8BC425"/>
    <w:rsid w:val="7E8D9EDD"/>
    <w:rsid w:val="7E8F9893"/>
    <w:rsid w:val="7E98FF76"/>
    <w:rsid w:val="7E991CF0"/>
    <w:rsid w:val="7EA06D63"/>
    <w:rsid w:val="7EA6CD46"/>
    <w:rsid w:val="7EACF871"/>
    <w:rsid w:val="7EAFAFB3"/>
    <w:rsid w:val="7EB102BC"/>
    <w:rsid w:val="7EB6BA31"/>
    <w:rsid w:val="7EB72802"/>
    <w:rsid w:val="7EBA1E5B"/>
    <w:rsid w:val="7EBBE522"/>
    <w:rsid w:val="7EBC0428"/>
    <w:rsid w:val="7EBDC54F"/>
    <w:rsid w:val="7EC1F37A"/>
    <w:rsid w:val="7EC355D5"/>
    <w:rsid w:val="7EC614B5"/>
    <w:rsid w:val="7EC7B51F"/>
    <w:rsid w:val="7EC8F95F"/>
    <w:rsid w:val="7ECC7270"/>
    <w:rsid w:val="7ECED513"/>
    <w:rsid w:val="7ECF4BF8"/>
    <w:rsid w:val="7ED440BD"/>
    <w:rsid w:val="7ED49056"/>
    <w:rsid w:val="7EDB276B"/>
    <w:rsid w:val="7EE07B2A"/>
    <w:rsid w:val="7EE12CE3"/>
    <w:rsid w:val="7EE2871A"/>
    <w:rsid w:val="7EE3FE04"/>
    <w:rsid w:val="7EE5731D"/>
    <w:rsid w:val="7EE66E4F"/>
    <w:rsid w:val="7EEF8C1C"/>
    <w:rsid w:val="7EEFEA5E"/>
    <w:rsid w:val="7EF142E0"/>
    <w:rsid w:val="7EF1DA0A"/>
    <w:rsid w:val="7EF73313"/>
    <w:rsid w:val="7EF8C821"/>
    <w:rsid w:val="7EFA6806"/>
    <w:rsid w:val="7EFCABB5"/>
    <w:rsid w:val="7EFD9886"/>
    <w:rsid w:val="7EFE6AFD"/>
    <w:rsid w:val="7EFEB1C1"/>
    <w:rsid w:val="7F060C35"/>
    <w:rsid w:val="7F068A8C"/>
    <w:rsid w:val="7F09C5AC"/>
    <w:rsid w:val="7F0A2D86"/>
    <w:rsid w:val="7F157B98"/>
    <w:rsid w:val="7F1F96D2"/>
    <w:rsid w:val="7F216B53"/>
    <w:rsid w:val="7F24702A"/>
    <w:rsid w:val="7F2527F1"/>
    <w:rsid w:val="7F2B5561"/>
    <w:rsid w:val="7F2BB214"/>
    <w:rsid w:val="7F3116B5"/>
    <w:rsid w:val="7F39C438"/>
    <w:rsid w:val="7F411BB7"/>
    <w:rsid w:val="7F42D0C7"/>
    <w:rsid w:val="7F489DCD"/>
    <w:rsid w:val="7F49E788"/>
    <w:rsid w:val="7F4AC0EB"/>
    <w:rsid w:val="7F4DC750"/>
    <w:rsid w:val="7F4F80F9"/>
    <w:rsid w:val="7F4F9B21"/>
    <w:rsid w:val="7F5361E4"/>
    <w:rsid w:val="7F563D00"/>
    <w:rsid w:val="7F5DD925"/>
    <w:rsid w:val="7F5F7F05"/>
    <w:rsid w:val="7F613ADE"/>
    <w:rsid w:val="7F64CCD1"/>
    <w:rsid w:val="7F65E4E6"/>
    <w:rsid w:val="7F67D44D"/>
    <w:rsid w:val="7F752F6C"/>
    <w:rsid w:val="7F7D72AD"/>
    <w:rsid w:val="7F7F4BE4"/>
    <w:rsid w:val="7F80C87C"/>
    <w:rsid w:val="7F84435A"/>
    <w:rsid w:val="7F864352"/>
    <w:rsid w:val="7F867F0C"/>
    <w:rsid w:val="7F93DE1D"/>
    <w:rsid w:val="7F945FE8"/>
    <w:rsid w:val="7F98935D"/>
    <w:rsid w:val="7F9C4385"/>
    <w:rsid w:val="7F9DF6E6"/>
    <w:rsid w:val="7F9E25B9"/>
    <w:rsid w:val="7F9E73CB"/>
    <w:rsid w:val="7FA15B0B"/>
    <w:rsid w:val="7FA36434"/>
    <w:rsid w:val="7FA4CDA2"/>
    <w:rsid w:val="7FA9D0C9"/>
    <w:rsid w:val="7FB066A0"/>
    <w:rsid w:val="7FB112DC"/>
    <w:rsid w:val="7FB27E01"/>
    <w:rsid w:val="7FB2BC8C"/>
    <w:rsid w:val="7FB8B9E3"/>
    <w:rsid w:val="7FC1BE72"/>
    <w:rsid w:val="7FC9AF90"/>
    <w:rsid w:val="7FCAB7A8"/>
    <w:rsid w:val="7FCC60A5"/>
    <w:rsid w:val="7FCCDACB"/>
    <w:rsid w:val="7FCD03BA"/>
    <w:rsid w:val="7FCE6B18"/>
    <w:rsid w:val="7FD34A64"/>
    <w:rsid w:val="7FD6A85D"/>
    <w:rsid w:val="7FD726AB"/>
    <w:rsid w:val="7FD76018"/>
    <w:rsid w:val="7FDC9A0C"/>
    <w:rsid w:val="7FDE54F9"/>
    <w:rsid w:val="7FDFA621"/>
    <w:rsid w:val="7FE2E37E"/>
    <w:rsid w:val="7FE2EC27"/>
    <w:rsid w:val="7FE35AA9"/>
    <w:rsid w:val="7FEABEA7"/>
    <w:rsid w:val="7FEBB4C9"/>
    <w:rsid w:val="7FEE47EB"/>
    <w:rsid w:val="7FEF566A"/>
    <w:rsid w:val="7FF584FE"/>
    <w:rsid w:val="7FFA90A5"/>
    <w:rsid w:val="7FFEFC6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95DD1E"/>
  <w15:docId w15:val="{E7EE4F36-0F74-4B03-ACBB-22489AE72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70CB"/>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10" w:hanging="10"/>
      <w:outlineLvl w:val="0"/>
    </w:pPr>
    <w:rPr>
      <w:rFonts w:ascii="Arial" w:eastAsia="Arial" w:hAnsi="Arial" w:cs="Arial"/>
      <w:b/>
      <w:color w:val="000000"/>
      <w:sz w:val="24"/>
    </w:rPr>
  </w:style>
  <w:style w:type="paragraph" w:styleId="Heading2">
    <w:name w:val="heading 2"/>
    <w:basedOn w:val="Normal"/>
    <w:next w:val="Normal"/>
    <w:link w:val="Heading2Char"/>
    <w:uiPriority w:val="9"/>
    <w:unhideWhenUsed/>
    <w:qFormat/>
    <w:rsid w:val="002033E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638F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BF0C9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unhideWhenUsed/>
    <w:qFormat/>
    <w:rsid w:val="29401391"/>
    <w:pPr>
      <w:keepNext/>
      <w:keepLines/>
      <w:spacing w:before="80" w:after="40"/>
      <w:outlineLvl w:val="4"/>
    </w:pPr>
    <w:rPr>
      <w:rFonts w:eastAsiaTheme="minorEastAsia" w:cstheme="majorEastAsia"/>
      <w:color w:val="2F5496" w:themeColor="accent1" w:themeShade="BF"/>
    </w:rPr>
  </w:style>
  <w:style w:type="paragraph" w:styleId="Heading6">
    <w:name w:val="heading 6"/>
    <w:basedOn w:val="Normal"/>
    <w:next w:val="Normal"/>
    <w:link w:val="Heading6Char"/>
    <w:uiPriority w:val="9"/>
    <w:unhideWhenUsed/>
    <w:qFormat/>
    <w:rsid w:val="58D8FBEF"/>
    <w:pPr>
      <w:keepNext/>
      <w:keepLines/>
      <w:spacing w:before="40" w:after="0"/>
      <w:outlineLvl w:val="5"/>
    </w:pPr>
    <w:rPr>
      <w:rFonts w:eastAsiaTheme="minorEastAsia" w:cstheme="majorEastAsia"/>
      <w:i/>
      <w:iCs/>
      <w:color w:val="595959" w:themeColor="text1" w:themeTint="A6"/>
    </w:rPr>
  </w:style>
  <w:style w:type="paragraph" w:styleId="Heading7">
    <w:name w:val="heading 7"/>
    <w:basedOn w:val="Normal"/>
    <w:next w:val="Normal"/>
    <w:link w:val="Heading7Char"/>
    <w:uiPriority w:val="9"/>
    <w:semiHidden/>
    <w:unhideWhenUsed/>
    <w:qFormat/>
    <w:rsid w:val="00482CAE"/>
    <w:pPr>
      <w:keepNext/>
      <w:keepLines/>
      <w:spacing w:before="200" w:after="0"/>
      <w:ind w:left="1296" w:hanging="1296"/>
      <w:jc w:val="both"/>
      <w:outlineLvl w:val="6"/>
    </w:pPr>
    <w:rPr>
      <w:rFonts w:asciiTheme="majorHAnsi" w:eastAsiaTheme="majorEastAsia" w:hAnsiTheme="majorHAnsi" w:cstheme="majorBidi"/>
      <w:i/>
      <w:iCs/>
      <w:color w:val="404040" w:themeColor="text1" w:themeTint="BF"/>
      <w:sz w:val="20"/>
      <w:lang w:val="en-AU"/>
    </w:rPr>
  </w:style>
  <w:style w:type="paragraph" w:styleId="Heading8">
    <w:name w:val="heading 8"/>
    <w:basedOn w:val="Normal"/>
    <w:next w:val="Normal"/>
    <w:link w:val="Heading8Char"/>
    <w:uiPriority w:val="9"/>
    <w:semiHidden/>
    <w:unhideWhenUsed/>
    <w:qFormat/>
    <w:rsid w:val="00482CAE"/>
    <w:pPr>
      <w:keepNext/>
      <w:keepLines/>
      <w:spacing w:before="200" w:after="0"/>
      <w:ind w:left="1440" w:hanging="1440"/>
      <w:jc w:val="both"/>
      <w:outlineLvl w:val="7"/>
    </w:pPr>
    <w:rPr>
      <w:rFonts w:asciiTheme="majorHAnsi" w:eastAsiaTheme="majorEastAsia" w:hAnsiTheme="majorHAnsi" w:cstheme="majorBidi"/>
      <w:color w:val="404040" w:themeColor="text1" w:themeTint="BF"/>
      <w:sz w:val="20"/>
      <w:szCs w:val="20"/>
      <w:lang w:val="en-AU"/>
    </w:rPr>
  </w:style>
  <w:style w:type="paragraph" w:styleId="Heading9">
    <w:name w:val="heading 9"/>
    <w:basedOn w:val="Normal"/>
    <w:next w:val="Normal"/>
    <w:link w:val="Heading9Char"/>
    <w:uiPriority w:val="9"/>
    <w:semiHidden/>
    <w:unhideWhenUsed/>
    <w:qFormat/>
    <w:rsid w:val="00482CAE"/>
    <w:pPr>
      <w:keepNext/>
      <w:keepLines/>
      <w:spacing w:before="200" w:after="0"/>
      <w:ind w:left="1584" w:hanging="1584"/>
      <w:jc w:val="both"/>
      <w:outlineLvl w:val="8"/>
    </w:pPr>
    <w:rPr>
      <w:rFonts w:asciiTheme="majorHAnsi" w:eastAsiaTheme="majorEastAsia" w:hAnsiTheme="majorHAnsi" w:cstheme="majorBidi"/>
      <w:i/>
      <w:iCs/>
      <w:color w:val="404040" w:themeColor="text1" w:themeTint="BF"/>
      <w:sz w:val="20"/>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4"/>
    </w:rPr>
  </w:style>
  <w:style w:type="paragraph" w:customStyle="1" w:styleId="footnotedescription">
    <w:name w:val="footnote description"/>
    <w:next w:val="Normal"/>
    <w:link w:val="footnotedescriptionChar"/>
    <w:hidden/>
    <w:pPr>
      <w:spacing w:after="0" w:line="257" w:lineRule="auto"/>
      <w:ind w:left="14"/>
      <w:jc w:val="both"/>
    </w:pPr>
    <w:rPr>
      <w:rFonts w:ascii="Arial" w:eastAsia="Arial" w:hAnsi="Arial" w:cs="Arial"/>
      <w:color w:val="000000"/>
      <w:sz w:val="16"/>
    </w:rPr>
  </w:style>
  <w:style w:type="character" w:customStyle="1" w:styleId="footnotedescriptionChar">
    <w:name w:val="footnote description Char"/>
    <w:link w:val="footnotedescription"/>
    <w:rPr>
      <w:rFonts w:ascii="Arial" w:eastAsia="Arial" w:hAnsi="Arial" w:cs="Arial"/>
      <w:color w:val="000000"/>
      <w:sz w:val="16"/>
    </w:rPr>
  </w:style>
  <w:style w:type="character" w:customStyle="1" w:styleId="footnotemark">
    <w:name w:val="footnote mark"/>
    <w:hidden/>
    <w:rPr>
      <w:rFonts w:ascii="Arial" w:eastAsia="Arial" w:hAnsi="Arial" w:cs="Arial"/>
      <w:color w:val="000000"/>
      <w:sz w:val="20"/>
      <w:vertAlign w:val="superscript"/>
    </w:rPr>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ListParagraph">
    <w:name w:val="List Paragraph"/>
    <w:aliases w:val="Bullets,List Paragraph1,List Paragraph (numbered (a)),Lapis Bulleted List,Dot pt,F5 List Paragraph,No Spacing1,List Paragraph Char Char Char,Indicator Text,Numbered Para 1,Bullet 1,List Paragraph12,Bullet Points,MAIN CONTENT,L,Heading,Ha"/>
    <w:basedOn w:val="Normal"/>
    <w:link w:val="ListParagraphChar"/>
    <w:uiPriority w:val="34"/>
    <w:qFormat/>
    <w:rsid w:val="00E66600"/>
    <w:pPr>
      <w:ind w:left="720"/>
      <w:contextualSpacing/>
    </w:pPr>
  </w:style>
  <w:style w:type="paragraph" w:customStyle="1" w:styleId="Default">
    <w:name w:val="Default"/>
    <w:rsid w:val="00154037"/>
    <w:pPr>
      <w:autoSpaceDE w:val="0"/>
      <w:autoSpaceDN w:val="0"/>
      <w:adjustRightInd w:val="0"/>
      <w:spacing w:after="0" w:line="240" w:lineRule="auto"/>
    </w:pPr>
    <w:rPr>
      <w:rFonts w:ascii="Arial" w:hAnsi="Arial" w:cs="Arial"/>
      <w:color w:val="000000"/>
      <w:sz w:val="24"/>
      <w:szCs w:val="24"/>
    </w:rPr>
  </w:style>
  <w:style w:type="paragraph" w:styleId="FootnoteText">
    <w:name w:val="footnote text"/>
    <w:aliases w:val="Geneva 9,Font: Geneva 9,Boston 10,f,single space,fn,FOOTNOTES,footnote text,Footnotes,Footnote Text Char Char Char Char Char,Footnote Text Char Char Char Char,Footnote Text Char Char Char,Footnote Text Char Char,Fußnote,Footnote Text Char1"/>
    <w:basedOn w:val="Normal"/>
    <w:link w:val="FootnoteTextChar"/>
    <w:uiPriority w:val="99"/>
    <w:unhideWhenUsed/>
    <w:qFormat/>
    <w:rsid w:val="00244937"/>
    <w:pPr>
      <w:spacing w:after="0" w:line="240" w:lineRule="auto"/>
    </w:pPr>
    <w:rPr>
      <w:rFonts w:asciiTheme="minorHAnsi" w:eastAsiaTheme="minorHAnsi" w:hAnsiTheme="minorHAnsi" w:cstheme="minorBidi"/>
      <w:color w:val="auto"/>
      <w:sz w:val="20"/>
      <w:szCs w:val="20"/>
    </w:rPr>
  </w:style>
  <w:style w:type="character" w:customStyle="1" w:styleId="FootnoteTextChar">
    <w:name w:val="Footnote Text Char"/>
    <w:aliases w:val="Geneva 9 Char,Font: Geneva 9 Char,Boston 10 Char,f Char,single space Char,fn Char,FOOTNOTES Char,footnote text Char,Footnotes Char,Footnote Text Char Char Char Char Char Char,Footnote Text Char Char Char Char Char1,Fußnote Char"/>
    <w:basedOn w:val="DefaultParagraphFont"/>
    <w:link w:val="FootnoteText"/>
    <w:uiPriority w:val="99"/>
    <w:rsid w:val="00244937"/>
    <w:rPr>
      <w:rFonts w:eastAsiaTheme="minorHAnsi"/>
      <w:sz w:val="20"/>
      <w:szCs w:val="20"/>
    </w:rPr>
  </w:style>
  <w:style w:type="character" w:styleId="FootnoteReference">
    <w:name w:val="footnote reference"/>
    <w:aliases w:val="16 Point,Superscript 6 Point,BVI fnr,ftref,BVI fnr Car Car,BVI fnr Car,BVI fnr Car Car Car Car,Footnote text,BVI fnr Car Car Car Car Char,Fußnotenzeichen DISS,Ref,de nota al pie,Footnotes refss,Footnote Reference1,Times 10 Point,o,4_G"/>
    <w:basedOn w:val="DefaultParagraphFont"/>
    <w:link w:val="Char2"/>
    <w:uiPriority w:val="99"/>
    <w:unhideWhenUsed/>
    <w:qFormat/>
    <w:rsid w:val="00244937"/>
    <w:rPr>
      <w:vertAlign w:val="superscript"/>
    </w:rPr>
  </w:style>
  <w:style w:type="table" w:customStyle="1" w:styleId="TableGrid0">
    <w:name w:val="Table Grid0"/>
    <w:basedOn w:val="TableNormal"/>
    <w:uiPriority w:val="39"/>
    <w:rsid w:val="0029730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97306"/>
    <w:pPr>
      <w:spacing w:after="0" w:line="240" w:lineRule="auto"/>
    </w:pPr>
    <w:rPr>
      <w:rFonts w:eastAsiaTheme="minorHAnsi"/>
    </w:rPr>
  </w:style>
  <w:style w:type="character" w:styleId="CommentReference">
    <w:name w:val="annotation reference"/>
    <w:basedOn w:val="DefaultParagraphFont"/>
    <w:uiPriority w:val="99"/>
    <w:unhideWhenUsed/>
    <w:rsid w:val="007359E6"/>
    <w:rPr>
      <w:sz w:val="16"/>
      <w:szCs w:val="16"/>
    </w:rPr>
  </w:style>
  <w:style w:type="paragraph" w:styleId="CommentText">
    <w:name w:val="annotation text"/>
    <w:basedOn w:val="Normal"/>
    <w:link w:val="CommentTextChar"/>
    <w:uiPriority w:val="99"/>
    <w:unhideWhenUsed/>
    <w:rsid w:val="007359E6"/>
    <w:pPr>
      <w:spacing w:line="240" w:lineRule="auto"/>
    </w:pPr>
    <w:rPr>
      <w:sz w:val="20"/>
      <w:szCs w:val="20"/>
    </w:rPr>
  </w:style>
  <w:style w:type="character" w:customStyle="1" w:styleId="CommentTextChar">
    <w:name w:val="Comment Text Char"/>
    <w:basedOn w:val="DefaultParagraphFont"/>
    <w:link w:val="CommentText"/>
    <w:uiPriority w:val="99"/>
    <w:rsid w:val="007359E6"/>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7359E6"/>
    <w:rPr>
      <w:b/>
      <w:bCs/>
    </w:rPr>
  </w:style>
  <w:style w:type="character" w:customStyle="1" w:styleId="CommentSubjectChar">
    <w:name w:val="Comment Subject Char"/>
    <w:basedOn w:val="CommentTextChar"/>
    <w:link w:val="CommentSubject"/>
    <w:uiPriority w:val="99"/>
    <w:semiHidden/>
    <w:rsid w:val="007359E6"/>
    <w:rPr>
      <w:rFonts w:ascii="Calibri" w:eastAsia="Calibri" w:hAnsi="Calibri" w:cs="Calibri"/>
      <w:b/>
      <w:bCs/>
      <w:color w:val="000000"/>
      <w:sz w:val="20"/>
      <w:szCs w:val="20"/>
    </w:rPr>
  </w:style>
  <w:style w:type="paragraph" w:styleId="BalloonText">
    <w:name w:val="Balloon Text"/>
    <w:basedOn w:val="Normal"/>
    <w:link w:val="BalloonTextChar"/>
    <w:uiPriority w:val="99"/>
    <w:semiHidden/>
    <w:unhideWhenUsed/>
    <w:rsid w:val="007359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59E6"/>
    <w:rPr>
      <w:rFonts w:ascii="Segoe UI" w:eastAsia="Calibri" w:hAnsi="Segoe UI" w:cs="Segoe UI"/>
      <w:color w:val="000000"/>
      <w:sz w:val="18"/>
      <w:szCs w:val="18"/>
    </w:rPr>
  </w:style>
  <w:style w:type="paragraph" w:styleId="Footer">
    <w:name w:val="footer"/>
    <w:basedOn w:val="Normal"/>
    <w:link w:val="FooterChar"/>
    <w:uiPriority w:val="99"/>
    <w:unhideWhenUsed/>
    <w:rsid w:val="007B087A"/>
    <w:pPr>
      <w:tabs>
        <w:tab w:val="center" w:pos="4680"/>
        <w:tab w:val="right" w:pos="9360"/>
      </w:tabs>
      <w:spacing w:after="0" w:line="240" w:lineRule="auto"/>
    </w:pPr>
    <w:rPr>
      <w:rFonts w:asciiTheme="minorHAnsi" w:eastAsiaTheme="minorEastAsia" w:hAnsiTheme="minorHAnsi" w:cs="Times New Roman"/>
      <w:color w:val="auto"/>
    </w:rPr>
  </w:style>
  <w:style w:type="character" w:customStyle="1" w:styleId="FooterChar">
    <w:name w:val="Footer Char"/>
    <w:basedOn w:val="DefaultParagraphFont"/>
    <w:link w:val="Footer"/>
    <w:uiPriority w:val="99"/>
    <w:rsid w:val="007B087A"/>
    <w:rPr>
      <w:rFonts w:cs="Times New Roman"/>
    </w:rPr>
  </w:style>
  <w:style w:type="paragraph" w:styleId="Header">
    <w:name w:val="header"/>
    <w:basedOn w:val="Normal"/>
    <w:link w:val="HeaderChar"/>
    <w:uiPriority w:val="99"/>
    <w:unhideWhenUsed/>
    <w:rsid w:val="006021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2195"/>
    <w:rPr>
      <w:rFonts w:ascii="Calibri" w:eastAsia="Calibri" w:hAnsi="Calibri" w:cs="Calibri"/>
      <w:color w:val="000000"/>
    </w:rPr>
  </w:style>
  <w:style w:type="paragraph" w:customStyle="1" w:styleId="Sub-Para1underX">
    <w:name w:val="Sub-Para 1 under X."/>
    <w:basedOn w:val="Normal"/>
    <w:next w:val="Normal"/>
    <w:rsid w:val="00216C3A"/>
    <w:pPr>
      <w:numPr>
        <w:numId w:val="20"/>
      </w:numPr>
      <w:tabs>
        <w:tab w:val="left" w:pos="1276"/>
      </w:tabs>
      <w:spacing w:after="240" w:line="240" w:lineRule="auto"/>
      <w:jc w:val="both"/>
      <w:outlineLvl w:val="2"/>
    </w:pPr>
    <w:rPr>
      <w:rFonts w:ascii="Arial" w:eastAsia="Times New Roman" w:hAnsi="Arial" w:cs="Arial"/>
      <w:color w:val="auto"/>
      <w:lang w:val="en-GB"/>
    </w:rPr>
  </w:style>
  <w:style w:type="character" w:customStyle="1" w:styleId="normaltextrun">
    <w:name w:val="normaltextrun"/>
    <w:basedOn w:val="DefaultParagraphFont"/>
    <w:rsid w:val="00F04795"/>
  </w:style>
  <w:style w:type="character" w:customStyle="1" w:styleId="eop">
    <w:name w:val="eop"/>
    <w:basedOn w:val="DefaultParagraphFont"/>
    <w:rsid w:val="00827325"/>
  </w:style>
  <w:style w:type="paragraph" w:customStyle="1" w:styleId="Sub-Para1underXY">
    <w:name w:val="Sub-Para 1 under X.Y"/>
    <w:basedOn w:val="Normal"/>
    <w:rsid w:val="000F1F05"/>
    <w:pPr>
      <w:numPr>
        <w:numId w:val="21"/>
      </w:numPr>
      <w:tabs>
        <w:tab w:val="num" w:pos="1440"/>
      </w:tabs>
      <w:spacing w:after="240" w:line="240" w:lineRule="auto"/>
      <w:jc w:val="both"/>
      <w:outlineLvl w:val="2"/>
    </w:pPr>
    <w:rPr>
      <w:rFonts w:ascii="Times New Roman" w:eastAsia="Times New Roman" w:hAnsi="Times New Roman" w:cs="Times New Roman"/>
      <w:color w:val="auto"/>
      <w:sz w:val="32"/>
      <w:szCs w:val="24"/>
    </w:rPr>
  </w:style>
  <w:style w:type="paragraph" w:customStyle="1" w:styleId="Sub-Para2underXY">
    <w:name w:val="Sub-Para 2 under X.Y"/>
    <w:basedOn w:val="Normal"/>
    <w:rsid w:val="000F1F05"/>
    <w:pPr>
      <w:numPr>
        <w:ilvl w:val="1"/>
        <w:numId w:val="21"/>
      </w:numPr>
      <w:tabs>
        <w:tab w:val="num" w:pos="2160"/>
      </w:tabs>
      <w:spacing w:after="240" w:line="240" w:lineRule="auto"/>
      <w:jc w:val="both"/>
      <w:outlineLvl w:val="3"/>
    </w:pPr>
    <w:rPr>
      <w:rFonts w:ascii="Times New Roman" w:eastAsia="Times New Roman" w:hAnsi="Times New Roman" w:cs="Times New Roman"/>
      <w:color w:val="auto"/>
      <w:sz w:val="32"/>
      <w:szCs w:val="24"/>
    </w:rPr>
  </w:style>
  <w:style w:type="paragraph" w:customStyle="1" w:styleId="Sub-Para3underXY">
    <w:name w:val="Sub-Para 3 under X.Y"/>
    <w:basedOn w:val="Normal"/>
    <w:rsid w:val="000F1F05"/>
    <w:pPr>
      <w:numPr>
        <w:ilvl w:val="2"/>
        <w:numId w:val="21"/>
      </w:numPr>
      <w:tabs>
        <w:tab w:val="num" w:pos="1800"/>
      </w:tabs>
      <w:spacing w:after="240" w:line="240" w:lineRule="auto"/>
      <w:jc w:val="both"/>
      <w:outlineLvl w:val="4"/>
    </w:pPr>
    <w:rPr>
      <w:rFonts w:ascii="Times New Roman" w:eastAsia="Times New Roman" w:hAnsi="Times New Roman" w:cs="Times New Roman"/>
      <w:color w:val="auto"/>
      <w:sz w:val="32"/>
      <w:szCs w:val="24"/>
    </w:rPr>
  </w:style>
  <w:style w:type="paragraph" w:customStyle="1" w:styleId="Sub-Para4underXY">
    <w:name w:val="Sub-Para 4 under X.Y"/>
    <w:basedOn w:val="Normal"/>
    <w:rsid w:val="000F1F05"/>
    <w:pPr>
      <w:numPr>
        <w:ilvl w:val="3"/>
        <w:numId w:val="21"/>
      </w:numPr>
      <w:tabs>
        <w:tab w:val="num" w:pos="2520"/>
      </w:tabs>
      <w:spacing w:after="240" w:line="240" w:lineRule="auto"/>
      <w:jc w:val="both"/>
      <w:outlineLvl w:val="5"/>
    </w:pPr>
    <w:rPr>
      <w:rFonts w:ascii="Times New Roman" w:eastAsia="Times New Roman" w:hAnsi="Times New Roman" w:cs="Times New Roman"/>
      <w:color w:val="auto"/>
      <w:sz w:val="32"/>
      <w:szCs w:val="24"/>
    </w:rPr>
  </w:style>
  <w:style w:type="paragraph" w:customStyle="1" w:styleId="Heading1a">
    <w:name w:val="Heading 1a"/>
    <w:basedOn w:val="Normal"/>
    <w:next w:val="Normal"/>
    <w:rsid w:val="000F1F05"/>
    <w:pPr>
      <w:keepNext/>
      <w:keepLines/>
      <w:numPr>
        <w:ilvl w:val="4"/>
        <w:numId w:val="21"/>
      </w:numPr>
      <w:spacing w:before="1440" w:after="240" w:line="240" w:lineRule="auto"/>
      <w:jc w:val="center"/>
      <w:outlineLvl w:val="0"/>
    </w:pPr>
    <w:rPr>
      <w:rFonts w:ascii="Times New Roman" w:eastAsia="MS Mincho" w:hAnsi="Times New Roman" w:cs="Times New Roman"/>
      <w:b/>
      <w:caps/>
      <w:color w:val="auto"/>
      <w:sz w:val="32"/>
      <w:szCs w:val="20"/>
    </w:rPr>
  </w:style>
  <w:style w:type="paragraph" w:customStyle="1" w:styleId="MainParanoChapter">
    <w:name w:val="Main Para no Chapter #"/>
    <w:basedOn w:val="Normal"/>
    <w:link w:val="MainParanoChapterChar"/>
    <w:qFormat/>
    <w:rsid w:val="000F1F05"/>
    <w:pPr>
      <w:numPr>
        <w:ilvl w:val="5"/>
        <w:numId w:val="21"/>
      </w:numPr>
      <w:tabs>
        <w:tab w:val="num" w:pos="720"/>
      </w:tabs>
      <w:spacing w:after="240" w:line="240" w:lineRule="auto"/>
      <w:outlineLvl w:val="1"/>
    </w:pPr>
    <w:rPr>
      <w:rFonts w:ascii="Times New Roman" w:eastAsia="MS Mincho" w:hAnsi="Times New Roman" w:cs="Times New Roman"/>
      <w:color w:val="auto"/>
      <w:sz w:val="24"/>
      <w:szCs w:val="20"/>
    </w:rPr>
  </w:style>
  <w:style w:type="character" w:customStyle="1" w:styleId="MainParanoChapterChar">
    <w:name w:val="Main Para no Chapter # Char"/>
    <w:link w:val="MainParanoChapter"/>
    <w:locked/>
    <w:rsid w:val="000F1F05"/>
    <w:rPr>
      <w:rFonts w:ascii="Times New Roman" w:eastAsia="MS Mincho" w:hAnsi="Times New Roman" w:cs="Times New Roman"/>
      <w:sz w:val="24"/>
      <w:szCs w:val="20"/>
    </w:rPr>
  </w:style>
  <w:style w:type="character" w:styleId="PlaceholderText">
    <w:name w:val="Placeholder Text"/>
    <w:uiPriority w:val="99"/>
    <w:semiHidden/>
    <w:rsid w:val="000F1F05"/>
    <w:rPr>
      <w:color w:val="808080"/>
    </w:rPr>
  </w:style>
  <w:style w:type="paragraph" w:customStyle="1" w:styleId="paragraph">
    <w:name w:val="paragraph"/>
    <w:basedOn w:val="Normal"/>
    <w:rsid w:val="00DA50B1"/>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BodyText">
    <w:name w:val="Body Text"/>
    <w:basedOn w:val="Normal"/>
    <w:link w:val="BodyTextChar"/>
    <w:uiPriority w:val="1"/>
    <w:qFormat/>
    <w:rsid w:val="008435AE"/>
    <w:pPr>
      <w:widowControl w:val="0"/>
      <w:autoSpaceDE w:val="0"/>
      <w:autoSpaceDN w:val="0"/>
      <w:spacing w:after="0" w:line="240" w:lineRule="auto"/>
    </w:pPr>
    <w:rPr>
      <w:rFonts w:ascii="Arial" w:eastAsia="Arial" w:hAnsi="Arial" w:cs="Arial"/>
      <w:color w:val="auto"/>
      <w:sz w:val="24"/>
      <w:szCs w:val="24"/>
    </w:rPr>
  </w:style>
  <w:style w:type="character" w:customStyle="1" w:styleId="BodyTextChar">
    <w:name w:val="Body Text Char"/>
    <w:basedOn w:val="DefaultParagraphFont"/>
    <w:link w:val="BodyText"/>
    <w:uiPriority w:val="1"/>
    <w:rsid w:val="008435AE"/>
    <w:rPr>
      <w:rFonts w:ascii="Arial" w:eastAsia="Arial" w:hAnsi="Arial" w:cs="Arial"/>
      <w:sz w:val="24"/>
      <w:szCs w:val="24"/>
    </w:rPr>
  </w:style>
  <w:style w:type="paragraph" w:styleId="Title">
    <w:name w:val="Title"/>
    <w:basedOn w:val="Normal"/>
    <w:link w:val="TitleChar"/>
    <w:uiPriority w:val="10"/>
    <w:qFormat/>
    <w:rsid w:val="008435AE"/>
    <w:pPr>
      <w:widowControl w:val="0"/>
      <w:autoSpaceDE w:val="0"/>
      <w:autoSpaceDN w:val="0"/>
      <w:spacing w:after="0" w:line="240" w:lineRule="auto"/>
      <w:ind w:left="1496" w:right="1238"/>
      <w:jc w:val="center"/>
    </w:pPr>
    <w:rPr>
      <w:rFonts w:ascii="Arial" w:eastAsia="Arial" w:hAnsi="Arial" w:cs="Arial"/>
      <w:b/>
      <w:bCs/>
      <w:color w:val="auto"/>
      <w:sz w:val="28"/>
      <w:szCs w:val="28"/>
    </w:rPr>
  </w:style>
  <w:style w:type="character" w:customStyle="1" w:styleId="TitleChar">
    <w:name w:val="Title Char"/>
    <w:basedOn w:val="DefaultParagraphFont"/>
    <w:link w:val="Title"/>
    <w:uiPriority w:val="10"/>
    <w:rsid w:val="008435AE"/>
    <w:rPr>
      <w:rFonts w:ascii="Arial" w:eastAsia="Arial" w:hAnsi="Arial" w:cs="Arial"/>
      <w:b/>
      <w:bCs/>
      <w:sz w:val="28"/>
      <w:szCs w:val="28"/>
    </w:rPr>
  </w:style>
  <w:style w:type="paragraph" w:customStyle="1" w:styleId="TableParagraph">
    <w:name w:val="Table Paragraph"/>
    <w:basedOn w:val="Normal"/>
    <w:uiPriority w:val="1"/>
    <w:qFormat/>
    <w:rsid w:val="008435AE"/>
    <w:pPr>
      <w:widowControl w:val="0"/>
      <w:autoSpaceDE w:val="0"/>
      <w:autoSpaceDN w:val="0"/>
      <w:spacing w:after="0" w:line="200" w:lineRule="exact"/>
      <w:ind w:left="300"/>
    </w:pPr>
    <w:rPr>
      <w:rFonts w:ascii="Arial" w:eastAsia="Arial" w:hAnsi="Arial" w:cs="Arial"/>
      <w:color w:val="auto"/>
    </w:rPr>
  </w:style>
  <w:style w:type="character" w:styleId="Hyperlink">
    <w:name w:val="Hyperlink"/>
    <w:basedOn w:val="DefaultParagraphFont"/>
    <w:uiPriority w:val="99"/>
    <w:rsid w:val="009E139F"/>
    <w:rPr>
      <w:color w:val="0000FF"/>
      <w:u w:val="single"/>
    </w:rPr>
  </w:style>
  <w:style w:type="character" w:customStyle="1" w:styleId="ListParagraphChar">
    <w:name w:val="List Paragraph Char"/>
    <w:aliases w:val="Bullets Char,List Paragraph1 Char,List Paragraph (numbered (a)) Char,Lapis Bulleted List Char,Dot pt Char,F5 List Paragraph Char,No Spacing1 Char,List Paragraph Char Char Char Char,Indicator Text Char,Numbered Para 1 Char,L Char"/>
    <w:link w:val="ListParagraph"/>
    <w:uiPriority w:val="34"/>
    <w:qFormat/>
    <w:locked/>
    <w:rsid w:val="009E139F"/>
    <w:rPr>
      <w:rFonts w:ascii="Calibri" w:eastAsia="Calibri" w:hAnsi="Calibri" w:cs="Calibri"/>
      <w:color w:val="000000"/>
    </w:rPr>
  </w:style>
  <w:style w:type="character" w:customStyle="1" w:styleId="apple-style-span">
    <w:name w:val="apple-style-span"/>
    <w:basedOn w:val="DefaultParagraphFont"/>
    <w:rsid w:val="009E139F"/>
  </w:style>
  <w:style w:type="character" w:customStyle="1" w:styleId="Heading2Char">
    <w:name w:val="Heading 2 Char"/>
    <w:basedOn w:val="DefaultParagraphFont"/>
    <w:link w:val="Heading2"/>
    <w:uiPriority w:val="9"/>
    <w:rsid w:val="002033E8"/>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semiHidden/>
    <w:unhideWhenUsed/>
    <w:rsid w:val="00D170E4"/>
    <w:rPr>
      <w:color w:val="605E5C"/>
      <w:shd w:val="clear" w:color="auto" w:fill="E1DFDD"/>
    </w:rPr>
  </w:style>
  <w:style w:type="character" w:styleId="FollowedHyperlink">
    <w:name w:val="FollowedHyperlink"/>
    <w:basedOn w:val="DefaultParagraphFont"/>
    <w:uiPriority w:val="99"/>
    <w:semiHidden/>
    <w:unhideWhenUsed/>
    <w:rsid w:val="004A2650"/>
    <w:rPr>
      <w:color w:val="954F72" w:themeColor="followedHyperlink"/>
      <w:u w:val="single"/>
    </w:rPr>
  </w:style>
  <w:style w:type="character" w:customStyle="1" w:styleId="tabchar">
    <w:name w:val="tabchar"/>
    <w:basedOn w:val="DefaultParagraphFont"/>
    <w:rsid w:val="00A9555E"/>
  </w:style>
  <w:style w:type="character" w:customStyle="1" w:styleId="superscript">
    <w:name w:val="superscript"/>
    <w:basedOn w:val="DefaultParagraphFont"/>
    <w:rsid w:val="00A9555E"/>
  </w:style>
  <w:style w:type="character" w:customStyle="1" w:styleId="Heading4Char">
    <w:name w:val="Heading 4 Char"/>
    <w:basedOn w:val="DefaultParagraphFont"/>
    <w:link w:val="Heading4"/>
    <w:uiPriority w:val="9"/>
    <w:rsid w:val="00BF0C9B"/>
    <w:rPr>
      <w:rFonts w:asciiTheme="majorHAnsi" w:eastAsiaTheme="majorEastAsia" w:hAnsiTheme="majorHAnsi" w:cstheme="majorBidi"/>
      <w:i/>
      <w:iCs/>
      <w:color w:val="2F5496" w:themeColor="accent1" w:themeShade="BF"/>
    </w:rPr>
  </w:style>
  <w:style w:type="paragraph" w:styleId="NormalWeb">
    <w:name w:val="Normal (Web)"/>
    <w:basedOn w:val="Normal"/>
    <w:uiPriority w:val="99"/>
    <w:unhideWhenUsed/>
    <w:rsid w:val="00BF0C9B"/>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BF0C9B"/>
    <w:rPr>
      <w:b/>
      <w:bCs/>
    </w:rPr>
  </w:style>
  <w:style w:type="character" w:customStyle="1" w:styleId="Heading3Char">
    <w:name w:val="Heading 3 Char"/>
    <w:basedOn w:val="DefaultParagraphFont"/>
    <w:link w:val="Heading3"/>
    <w:uiPriority w:val="9"/>
    <w:rsid w:val="002638F0"/>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har2">
    <w:name w:val="Char2"/>
    <w:basedOn w:val="Normal"/>
    <w:link w:val="FootnoteReference"/>
    <w:uiPriority w:val="99"/>
    <w:rsid w:val="00944B23"/>
    <w:pPr>
      <w:spacing w:line="240" w:lineRule="exact"/>
    </w:pPr>
    <w:rPr>
      <w:rFonts w:asciiTheme="minorHAnsi" w:eastAsiaTheme="minorEastAsia" w:hAnsiTheme="minorHAnsi" w:cstheme="minorBidi"/>
      <w:color w:val="auto"/>
      <w:vertAlign w:val="superscript"/>
    </w:rPr>
  </w:style>
  <w:style w:type="paragraph" w:styleId="TOC1">
    <w:name w:val="toc 1"/>
    <w:basedOn w:val="Normal"/>
    <w:next w:val="Normal"/>
    <w:uiPriority w:val="39"/>
    <w:unhideWhenUsed/>
    <w:rsid w:val="008344DC"/>
    <w:pPr>
      <w:spacing w:before="120" w:after="0"/>
    </w:pPr>
    <w:rPr>
      <w:rFonts w:asciiTheme="minorHAnsi" w:hAnsiTheme="minorHAnsi" w:cstheme="minorHAnsi"/>
      <w:b/>
      <w:bCs/>
      <w:i/>
      <w:iCs/>
      <w:sz w:val="24"/>
      <w:szCs w:val="24"/>
    </w:rPr>
  </w:style>
  <w:style w:type="paragraph" w:styleId="TOC2">
    <w:name w:val="toc 2"/>
    <w:basedOn w:val="Normal"/>
    <w:next w:val="Normal"/>
    <w:uiPriority w:val="39"/>
    <w:unhideWhenUsed/>
    <w:rsid w:val="008344DC"/>
    <w:pPr>
      <w:spacing w:before="120" w:after="0"/>
      <w:ind w:left="220"/>
    </w:pPr>
    <w:rPr>
      <w:rFonts w:asciiTheme="minorHAnsi" w:hAnsiTheme="minorHAnsi" w:cstheme="minorHAnsi"/>
      <w:b/>
      <w:bCs/>
    </w:rPr>
  </w:style>
  <w:style w:type="paragraph" w:styleId="TOC5">
    <w:name w:val="toc 5"/>
    <w:basedOn w:val="Normal"/>
    <w:next w:val="Normal"/>
    <w:uiPriority w:val="39"/>
    <w:unhideWhenUsed/>
    <w:rsid w:val="008344DC"/>
    <w:pPr>
      <w:spacing w:after="0"/>
      <w:ind w:left="880"/>
    </w:pPr>
    <w:rPr>
      <w:rFonts w:asciiTheme="minorHAnsi" w:hAnsiTheme="minorHAnsi" w:cstheme="minorHAnsi"/>
      <w:sz w:val="20"/>
      <w:szCs w:val="20"/>
    </w:rPr>
  </w:style>
  <w:style w:type="paragraph" w:styleId="TOC3">
    <w:name w:val="toc 3"/>
    <w:basedOn w:val="Normal"/>
    <w:next w:val="Normal"/>
    <w:uiPriority w:val="39"/>
    <w:unhideWhenUsed/>
    <w:rsid w:val="008344DC"/>
    <w:pPr>
      <w:spacing w:after="0"/>
      <w:ind w:left="440"/>
    </w:pPr>
    <w:rPr>
      <w:rFonts w:asciiTheme="minorHAnsi" w:hAnsiTheme="minorHAnsi" w:cstheme="minorHAnsi"/>
      <w:sz w:val="20"/>
      <w:szCs w:val="20"/>
    </w:rPr>
  </w:style>
  <w:style w:type="paragraph" w:styleId="TOC4">
    <w:name w:val="toc 4"/>
    <w:basedOn w:val="Normal"/>
    <w:next w:val="Normal"/>
    <w:uiPriority w:val="39"/>
    <w:unhideWhenUsed/>
    <w:rsid w:val="008344DC"/>
    <w:pPr>
      <w:spacing w:after="0"/>
      <w:ind w:left="660"/>
    </w:pPr>
    <w:rPr>
      <w:rFonts w:asciiTheme="minorHAnsi" w:hAnsiTheme="minorHAnsi" w:cstheme="minorHAnsi"/>
      <w:sz w:val="20"/>
      <w:szCs w:val="20"/>
    </w:rPr>
  </w:style>
  <w:style w:type="character" w:styleId="Mention">
    <w:name w:val="Mention"/>
    <w:basedOn w:val="DefaultParagraphFont"/>
    <w:uiPriority w:val="99"/>
    <w:unhideWhenUsed/>
    <w:rsid w:val="005F3FC5"/>
    <w:rPr>
      <w:color w:val="2B579A"/>
      <w:shd w:val="clear" w:color="auto" w:fill="E1DFDD"/>
    </w:rPr>
  </w:style>
  <w:style w:type="paragraph" w:styleId="Revision">
    <w:name w:val="Revision"/>
    <w:hidden/>
    <w:uiPriority w:val="99"/>
    <w:semiHidden/>
    <w:rsid w:val="00474F8E"/>
    <w:pPr>
      <w:spacing w:after="0" w:line="240" w:lineRule="auto"/>
    </w:pPr>
    <w:rPr>
      <w:rFonts w:ascii="Calibri" w:eastAsia="Calibri" w:hAnsi="Calibri" w:cs="Calibri"/>
      <w:color w:val="000000"/>
    </w:rPr>
  </w:style>
  <w:style w:type="paragraph" w:styleId="Caption">
    <w:name w:val="caption"/>
    <w:basedOn w:val="Normal"/>
    <w:next w:val="Normal"/>
    <w:qFormat/>
    <w:rsid w:val="00F92CDF"/>
    <w:pPr>
      <w:spacing w:after="120" w:line="240" w:lineRule="auto"/>
      <w:jc w:val="center"/>
    </w:pPr>
    <w:rPr>
      <w:rFonts w:ascii="Arial" w:eastAsia="Times New Roman" w:hAnsi="Arial" w:cs="Angsana New"/>
      <w:b/>
      <w:color w:val="auto"/>
      <w:sz w:val="20"/>
      <w:szCs w:val="20"/>
    </w:rPr>
  </w:style>
  <w:style w:type="character" w:customStyle="1" w:styleId="Heading6Char">
    <w:name w:val="Heading 6 Char"/>
    <w:basedOn w:val="DefaultParagraphFont"/>
    <w:link w:val="Heading6"/>
    <w:uiPriority w:val="9"/>
    <w:rsid w:val="00542537"/>
    <w:rPr>
      <w:rFonts w:ascii="Calibri" w:hAnsi="Calibri" w:cstheme="majorEastAsia"/>
      <w:i/>
      <w:iCs/>
      <w:color w:val="595959" w:themeColor="text1" w:themeTint="A6"/>
    </w:rPr>
  </w:style>
  <w:style w:type="paragraph" w:customStyle="1" w:styleId="Normal1">
    <w:name w:val="Normal1"/>
    <w:rsid w:val="00542537"/>
    <w:pPr>
      <w:spacing w:after="200" w:line="276" w:lineRule="auto"/>
    </w:pPr>
    <w:rPr>
      <w:rFonts w:ascii="Calibri" w:eastAsia="Calibri" w:hAnsi="Calibri" w:cs="Calibri"/>
      <w:color w:val="000000"/>
    </w:rPr>
  </w:style>
  <w:style w:type="character" w:styleId="PageNumber">
    <w:name w:val="page number"/>
    <w:basedOn w:val="DefaultParagraphFont"/>
    <w:uiPriority w:val="99"/>
    <w:semiHidden/>
    <w:unhideWhenUsed/>
    <w:rsid w:val="00E037ED"/>
  </w:style>
  <w:style w:type="paragraph" w:styleId="TOCHeading">
    <w:name w:val="TOC Heading"/>
    <w:basedOn w:val="Heading1"/>
    <w:next w:val="Normal"/>
    <w:uiPriority w:val="39"/>
    <w:unhideWhenUsed/>
    <w:qFormat/>
    <w:rsid w:val="004A3585"/>
    <w:pPr>
      <w:spacing w:before="240"/>
      <w:ind w:left="0" w:firstLine="0"/>
      <w:outlineLvl w:val="9"/>
    </w:pPr>
    <w:rPr>
      <w:rFonts w:asciiTheme="majorHAnsi" w:eastAsiaTheme="majorEastAsia" w:hAnsiTheme="majorHAnsi" w:cstheme="majorBidi"/>
      <w:b w:val="0"/>
      <w:color w:val="2F5496" w:themeColor="accent1" w:themeShade="BF"/>
      <w:sz w:val="32"/>
      <w:szCs w:val="32"/>
    </w:rPr>
  </w:style>
  <w:style w:type="paragraph" w:customStyle="1" w:styleId="whitespace-normal">
    <w:name w:val="whitespace-normal"/>
    <w:basedOn w:val="Normal"/>
    <w:rsid w:val="00647E5C"/>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ListBullet">
    <w:name w:val="List Bullet"/>
    <w:basedOn w:val="Normal"/>
    <w:uiPriority w:val="99"/>
    <w:unhideWhenUsed/>
    <w:rsid w:val="00DC620C"/>
    <w:pPr>
      <w:numPr>
        <w:numId w:val="94"/>
      </w:numPr>
      <w:spacing w:after="200" w:line="276" w:lineRule="auto"/>
      <w:contextualSpacing/>
    </w:pPr>
    <w:rPr>
      <w:rFonts w:asciiTheme="minorHAnsi" w:eastAsiaTheme="minorEastAsia" w:hAnsiTheme="minorHAnsi" w:cstheme="minorBidi"/>
      <w:color w:val="auto"/>
    </w:rPr>
  </w:style>
  <w:style w:type="paragraph" w:styleId="ListNumber">
    <w:name w:val="List Number"/>
    <w:basedOn w:val="Normal"/>
    <w:uiPriority w:val="99"/>
    <w:unhideWhenUsed/>
    <w:rsid w:val="00DC620C"/>
    <w:pPr>
      <w:numPr>
        <w:numId w:val="95"/>
      </w:numPr>
      <w:spacing w:after="200" w:line="276" w:lineRule="auto"/>
      <w:contextualSpacing/>
    </w:pPr>
    <w:rPr>
      <w:rFonts w:asciiTheme="minorHAnsi" w:eastAsiaTheme="minorEastAsia" w:hAnsiTheme="minorHAnsi" w:cstheme="minorBidi"/>
      <w:color w:val="auto"/>
    </w:rPr>
  </w:style>
  <w:style w:type="paragraph" w:styleId="TOC6">
    <w:name w:val="toc 6"/>
    <w:basedOn w:val="Normal"/>
    <w:next w:val="Normal"/>
    <w:autoRedefine/>
    <w:uiPriority w:val="39"/>
    <w:semiHidden/>
    <w:unhideWhenUsed/>
    <w:rsid w:val="00D94397"/>
    <w:pPr>
      <w:spacing w:after="0"/>
      <w:ind w:left="11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D94397"/>
    <w:pPr>
      <w:spacing w:after="0"/>
      <w:ind w:left="132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D94397"/>
    <w:pPr>
      <w:spacing w:after="0"/>
      <w:ind w:left="154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D94397"/>
    <w:pPr>
      <w:spacing w:after="0"/>
      <w:ind w:left="1760"/>
    </w:pPr>
    <w:rPr>
      <w:rFonts w:asciiTheme="minorHAnsi" w:hAnsiTheme="minorHAnsi" w:cstheme="minorHAnsi"/>
      <w:sz w:val="20"/>
      <w:szCs w:val="20"/>
    </w:rPr>
  </w:style>
  <w:style w:type="paragraph" w:styleId="EndnoteText">
    <w:name w:val="endnote text"/>
    <w:basedOn w:val="Normal"/>
    <w:link w:val="EndnoteTextChar"/>
    <w:uiPriority w:val="99"/>
    <w:semiHidden/>
    <w:unhideWhenUsed/>
    <w:rsid w:val="0035663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56630"/>
    <w:rPr>
      <w:rFonts w:ascii="Calibri" w:eastAsia="Calibri" w:hAnsi="Calibri" w:cs="Calibri"/>
      <w:color w:val="000000"/>
      <w:sz w:val="20"/>
      <w:szCs w:val="20"/>
    </w:rPr>
  </w:style>
  <w:style w:type="character" w:styleId="EndnoteReference">
    <w:name w:val="endnote reference"/>
    <w:basedOn w:val="DefaultParagraphFont"/>
    <w:uiPriority w:val="99"/>
    <w:semiHidden/>
    <w:unhideWhenUsed/>
    <w:rsid w:val="00356630"/>
    <w:rPr>
      <w:vertAlign w:val="superscript"/>
    </w:rPr>
  </w:style>
  <w:style w:type="character" w:customStyle="1" w:styleId="Heading7Char">
    <w:name w:val="Heading 7 Char"/>
    <w:basedOn w:val="DefaultParagraphFont"/>
    <w:link w:val="Heading7"/>
    <w:uiPriority w:val="9"/>
    <w:semiHidden/>
    <w:rsid w:val="00482CAE"/>
    <w:rPr>
      <w:rFonts w:asciiTheme="majorHAnsi" w:eastAsiaTheme="majorEastAsia" w:hAnsiTheme="majorHAnsi" w:cstheme="majorBidi"/>
      <w:i/>
      <w:iCs/>
      <w:color w:val="404040" w:themeColor="text1" w:themeTint="BF"/>
      <w:sz w:val="20"/>
      <w:lang w:val="en-AU"/>
    </w:rPr>
  </w:style>
  <w:style w:type="character" w:customStyle="1" w:styleId="Heading8Char">
    <w:name w:val="Heading 8 Char"/>
    <w:basedOn w:val="DefaultParagraphFont"/>
    <w:link w:val="Heading8"/>
    <w:uiPriority w:val="9"/>
    <w:semiHidden/>
    <w:rsid w:val="00482CAE"/>
    <w:rPr>
      <w:rFonts w:asciiTheme="majorHAnsi" w:eastAsiaTheme="majorEastAsia" w:hAnsiTheme="majorHAnsi" w:cstheme="majorBidi"/>
      <w:color w:val="404040" w:themeColor="text1" w:themeTint="BF"/>
      <w:sz w:val="20"/>
      <w:szCs w:val="20"/>
      <w:lang w:val="en-AU"/>
    </w:rPr>
  </w:style>
  <w:style w:type="character" w:customStyle="1" w:styleId="Heading9Char">
    <w:name w:val="Heading 9 Char"/>
    <w:basedOn w:val="DefaultParagraphFont"/>
    <w:link w:val="Heading9"/>
    <w:uiPriority w:val="9"/>
    <w:semiHidden/>
    <w:rsid w:val="00482CAE"/>
    <w:rPr>
      <w:rFonts w:asciiTheme="majorHAnsi" w:eastAsiaTheme="majorEastAsia" w:hAnsiTheme="majorHAnsi" w:cstheme="majorBidi"/>
      <w:i/>
      <w:iCs/>
      <w:color w:val="404040" w:themeColor="text1" w:themeTint="BF"/>
      <w:sz w:val="20"/>
      <w:szCs w:val="20"/>
      <w:lang w:val="en-AU"/>
    </w:rPr>
  </w:style>
  <w:style w:type="table" w:styleId="GridTable1Light">
    <w:name w:val="Grid Table 1 Light"/>
    <w:basedOn w:val="TableNormal"/>
    <w:uiPriority w:val="46"/>
    <w:rsid w:val="00E245D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3-Accent3">
    <w:name w:val="Grid Table 3 Accent 3"/>
    <w:basedOn w:val="TableNormal"/>
    <w:uiPriority w:val="48"/>
    <w:rsid w:val="00890A72"/>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4-Accent5">
    <w:name w:val="Grid Table 4 Accent 5"/>
    <w:basedOn w:val="TableNormal"/>
    <w:uiPriority w:val="49"/>
    <w:rsid w:val="00D56B3F"/>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18461">
      <w:bodyDiv w:val="1"/>
      <w:marLeft w:val="0"/>
      <w:marRight w:val="0"/>
      <w:marTop w:val="0"/>
      <w:marBottom w:val="0"/>
      <w:divBdr>
        <w:top w:val="none" w:sz="0" w:space="0" w:color="auto"/>
        <w:left w:val="none" w:sz="0" w:space="0" w:color="auto"/>
        <w:bottom w:val="none" w:sz="0" w:space="0" w:color="auto"/>
        <w:right w:val="none" w:sz="0" w:space="0" w:color="auto"/>
      </w:divBdr>
    </w:div>
    <w:div w:id="19859336">
      <w:bodyDiv w:val="1"/>
      <w:marLeft w:val="0"/>
      <w:marRight w:val="0"/>
      <w:marTop w:val="0"/>
      <w:marBottom w:val="0"/>
      <w:divBdr>
        <w:top w:val="none" w:sz="0" w:space="0" w:color="auto"/>
        <w:left w:val="none" w:sz="0" w:space="0" w:color="auto"/>
        <w:bottom w:val="none" w:sz="0" w:space="0" w:color="auto"/>
        <w:right w:val="none" w:sz="0" w:space="0" w:color="auto"/>
      </w:divBdr>
    </w:div>
    <w:div w:id="46533033">
      <w:bodyDiv w:val="1"/>
      <w:marLeft w:val="0"/>
      <w:marRight w:val="0"/>
      <w:marTop w:val="0"/>
      <w:marBottom w:val="0"/>
      <w:divBdr>
        <w:top w:val="none" w:sz="0" w:space="0" w:color="auto"/>
        <w:left w:val="none" w:sz="0" w:space="0" w:color="auto"/>
        <w:bottom w:val="none" w:sz="0" w:space="0" w:color="auto"/>
        <w:right w:val="none" w:sz="0" w:space="0" w:color="auto"/>
      </w:divBdr>
    </w:div>
    <w:div w:id="65029684">
      <w:bodyDiv w:val="1"/>
      <w:marLeft w:val="0"/>
      <w:marRight w:val="0"/>
      <w:marTop w:val="0"/>
      <w:marBottom w:val="0"/>
      <w:divBdr>
        <w:top w:val="none" w:sz="0" w:space="0" w:color="auto"/>
        <w:left w:val="none" w:sz="0" w:space="0" w:color="auto"/>
        <w:bottom w:val="none" w:sz="0" w:space="0" w:color="auto"/>
        <w:right w:val="none" w:sz="0" w:space="0" w:color="auto"/>
      </w:divBdr>
    </w:div>
    <w:div w:id="70003857">
      <w:bodyDiv w:val="1"/>
      <w:marLeft w:val="0"/>
      <w:marRight w:val="0"/>
      <w:marTop w:val="0"/>
      <w:marBottom w:val="0"/>
      <w:divBdr>
        <w:top w:val="none" w:sz="0" w:space="0" w:color="auto"/>
        <w:left w:val="none" w:sz="0" w:space="0" w:color="auto"/>
        <w:bottom w:val="none" w:sz="0" w:space="0" w:color="auto"/>
        <w:right w:val="none" w:sz="0" w:space="0" w:color="auto"/>
      </w:divBdr>
    </w:div>
    <w:div w:id="71854240">
      <w:bodyDiv w:val="1"/>
      <w:marLeft w:val="0"/>
      <w:marRight w:val="0"/>
      <w:marTop w:val="0"/>
      <w:marBottom w:val="0"/>
      <w:divBdr>
        <w:top w:val="none" w:sz="0" w:space="0" w:color="auto"/>
        <w:left w:val="none" w:sz="0" w:space="0" w:color="auto"/>
        <w:bottom w:val="none" w:sz="0" w:space="0" w:color="auto"/>
        <w:right w:val="none" w:sz="0" w:space="0" w:color="auto"/>
      </w:divBdr>
    </w:div>
    <w:div w:id="115293546">
      <w:bodyDiv w:val="1"/>
      <w:marLeft w:val="0"/>
      <w:marRight w:val="0"/>
      <w:marTop w:val="0"/>
      <w:marBottom w:val="0"/>
      <w:divBdr>
        <w:top w:val="none" w:sz="0" w:space="0" w:color="auto"/>
        <w:left w:val="none" w:sz="0" w:space="0" w:color="auto"/>
        <w:bottom w:val="none" w:sz="0" w:space="0" w:color="auto"/>
        <w:right w:val="none" w:sz="0" w:space="0" w:color="auto"/>
      </w:divBdr>
    </w:div>
    <w:div w:id="195431708">
      <w:bodyDiv w:val="1"/>
      <w:marLeft w:val="0"/>
      <w:marRight w:val="0"/>
      <w:marTop w:val="0"/>
      <w:marBottom w:val="0"/>
      <w:divBdr>
        <w:top w:val="none" w:sz="0" w:space="0" w:color="auto"/>
        <w:left w:val="none" w:sz="0" w:space="0" w:color="auto"/>
        <w:bottom w:val="none" w:sz="0" w:space="0" w:color="auto"/>
        <w:right w:val="none" w:sz="0" w:space="0" w:color="auto"/>
      </w:divBdr>
    </w:div>
    <w:div w:id="208614756">
      <w:bodyDiv w:val="1"/>
      <w:marLeft w:val="0"/>
      <w:marRight w:val="0"/>
      <w:marTop w:val="0"/>
      <w:marBottom w:val="0"/>
      <w:divBdr>
        <w:top w:val="none" w:sz="0" w:space="0" w:color="auto"/>
        <w:left w:val="none" w:sz="0" w:space="0" w:color="auto"/>
        <w:bottom w:val="none" w:sz="0" w:space="0" w:color="auto"/>
        <w:right w:val="none" w:sz="0" w:space="0" w:color="auto"/>
      </w:divBdr>
    </w:div>
    <w:div w:id="212230037">
      <w:bodyDiv w:val="1"/>
      <w:marLeft w:val="0"/>
      <w:marRight w:val="0"/>
      <w:marTop w:val="0"/>
      <w:marBottom w:val="0"/>
      <w:divBdr>
        <w:top w:val="none" w:sz="0" w:space="0" w:color="auto"/>
        <w:left w:val="none" w:sz="0" w:space="0" w:color="auto"/>
        <w:bottom w:val="none" w:sz="0" w:space="0" w:color="auto"/>
        <w:right w:val="none" w:sz="0" w:space="0" w:color="auto"/>
      </w:divBdr>
    </w:div>
    <w:div w:id="222254368">
      <w:bodyDiv w:val="1"/>
      <w:marLeft w:val="0"/>
      <w:marRight w:val="0"/>
      <w:marTop w:val="0"/>
      <w:marBottom w:val="0"/>
      <w:divBdr>
        <w:top w:val="none" w:sz="0" w:space="0" w:color="auto"/>
        <w:left w:val="none" w:sz="0" w:space="0" w:color="auto"/>
        <w:bottom w:val="none" w:sz="0" w:space="0" w:color="auto"/>
        <w:right w:val="none" w:sz="0" w:space="0" w:color="auto"/>
      </w:divBdr>
    </w:div>
    <w:div w:id="225725323">
      <w:bodyDiv w:val="1"/>
      <w:marLeft w:val="0"/>
      <w:marRight w:val="0"/>
      <w:marTop w:val="0"/>
      <w:marBottom w:val="0"/>
      <w:divBdr>
        <w:top w:val="none" w:sz="0" w:space="0" w:color="auto"/>
        <w:left w:val="none" w:sz="0" w:space="0" w:color="auto"/>
        <w:bottom w:val="none" w:sz="0" w:space="0" w:color="auto"/>
        <w:right w:val="none" w:sz="0" w:space="0" w:color="auto"/>
      </w:divBdr>
    </w:div>
    <w:div w:id="227806082">
      <w:bodyDiv w:val="1"/>
      <w:marLeft w:val="0"/>
      <w:marRight w:val="0"/>
      <w:marTop w:val="0"/>
      <w:marBottom w:val="0"/>
      <w:divBdr>
        <w:top w:val="none" w:sz="0" w:space="0" w:color="auto"/>
        <w:left w:val="none" w:sz="0" w:space="0" w:color="auto"/>
        <w:bottom w:val="none" w:sz="0" w:space="0" w:color="auto"/>
        <w:right w:val="none" w:sz="0" w:space="0" w:color="auto"/>
      </w:divBdr>
    </w:div>
    <w:div w:id="255284464">
      <w:bodyDiv w:val="1"/>
      <w:marLeft w:val="0"/>
      <w:marRight w:val="0"/>
      <w:marTop w:val="0"/>
      <w:marBottom w:val="0"/>
      <w:divBdr>
        <w:top w:val="none" w:sz="0" w:space="0" w:color="auto"/>
        <w:left w:val="none" w:sz="0" w:space="0" w:color="auto"/>
        <w:bottom w:val="none" w:sz="0" w:space="0" w:color="auto"/>
        <w:right w:val="none" w:sz="0" w:space="0" w:color="auto"/>
      </w:divBdr>
    </w:div>
    <w:div w:id="307512672">
      <w:bodyDiv w:val="1"/>
      <w:marLeft w:val="0"/>
      <w:marRight w:val="0"/>
      <w:marTop w:val="0"/>
      <w:marBottom w:val="0"/>
      <w:divBdr>
        <w:top w:val="none" w:sz="0" w:space="0" w:color="auto"/>
        <w:left w:val="none" w:sz="0" w:space="0" w:color="auto"/>
        <w:bottom w:val="none" w:sz="0" w:space="0" w:color="auto"/>
        <w:right w:val="none" w:sz="0" w:space="0" w:color="auto"/>
      </w:divBdr>
      <w:divsChild>
        <w:div w:id="84543692">
          <w:marLeft w:val="0"/>
          <w:marRight w:val="0"/>
          <w:marTop w:val="0"/>
          <w:marBottom w:val="0"/>
          <w:divBdr>
            <w:top w:val="none" w:sz="0" w:space="0" w:color="auto"/>
            <w:left w:val="none" w:sz="0" w:space="0" w:color="auto"/>
            <w:bottom w:val="none" w:sz="0" w:space="0" w:color="auto"/>
            <w:right w:val="none" w:sz="0" w:space="0" w:color="auto"/>
          </w:divBdr>
        </w:div>
        <w:div w:id="110100712">
          <w:marLeft w:val="0"/>
          <w:marRight w:val="0"/>
          <w:marTop w:val="0"/>
          <w:marBottom w:val="0"/>
          <w:divBdr>
            <w:top w:val="none" w:sz="0" w:space="0" w:color="auto"/>
            <w:left w:val="none" w:sz="0" w:space="0" w:color="auto"/>
            <w:bottom w:val="none" w:sz="0" w:space="0" w:color="auto"/>
            <w:right w:val="none" w:sz="0" w:space="0" w:color="auto"/>
          </w:divBdr>
        </w:div>
        <w:div w:id="602684339">
          <w:marLeft w:val="0"/>
          <w:marRight w:val="0"/>
          <w:marTop w:val="0"/>
          <w:marBottom w:val="0"/>
          <w:divBdr>
            <w:top w:val="none" w:sz="0" w:space="0" w:color="auto"/>
            <w:left w:val="none" w:sz="0" w:space="0" w:color="auto"/>
            <w:bottom w:val="none" w:sz="0" w:space="0" w:color="auto"/>
            <w:right w:val="none" w:sz="0" w:space="0" w:color="auto"/>
          </w:divBdr>
        </w:div>
        <w:div w:id="1073746517">
          <w:marLeft w:val="0"/>
          <w:marRight w:val="0"/>
          <w:marTop w:val="0"/>
          <w:marBottom w:val="0"/>
          <w:divBdr>
            <w:top w:val="none" w:sz="0" w:space="0" w:color="auto"/>
            <w:left w:val="none" w:sz="0" w:space="0" w:color="auto"/>
            <w:bottom w:val="none" w:sz="0" w:space="0" w:color="auto"/>
            <w:right w:val="none" w:sz="0" w:space="0" w:color="auto"/>
          </w:divBdr>
        </w:div>
        <w:div w:id="1134056840">
          <w:marLeft w:val="0"/>
          <w:marRight w:val="0"/>
          <w:marTop w:val="0"/>
          <w:marBottom w:val="0"/>
          <w:divBdr>
            <w:top w:val="none" w:sz="0" w:space="0" w:color="auto"/>
            <w:left w:val="none" w:sz="0" w:space="0" w:color="auto"/>
            <w:bottom w:val="none" w:sz="0" w:space="0" w:color="auto"/>
            <w:right w:val="none" w:sz="0" w:space="0" w:color="auto"/>
          </w:divBdr>
        </w:div>
        <w:div w:id="1421678142">
          <w:marLeft w:val="0"/>
          <w:marRight w:val="0"/>
          <w:marTop w:val="0"/>
          <w:marBottom w:val="0"/>
          <w:divBdr>
            <w:top w:val="none" w:sz="0" w:space="0" w:color="auto"/>
            <w:left w:val="none" w:sz="0" w:space="0" w:color="auto"/>
            <w:bottom w:val="none" w:sz="0" w:space="0" w:color="auto"/>
            <w:right w:val="none" w:sz="0" w:space="0" w:color="auto"/>
          </w:divBdr>
        </w:div>
        <w:div w:id="1517039126">
          <w:marLeft w:val="0"/>
          <w:marRight w:val="0"/>
          <w:marTop w:val="0"/>
          <w:marBottom w:val="0"/>
          <w:divBdr>
            <w:top w:val="none" w:sz="0" w:space="0" w:color="auto"/>
            <w:left w:val="none" w:sz="0" w:space="0" w:color="auto"/>
            <w:bottom w:val="none" w:sz="0" w:space="0" w:color="auto"/>
            <w:right w:val="none" w:sz="0" w:space="0" w:color="auto"/>
          </w:divBdr>
        </w:div>
        <w:div w:id="1570309714">
          <w:marLeft w:val="0"/>
          <w:marRight w:val="0"/>
          <w:marTop w:val="0"/>
          <w:marBottom w:val="0"/>
          <w:divBdr>
            <w:top w:val="none" w:sz="0" w:space="0" w:color="auto"/>
            <w:left w:val="none" w:sz="0" w:space="0" w:color="auto"/>
            <w:bottom w:val="none" w:sz="0" w:space="0" w:color="auto"/>
            <w:right w:val="none" w:sz="0" w:space="0" w:color="auto"/>
          </w:divBdr>
        </w:div>
      </w:divsChild>
    </w:div>
    <w:div w:id="326175383">
      <w:bodyDiv w:val="1"/>
      <w:marLeft w:val="0"/>
      <w:marRight w:val="0"/>
      <w:marTop w:val="0"/>
      <w:marBottom w:val="0"/>
      <w:divBdr>
        <w:top w:val="none" w:sz="0" w:space="0" w:color="auto"/>
        <w:left w:val="none" w:sz="0" w:space="0" w:color="auto"/>
        <w:bottom w:val="none" w:sz="0" w:space="0" w:color="auto"/>
        <w:right w:val="none" w:sz="0" w:space="0" w:color="auto"/>
      </w:divBdr>
    </w:div>
    <w:div w:id="344333282">
      <w:bodyDiv w:val="1"/>
      <w:marLeft w:val="0"/>
      <w:marRight w:val="0"/>
      <w:marTop w:val="0"/>
      <w:marBottom w:val="0"/>
      <w:divBdr>
        <w:top w:val="none" w:sz="0" w:space="0" w:color="auto"/>
        <w:left w:val="none" w:sz="0" w:space="0" w:color="auto"/>
        <w:bottom w:val="none" w:sz="0" w:space="0" w:color="auto"/>
        <w:right w:val="none" w:sz="0" w:space="0" w:color="auto"/>
      </w:divBdr>
      <w:divsChild>
        <w:div w:id="113326698">
          <w:marLeft w:val="0"/>
          <w:marRight w:val="0"/>
          <w:marTop w:val="0"/>
          <w:marBottom w:val="0"/>
          <w:divBdr>
            <w:top w:val="none" w:sz="0" w:space="0" w:color="auto"/>
            <w:left w:val="none" w:sz="0" w:space="0" w:color="auto"/>
            <w:bottom w:val="none" w:sz="0" w:space="0" w:color="auto"/>
            <w:right w:val="none" w:sz="0" w:space="0" w:color="auto"/>
          </w:divBdr>
          <w:divsChild>
            <w:div w:id="497502397">
              <w:marLeft w:val="0"/>
              <w:marRight w:val="0"/>
              <w:marTop w:val="0"/>
              <w:marBottom w:val="0"/>
              <w:divBdr>
                <w:top w:val="none" w:sz="0" w:space="0" w:color="auto"/>
                <w:left w:val="none" w:sz="0" w:space="0" w:color="auto"/>
                <w:bottom w:val="none" w:sz="0" w:space="0" w:color="auto"/>
                <w:right w:val="none" w:sz="0" w:space="0" w:color="auto"/>
              </w:divBdr>
            </w:div>
          </w:divsChild>
        </w:div>
        <w:div w:id="490826763">
          <w:marLeft w:val="0"/>
          <w:marRight w:val="0"/>
          <w:marTop w:val="0"/>
          <w:marBottom w:val="0"/>
          <w:divBdr>
            <w:top w:val="none" w:sz="0" w:space="0" w:color="auto"/>
            <w:left w:val="none" w:sz="0" w:space="0" w:color="auto"/>
            <w:bottom w:val="none" w:sz="0" w:space="0" w:color="auto"/>
            <w:right w:val="none" w:sz="0" w:space="0" w:color="auto"/>
          </w:divBdr>
          <w:divsChild>
            <w:div w:id="2062709071">
              <w:marLeft w:val="0"/>
              <w:marRight w:val="0"/>
              <w:marTop w:val="0"/>
              <w:marBottom w:val="0"/>
              <w:divBdr>
                <w:top w:val="none" w:sz="0" w:space="0" w:color="auto"/>
                <w:left w:val="none" w:sz="0" w:space="0" w:color="auto"/>
                <w:bottom w:val="none" w:sz="0" w:space="0" w:color="auto"/>
                <w:right w:val="none" w:sz="0" w:space="0" w:color="auto"/>
              </w:divBdr>
            </w:div>
          </w:divsChild>
        </w:div>
        <w:div w:id="553279743">
          <w:marLeft w:val="0"/>
          <w:marRight w:val="0"/>
          <w:marTop w:val="0"/>
          <w:marBottom w:val="0"/>
          <w:divBdr>
            <w:top w:val="none" w:sz="0" w:space="0" w:color="auto"/>
            <w:left w:val="none" w:sz="0" w:space="0" w:color="auto"/>
            <w:bottom w:val="none" w:sz="0" w:space="0" w:color="auto"/>
            <w:right w:val="none" w:sz="0" w:space="0" w:color="auto"/>
          </w:divBdr>
          <w:divsChild>
            <w:div w:id="2112388726">
              <w:marLeft w:val="0"/>
              <w:marRight w:val="0"/>
              <w:marTop w:val="0"/>
              <w:marBottom w:val="0"/>
              <w:divBdr>
                <w:top w:val="none" w:sz="0" w:space="0" w:color="auto"/>
                <w:left w:val="none" w:sz="0" w:space="0" w:color="auto"/>
                <w:bottom w:val="none" w:sz="0" w:space="0" w:color="auto"/>
                <w:right w:val="none" w:sz="0" w:space="0" w:color="auto"/>
              </w:divBdr>
            </w:div>
          </w:divsChild>
        </w:div>
        <w:div w:id="625359402">
          <w:marLeft w:val="0"/>
          <w:marRight w:val="0"/>
          <w:marTop w:val="0"/>
          <w:marBottom w:val="0"/>
          <w:divBdr>
            <w:top w:val="none" w:sz="0" w:space="0" w:color="auto"/>
            <w:left w:val="none" w:sz="0" w:space="0" w:color="auto"/>
            <w:bottom w:val="none" w:sz="0" w:space="0" w:color="auto"/>
            <w:right w:val="none" w:sz="0" w:space="0" w:color="auto"/>
          </w:divBdr>
          <w:divsChild>
            <w:div w:id="1059091585">
              <w:marLeft w:val="0"/>
              <w:marRight w:val="0"/>
              <w:marTop w:val="0"/>
              <w:marBottom w:val="0"/>
              <w:divBdr>
                <w:top w:val="none" w:sz="0" w:space="0" w:color="auto"/>
                <w:left w:val="none" w:sz="0" w:space="0" w:color="auto"/>
                <w:bottom w:val="none" w:sz="0" w:space="0" w:color="auto"/>
                <w:right w:val="none" w:sz="0" w:space="0" w:color="auto"/>
              </w:divBdr>
            </w:div>
          </w:divsChild>
        </w:div>
        <w:div w:id="768235464">
          <w:marLeft w:val="0"/>
          <w:marRight w:val="0"/>
          <w:marTop w:val="0"/>
          <w:marBottom w:val="0"/>
          <w:divBdr>
            <w:top w:val="none" w:sz="0" w:space="0" w:color="auto"/>
            <w:left w:val="none" w:sz="0" w:space="0" w:color="auto"/>
            <w:bottom w:val="none" w:sz="0" w:space="0" w:color="auto"/>
            <w:right w:val="none" w:sz="0" w:space="0" w:color="auto"/>
          </w:divBdr>
          <w:divsChild>
            <w:div w:id="473789386">
              <w:marLeft w:val="0"/>
              <w:marRight w:val="0"/>
              <w:marTop w:val="0"/>
              <w:marBottom w:val="0"/>
              <w:divBdr>
                <w:top w:val="none" w:sz="0" w:space="0" w:color="auto"/>
                <w:left w:val="none" w:sz="0" w:space="0" w:color="auto"/>
                <w:bottom w:val="none" w:sz="0" w:space="0" w:color="auto"/>
                <w:right w:val="none" w:sz="0" w:space="0" w:color="auto"/>
              </w:divBdr>
            </w:div>
          </w:divsChild>
        </w:div>
        <w:div w:id="830024962">
          <w:marLeft w:val="0"/>
          <w:marRight w:val="0"/>
          <w:marTop w:val="0"/>
          <w:marBottom w:val="0"/>
          <w:divBdr>
            <w:top w:val="none" w:sz="0" w:space="0" w:color="auto"/>
            <w:left w:val="none" w:sz="0" w:space="0" w:color="auto"/>
            <w:bottom w:val="none" w:sz="0" w:space="0" w:color="auto"/>
            <w:right w:val="none" w:sz="0" w:space="0" w:color="auto"/>
          </w:divBdr>
          <w:divsChild>
            <w:div w:id="2001886299">
              <w:marLeft w:val="0"/>
              <w:marRight w:val="0"/>
              <w:marTop w:val="0"/>
              <w:marBottom w:val="0"/>
              <w:divBdr>
                <w:top w:val="none" w:sz="0" w:space="0" w:color="auto"/>
                <w:left w:val="none" w:sz="0" w:space="0" w:color="auto"/>
                <w:bottom w:val="none" w:sz="0" w:space="0" w:color="auto"/>
                <w:right w:val="none" w:sz="0" w:space="0" w:color="auto"/>
              </w:divBdr>
            </w:div>
          </w:divsChild>
        </w:div>
        <w:div w:id="854998094">
          <w:marLeft w:val="0"/>
          <w:marRight w:val="0"/>
          <w:marTop w:val="0"/>
          <w:marBottom w:val="0"/>
          <w:divBdr>
            <w:top w:val="none" w:sz="0" w:space="0" w:color="auto"/>
            <w:left w:val="none" w:sz="0" w:space="0" w:color="auto"/>
            <w:bottom w:val="none" w:sz="0" w:space="0" w:color="auto"/>
            <w:right w:val="none" w:sz="0" w:space="0" w:color="auto"/>
          </w:divBdr>
          <w:divsChild>
            <w:div w:id="879586042">
              <w:marLeft w:val="0"/>
              <w:marRight w:val="0"/>
              <w:marTop w:val="0"/>
              <w:marBottom w:val="0"/>
              <w:divBdr>
                <w:top w:val="none" w:sz="0" w:space="0" w:color="auto"/>
                <w:left w:val="none" w:sz="0" w:space="0" w:color="auto"/>
                <w:bottom w:val="none" w:sz="0" w:space="0" w:color="auto"/>
                <w:right w:val="none" w:sz="0" w:space="0" w:color="auto"/>
              </w:divBdr>
            </w:div>
          </w:divsChild>
        </w:div>
        <w:div w:id="1213419866">
          <w:marLeft w:val="0"/>
          <w:marRight w:val="0"/>
          <w:marTop w:val="0"/>
          <w:marBottom w:val="0"/>
          <w:divBdr>
            <w:top w:val="none" w:sz="0" w:space="0" w:color="auto"/>
            <w:left w:val="none" w:sz="0" w:space="0" w:color="auto"/>
            <w:bottom w:val="none" w:sz="0" w:space="0" w:color="auto"/>
            <w:right w:val="none" w:sz="0" w:space="0" w:color="auto"/>
          </w:divBdr>
          <w:divsChild>
            <w:div w:id="2033068844">
              <w:marLeft w:val="0"/>
              <w:marRight w:val="0"/>
              <w:marTop w:val="0"/>
              <w:marBottom w:val="0"/>
              <w:divBdr>
                <w:top w:val="none" w:sz="0" w:space="0" w:color="auto"/>
                <w:left w:val="none" w:sz="0" w:space="0" w:color="auto"/>
                <w:bottom w:val="none" w:sz="0" w:space="0" w:color="auto"/>
                <w:right w:val="none" w:sz="0" w:space="0" w:color="auto"/>
              </w:divBdr>
            </w:div>
          </w:divsChild>
        </w:div>
        <w:div w:id="1229611391">
          <w:marLeft w:val="0"/>
          <w:marRight w:val="0"/>
          <w:marTop w:val="0"/>
          <w:marBottom w:val="0"/>
          <w:divBdr>
            <w:top w:val="none" w:sz="0" w:space="0" w:color="auto"/>
            <w:left w:val="none" w:sz="0" w:space="0" w:color="auto"/>
            <w:bottom w:val="none" w:sz="0" w:space="0" w:color="auto"/>
            <w:right w:val="none" w:sz="0" w:space="0" w:color="auto"/>
          </w:divBdr>
          <w:divsChild>
            <w:div w:id="949702994">
              <w:marLeft w:val="0"/>
              <w:marRight w:val="0"/>
              <w:marTop w:val="0"/>
              <w:marBottom w:val="0"/>
              <w:divBdr>
                <w:top w:val="none" w:sz="0" w:space="0" w:color="auto"/>
                <w:left w:val="none" w:sz="0" w:space="0" w:color="auto"/>
                <w:bottom w:val="none" w:sz="0" w:space="0" w:color="auto"/>
                <w:right w:val="none" w:sz="0" w:space="0" w:color="auto"/>
              </w:divBdr>
            </w:div>
          </w:divsChild>
        </w:div>
        <w:div w:id="1263877992">
          <w:marLeft w:val="0"/>
          <w:marRight w:val="0"/>
          <w:marTop w:val="0"/>
          <w:marBottom w:val="0"/>
          <w:divBdr>
            <w:top w:val="none" w:sz="0" w:space="0" w:color="auto"/>
            <w:left w:val="none" w:sz="0" w:space="0" w:color="auto"/>
            <w:bottom w:val="none" w:sz="0" w:space="0" w:color="auto"/>
            <w:right w:val="none" w:sz="0" w:space="0" w:color="auto"/>
          </w:divBdr>
          <w:divsChild>
            <w:div w:id="29248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960145">
      <w:bodyDiv w:val="1"/>
      <w:marLeft w:val="0"/>
      <w:marRight w:val="0"/>
      <w:marTop w:val="0"/>
      <w:marBottom w:val="0"/>
      <w:divBdr>
        <w:top w:val="none" w:sz="0" w:space="0" w:color="auto"/>
        <w:left w:val="none" w:sz="0" w:space="0" w:color="auto"/>
        <w:bottom w:val="none" w:sz="0" w:space="0" w:color="auto"/>
        <w:right w:val="none" w:sz="0" w:space="0" w:color="auto"/>
      </w:divBdr>
    </w:div>
    <w:div w:id="356202943">
      <w:bodyDiv w:val="1"/>
      <w:marLeft w:val="0"/>
      <w:marRight w:val="0"/>
      <w:marTop w:val="0"/>
      <w:marBottom w:val="0"/>
      <w:divBdr>
        <w:top w:val="none" w:sz="0" w:space="0" w:color="auto"/>
        <w:left w:val="none" w:sz="0" w:space="0" w:color="auto"/>
        <w:bottom w:val="none" w:sz="0" w:space="0" w:color="auto"/>
        <w:right w:val="none" w:sz="0" w:space="0" w:color="auto"/>
      </w:divBdr>
    </w:div>
    <w:div w:id="392117383">
      <w:bodyDiv w:val="1"/>
      <w:marLeft w:val="0"/>
      <w:marRight w:val="0"/>
      <w:marTop w:val="0"/>
      <w:marBottom w:val="0"/>
      <w:divBdr>
        <w:top w:val="none" w:sz="0" w:space="0" w:color="auto"/>
        <w:left w:val="none" w:sz="0" w:space="0" w:color="auto"/>
        <w:bottom w:val="none" w:sz="0" w:space="0" w:color="auto"/>
        <w:right w:val="none" w:sz="0" w:space="0" w:color="auto"/>
      </w:divBdr>
      <w:divsChild>
        <w:div w:id="574323778">
          <w:marLeft w:val="0"/>
          <w:marRight w:val="0"/>
          <w:marTop w:val="0"/>
          <w:marBottom w:val="0"/>
          <w:divBdr>
            <w:top w:val="none" w:sz="0" w:space="0" w:color="auto"/>
            <w:left w:val="none" w:sz="0" w:space="0" w:color="auto"/>
            <w:bottom w:val="none" w:sz="0" w:space="0" w:color="auto"/>
            <w:right w:val="none" w:sz="0" w:space="0" w:color="auto"/>
          </w:divBdr>
          <w:divsChild>
            <w:div w:id="1886795150">
              <w:marLeft w:val="0"/>
              <w:marRight w:val="0"/>
              <w:marTop w:val="0"/>
              <w:marBottom w:val="0"/>
              <w:divBdr>
                <w:top w:val="none" w:sz="0" w:space="0" w:color="auto"/>
                <w:left w:val="none" w:sz="0" w:space="0" w:color="auto"/>
                <w:bottom w:val="none" w:sz="0" w:space="0" w:color="auto"/>
                <w:right w:val="none" w:sz="0" w:space="0" w:color="auto"/>
              </w:divBdr>
              <w:divsChild>
                <w:div w:id="134152655">
                  <w:marLeft w:val="0"/>
                  <w:marRight w:val="0"/>
                  <w:marTop w:val="0"/>
                  <w:marBottom w:val="0"/>
                  <w:divBdr>
                    <w:top w:val="none" w:sz="0" w:space="0" w:color="auto"/>
                    <w:left w:val="none" w:sz="0" w:space="0" w:color="auto"/>
                    <w:bottom w:val="none" w:sz="0" w:space="0" w:color="auto"/>
                    <w:right w:val="none" w:sz="0" w:space="0" w:color="auto"/>
                  </w:divBdr>
                  <w:divsChild>
                    <w:div w:id="1519662798">
                      <w:marLeft w:val="0"/>
                      <w:marRight w:val="0"/>
                      <w:marTop w:val="0"/>
                      <w:marBottom w:val="0"/>
                      <w:divBdr>
                        <w:top w:val="none" w:sz="0" w:space="0" w:color="auto"/>
                        <w:left w:val="none" w:sz="0" w:space="0" w:color="auto"/>
                        <w:bottom w:val="none" w:sz="0" w:space="0" w:color="auto"/>
                        <w:right w:val="none" w:sz="0" w:space="0" w:color="auto"/>
                      </w:divBdr>
                      <w:divsChild>
                        <w:div w:id="469057719">
                          <w:marLeft w:val="0"/>
                          <w:marRight w:val="0"/>
                          <w:marTop w:val="0"/>
                          <w:marBottom w:val="0"/>
                          <w:divBdr>
                            <w:top w:val="none" w:sz="0" w:space="0" w:color="auto"/>
                            <w:left w:val="none" w:sz="0" w:space="0" w:color="auto"/>
                            <w:bottom w:val="none" w:sz="0" w:space="0" w:color="auto"/>
                            <w:right w:val="none" w:sz="0" w:space="0" w:color="auto"/>
                          </w:divBdr>
                          <w:divsChild>
                            <w:div w:id="1679847553">
                              <w:marLeft w:val="0"/>
                              <w:marRight w:val="0"/>
                              <w:marTop w:val="0"/>
                              <w:marBottom w:val="0"/>
                              <w:divBdr>
                                <w:top w:val="none" w:sz="0" w:space="0" w:color="auto"/>
                                <w:left w:val="none" w:sz="0" w:space="0" w:color="auto"/>
                                <w:bottom w:val="none" w:sz="0" w:space="0" w:color="auto"/>
                                <w:right w:val="none" w:sz="0" w:space="0" w:color="auto"/>
                              </w:divBdr>
                              <w:divsChild>
                                <w:div w:id="1306155834">
                                  <w:marLeft w:val="0"/>
                                  <w:marRight w:val="0"/>
                                  <w:marTop w:val="0"/>
                                  <w:marBottom w:val="0"/>
                                  <w:divBdr>
                                    <w:top w:val="none" w:sz="0" w:space="0" w:color="auto"/>
                                    <w:left w:val="none" w:sz="0" w:space="0" w:color="auto"/>
                                    <w:bottom w:val="none" w:sz="0" w:space="0" w:color="auto"/>
                                    <w:right w:val="none" w:sz="0" w:space="0" w:color="auto"/>
                                  </w:divBdr>
                                  <w:divsChild>
                                    <w:div w:id="1615138335">
                                      <w:marLeft w:val="0"/>
                                      <w:marRight w:val="0"/>
                                      <w:marTop w:val="0"/>
                                      <w:marBottom w:val="0"/>
                                      <w:divBdr>
                                        <w:top w:val="none" w:sz="0" w:space="0" w:color="auto"/>
                                        <w:left w:val="none" w:sz="0" w:space="0" w:color="auto"/>
                                        <w:bottom w:val="none" w:sz="0" w:space="0" w:color="auto"/>
                                        <w:right w:val="none" w:sz="0" w:space="0" w:color="auto"/>
                                      </w:divBdr>
                                      <w:divsChild>
                                        <w:div w:id="167873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2453609">
      <w:bodyDiv w:val="1"/>
      <w:marLeft w:val="0"/>
      <w:marRight w:val="0"/>
      <w:marTop w:val="0"/>
      <w:marBottom w:val="0"/>
      <w:divBdr>
        <w:top w:val="none" w:sz="0" w:space="0" w:color="auto"/>
        <w:left w:val="none" w:sz="0" w:space="0" w:color="auto"/>
        <w:bottom w:val="none" w:sz="0" w:space="0" w:color="auto"/>
        <w:right w:val="none" w:sz="0" w:space="0" w:color="auto"/>
      </w:divBdr>
    </w:div>
    <w:div w:id="594751264">
      <w:bodyDiv w:val="1"/>
      <w:marLeft w:val="0"/>
      <w:marRight w:val="0"/>
      <w:marTop w:val="0"/>
      <w:marBottom w:val="0"/>
      <w:divBdr>
        <w:top w:val="none" w:sz="0" w:space="0" w:color="auto"/>
        <w:left w:val="none" w:sz="0" w:space="0" w:color="auto"/>
        <w:bottom w:val="none" w:sz="0" w:space="0" w:color="auto"/>
        <w:right w:val="none" w:sz="0" w:space="0" w:color="auto"/>
      </w:divBdr>
    </w:div>
    <w:div w:id="596250930">
      <w:bodyDiv w:val="1"/>
      <w:marLeft w:val="0"/>
      <w:marRight w:val="0"/>
      <w:marTop w:val="0"/>
      <w:marBottom w:val="0"/>
      <w:divBdr>
        <w:top w:val="none" w:sz="0" w:space="0" w:color="auto"/>
        <w:left w:val="none" w:sz="0" w:space="0" w:color="auto"/>
        <w:bottom w:val="none" w:sz="0" w:space="0" w:color="auto"/>
        <w:right w:val="none" w:sz="0" w:space="0" w:color="auto"/>
      </w:divBdr>
    </w:div>
    <w:div w:id="613172768">
      <w:bodyDiv w:val="1"/>
      <w:marLeft w:val="0"/>
      <w:marRight w:val="0"/>
      <w:marTop w:val="0"/>
      <w:marBottom w:val="0"/>
      <w:divBdr>
        <w:top w:val="none" w:sz="0" w:space="0" w:color="auto"/>
        <w:left w:val="none" w:sz="0" w:space="0" w:color="auto"/>
        <w:bottom w:val="none" w:sz="0" w:space="0" w:color="auto"/>
        <w:right w:val="none" w:sz="0" w:space="0" w:color="auto"/>
      </w:divBdr>
    </w:div>
    <w:div w:id="627443181">
      <w:bodyDiv w:val="1"/>
      <w:marLeft w:val="0"/>
      <w:marRight w:val="0"/>
      <w:marTop w:val="0"/>
      <w:marBottom w:val="0"/>
      <w:divBdr>
        <w:top w:val="none" w:sz="0" w:space="0" w:color="auto"/>
        <w:left w:val="none" w:sz="0" w:space="0" w:color="auto"/>
        <w:bottom w:val="none" w:sz="0" w:space="0" w:color="auto"/>
        <w:right w:val="none" w:sz="0" w:space="0" w:color="auto"/>
      </w:divBdr>
    </w:div>
    <w:div w:id="655572522">
      <w:bodyDiv w:val="1"/>
      <w:marLeft w:val="0"/>
      <w:marRight w:val="0"/>
      <w:marTop w:val="0"/>
      <w:marBottom w:val="0"/>
      <w:divBdr>
        <w:top w:val="none" w:sz="0" w:space="0" w:color="auto"/>
        <w:left w:val="none" w:sz="0" w:space="0" w:color="auto"/>
        <w:bottom w:val="none" w:sz="0" w:space="0" w:color="auto"/>
        <w:right w:val="none" w:sz="0" w:space="0" w:color="auto"/>
      </w:divBdr>
    </w:div>
    <w:div w:id="664817509">
      <w:bodyDiv w:val="1"/>
      <w:marLeft w:val="0"/>
      <w:marRight w:val="0"/>
      <w:marTop w:val="0"/>
      <w:marBottom w:val="0"/>
      <w:divBdr>
        <w:top w:val="none" w:sz="0" w:space="0" w:color="auto"/>
        <w:left w:val="none" w:sz="0" w:space="0" w:color="auto"/>
        <w:bottom w:val="none" w:sz="0" w:space="0" w:color="auto"/>
        <w:right w:val="none" w:sz="0" w:space="0" w:color="auto"/>
      </w:divBdr>
    </w:div>
    <w:div w:id="698629108">
      <w:bodyDiv w:val="1"/>
      <w:marLeft w:val="0"/>
      <w:marRight w:val="0"/>
      <w:marTop w:val="0"/>
      <w:marBottom w:val="0"/>
      <w:divBdr>
        <w:top w:val="none" w:sz="0" w:space="0" w:color="auto"/>
        <w:left w:val="none" w:sz="0" w:space="0" w:color="auto"/>
        <w:bottom w:val="none" w:sz="0" w:space="0" w:color="auto"/>
        <w:right w:val="none" w:sz="0" w:space="0" w:color="auto"/>
      </w:divBdr>
    </w:div>
    <w:div w:id="780077051">
      <w:bodyDiv w:val="1"/>
      <w:marLeft w:val="0"/>
      <w:marRight w:val="0"/>
      <w:marTop w:val="0"/>
      <w:marBottom w:val="0"/>
      <w:divBdr>
        <w:top w:val="none" w:sz="0" w:space="0" w:color="auto"/>
        <w:left w:val="none" w:sz="0" w:space="0" w:color="auto"/>
        <w:bottom w:val="none" w:sz="0" w:space="0" w:color="auto"/>
        <w:right w:val="none" w:sz="0" w:space="0" w:color="auto"/>
      </w:divBdr>
    </w:div>
    <w:div w:id="786777280">
      <w:bodyDiv w:val="1"/>
      <w:marLeft w:val="0"/>
      <w:marRight w:val="0"/>
      <w:marTop w:val="0"/>
      <w:marBottom w:val="0"/>
      <w:divBdr>
        <w:top w:val="none" w:sz="0" w:space="0" w:color="auto"/>
        <w:left w:val="none" w:sz="0" w:space="0" w:color="auto"/>
        <w:bottom w:val="none" w:sz="0" w:space="0" w:color="auto"/>
        <w:right w:val="none" w:sz="0" w:space="0" w:color="auto"/>
      </w:divBdr>
    </w:div>
    <w:div w:id="792093835">
      <w:bodyDiv w:val="1"/>
      <w:marLeft w:val="0"/>
      <w:marRight w:val="0"/>
      <w:marTop w:val="0"/>
      <w:marBottom w:val="0"/>
      <w:divBdr>
        <w:top w:val="none" w:sz="0" w:space="0" w:color="auto"/>
        <w:left w:val="none" w:sz="0" w:space="0" w:color="auto"/>
        <w:bottom w:val="none" w:sz="0" w:space="0" w:color="auto"/>
        <w:right w:val="none" w:sz="0" w:space="0" w:color="auto"/>
      </w:divBdr>
    </w:div>
    <w:div w:id="792944469">
      <w:bodyDiv w:val="1"/>
      <w:marLeft w:val="0"/>
      <w:marRight w:val="0"/>
      <w:marTop w:val="0"/>
      <w:marBottom w:val="0"/>
      <w:divBdr>
        <w:top w:val="none" w:sz="0" w:space="0" w:color="auto"/>
        <w:left w:val="none" w:sz="0" w:space="0" w:color="auto"/>
        <w:bottom w:val="none" w:sz="0" w:space="0" w:color="auto"/>
        <w:right w:val="none" w:sz="0" w:space="0" w:color="auto"/>
      </w:divBdr>
    </w:div>
    <w:div w:id="807091645">
      <w:bodyDiv w:val="1"/>
      <w:marLeft w:val="0"/>
      <w:marRight w:val="0"/>
      <w:marTop w:val="0"/>
      <w:marBottom w:val="0"/>
      <w:divBdr>
        <w:top w:val="none" w:sz="0" w:space="0" w:color="auto"/>
        <w:left w:val="none" w:sz="0" w:space="0" w:color="auto"/>
        <w:bottom w:val="none" w:sz="0" w:space="0" w:color="auto"/>
        <w:right w:val="none" w:sz="0" w:space="0" w:color="auto"/>
      </w:divBdr>
    </w:div>
    <w:div w:id="815607083">
      <w:bodyDiv w:val="1"/>
      <w:marLeft w:val="0"/>
      <w:marRight w:val="0"/>
      <w:marTop w:val="0"/>
      <w:marBottom w:val="0"/>
      <w:divBdr>
        <w:top w:val="none" w:sz="0" w:space="0" w:color="auto"/>
        <w:left w:val="none" w:sz="0" w:space="0" w:color="auto"/>
        <w:bottom w:val="none" w:sz="0" w:space="0" w:color="auto"/>
        <w:right w:val="none" w:sz="0" w:space="0" w:color="auto"/>
      </w:divBdr>
    </w:div>
    <w:div w:id="937954264">
      <w:bodyDiv w:val="1"/>
      <w:marLeft w:val="0"/>
      <w:marRight w:val="0"/>
      <w:marTop w:val="0"/>
      <w:marBottom w:val="0"/>
      <w:divBdr>
        <w:top w:val="none" w:sz="0" w:space="0" w:color="auto"/>
        <w:left w:val="none" w:sz="0" w:space="0" w:color="auto"/>
        <w:bottom w:val="none" w:sz="0" w:space="0" w:color="auto"/>
        <w:right w:val="none" w:sz="0" w:space="0" w:color="auto"/>
      </w:divBdr>
    </w:div>
    <w:div w:id="939340051">
      <w:bodyDiv w:val="1"/>
      <w:marLeft w:val="0"/>
      <w:marRight w:val="0"/>
      <w:marTop w:val="0"/>
      <w:marBottom w:val="0"/>
      <w:divBdr>
        <w:top w:val="none" w:sz="0" w:space="0" w:color="auto"/>
        <w:left w:val="none" w:sz="0" w:space="0" w:color="auto"/>
        <w:bottom w:val="none" w:sz="0" w:space="0" w:color="auto"/>
        <w:right w:val="none" w:sz="0" w:space="0" w:color="auto"/>
      </w:divBdr>
    </w:div>
    <w:div w:id="947349752">
      <w:bodyDiv w:val="1"/>
      <w:marLeft w:val="0"/>
      <w:marRight w:val="0"/>
      <w:marTop w:val="0"/>
      <w:marBottom w:val="0"/>
      <w:divBdr>
        <w:top w:val="none" w:sz="0" w:space="0" w:color="auto"/>
        <w:left w:val="none" w:sz="0" w:space="0" w:color="auto"/>
        <w:bottom w:val="none" w:sz="0" w:space="0" w:color="auto"/>
        <w:right w:val="none" w:sz="0" w:space="0" w:color="auto"/>
      </w:divBdr>
    </w:div>
    <w:div w:id="952248634">
      <w:bodyDiv w:val="1"/>
      <w:marLeft w:val="0"/>
      <w:marRight w:val="0"/>
      <w:marTop w:val="0"/>
      <w:marBottom w:val="0"/>
      <w:divBdr>
        <w:top w:val="none" w:sz="0" w:space="0" w:color="auto"/>
        <w:left w:val="none" w:sz="0" w:space="0" w:color="auto"/>
        <w:bottom w:val="none" w:sz="0" w:space="0" w:color="auto"/>
        <w:right w:val="none" w:sz="0" w:space="0" w:color="auto"/>
      </w:divBdr>
    </w:div>
    <w:div w:id="1013461658">
      <w:bodyDiv w:val="1"/>
      <w:marLeft w:val="0"/>
      <w:marRight w:val="0"/>
      <w:marTop w:val="0"/>
      <w:marBottom w:val="0"/>
      <w:divBdr>
        <w:top w:val="none" w:sz="0" w:space="0" w:color="auto"/>
        <w:left w:val="none" w:sz="0" w:space="0" w:color="auto"/>
        <w:bottom w:val="none" w:sz="0" w:space="0" w:color="auto"/>
        <w:right w:val="none" w:sz="0" w:space="0" w:color="auto"/>
      </w:divBdr>
    </w:div>
    <w:div w:id="1014841106">
      <w:bodyDiv w:val="1"/>
      <w:marLeft w:val="0"/>
      <w:marRight w:val="0"/>
      <w:marTop w:val="0"/>
      <w:marBottom w:val="0"/>
      <w:divBdr>
        <w:top w:val="none" w:sz="0" w:space="0" w:color="auto"/>
        <w:left w:val="none" w:sz="0" w:space="0" w:color="auto"/>
        <w:bottom w:val="none" w:sz="0" w:space="0" w:color="auto"/>
        <w:right w:val="none" w:sz="0" w:space="0" w:color="auto"/>
      </w:divBdr>
      <w:divsChild>
        <w:div w:id="1137916303">
          <w:marLeft w:val="0"/>
          <w:marRight w:val="0"/>
          <w:marTop w:val="0"/>
          <w:marBottom w:val="0"/>
          <w:divBdr>
            <w:top w:val="none" w:sz="0" w:space="0" w:color="auto"/>
            <w:left w:val="none" w:sz="0" w:space="0" w:color="auto"/>
            <w:bottom w:val="none" w:sz="0" w:space="0" w:color="auto"/>
            <w:right w:val="none" w:sz="0" w:space="0" w:color="auto"/>
          </w:divBdr>
        </w:div>
      </w:divsChild>
    </w:div>
    <w:div w:id="1015573941">
      <w:bodyDiv w:val="1"/>
      <w:marLeft w:val="0"/>
      <w:marRight w:val="0"/>
      <w:marTop w:val="0"/>
      <w:marBottom w:val="0"/>
      <w:divBdr>
        <w:top w:val="none" w:sz="0" w:space="0" w:color="auto"/>
        <w:left w:val="none" w:sz="0" w:space="0" w:color="auto"/>
        <w:bottom w:val="none" w:sz="0" w:space="0" w:color="auto"/>
        <w:right w:val="none" w:sz="0" w:space="0" w:color="auto"/>
      </w:divBdr>
    </w:div>
    <w:div w:id="1055665598">
      <w:bodyDiv w:val="1"/>
      <w:marLeft w:val="0"/>
      <w:marRight w:val="0"/>
      <w:marTop w:val="0"/>
      <w:marBottom w:val="0"/>
      <w:divBdr>
        <w:top w:val="none" w:sz="0" w:space="0" w:color="auto"/>
        <w:left w:val="none" w:sz="0" w:space="0" w:color="auto"/>
        <w:bottom w:val="none" w:sz="0" w:space="0" w:color="auto"/>
        <w:right w:val="none" w:sz="0" w:space="0" w:color="auto"/>
      </w:divBdr>
    </w:div>
    <w:div w:id="1073745134">
      <w:bodyDiv w:val="1"/>
      <w:marLeft w:val="0"/>
      <w:marRight w:val="0"/>
      <w:marTop w:val="0"/>
      <w:marBottom w:val="0"/>
      <w:divBdr>
        <w:top w:val="none" w:sz="0" w:space="0" w:color="auto"/>
        <w:left w:val="none" w:sz="0" w:space="0" w:color="auto"/>
        <w:bottom w:val="none" w:sz="0" w:space="0" w:color="auto"/>
        <w:right w:val="none" w:sz="0" w:space="0" w:color="auto"/>
      </w:divBdr>
    </w:div>
    <w:div w:id="1076392783">
      <w:bodyDiv w:val="1"/>
      <w:marLeft w:val="0"/>
      <w:marRight w:val="0"/>
      <w:marTop w:val="0"/>
      <w:marBottom w:val="0"/>
      <w:divBdr>
        <w:top w:val="none" w:sz="0" w:space="0" w:color="auto"/>
        <w:left w:val="none" w:sz="0" w:space="0" w:color="auto"/>
        <w:bottom w:val="none" w:sz="0" w:space="0" w:color="auto"/>
        <w:right w:val="none" w:sz="0" w:space="0" w:color="auto"/>
      </w:divBdr>
    </w:div>
    <w:div w:id="1086071816">
      <w:bodyDiv w:val="1"/>
      <w:marLeft w:val="0"/>
      <w:marRight w:val="0"/>
      <w:marTop w:val="0"/>
      <w:marBottom w:val="0"/>
      <w:divBdr>
        <w:top w:val="none" w:sz="0" w:space="0" w:color="auto"/>
        <w:left w:val="none" w:sz="0" w:space="0" w:color="auto"/>
        <w:bottom w:val="none" w:sz="0" w:space="0" w:color="auto"/>
        <w:right w:val="none" w:sz="0" w:space="0" w:color="auto"/>
      </w:divBdr>
    </w:div>
    <w:div w:id="1118067179">
      <w:bodyDiv w:val="1"/>
      <w:marLeft w:val="0"/>
      <w:marRight w:val="0"/>
      <w:marTop w:val="0"/>
      <w:marBottom w:val="0"/>
      <w:divBdr>
        <w:top w:val="none" w:sz="0" w:space="0" w:color="auto"/>
        <w:left w:val="none" w:sz="0" w:space="0" w:color="auto"/>
        <w:bottom w:val="none" w:sz="0" w:space="0" w:color="auto"/>
        <w:right w:val="none" w:sz="0" w:space="0" w:color="auto"/>
      </w:divBdr>
    </w:div>
    <w:div w:id="1141071182">
      <w:bodyDiv w:val="1"/>
      <w:marLeft w:val="0"/>
      <w:marRight w:val="0"/>
      <w:marTop w:val="0"/>
      <w:marBottom w:val="0"/>
      <w:divBdr>
        <w:top w:val="none" w:sz="0" w:space="0" w:color="auto"/>
        <w:left w:val="none" w:sz="0" w:space="0" w:color="auto"/>
        <w:bottom w:val="none" w:sz="0" w:space="0" w:color="auto"/>
        <w:right w:val="none" w:sz="0" w:space="0" w:color="auto"/>
      </w:divBdr>
    </w:div>
    <w:div w:id="1154180554">
      <w:bodyDiv w:val="1"/>
      <w:marLeft w:val="0"/>
      <w:marRight w:val="0"/>
      <w:marTop w:val="0"/>
      <w:marBottom w:val="0"/>
      <w:divBdr>
        <w:top w:val="none" w:sz="0" w:space="0" w:color="auto"/>
        <w:left w:val="none" w:sz="0" w:space="0" w:color="auto"/>
        <w:bottom w:val="none" w:sz="0" w:space="0" w:color="auto"/>
        <w:right w:val="none" w:sz="0" w:space="0" w:color="auto"/>
      </w:divBdr>
    </w:div>
    <w:div w:id="1206676673">
      <w:bodyDiv w:val="1"/>
      <w:marLeft w:val="0"/>
      <w:marRight w:val="0"/>
      <w:marTop w:val="0"/>
      <w:marBottom w:val="0"/>
      <w:divBdr>
        <w:top w:val="none" w:sz="0" w:space="0" w:color="auto"/>
        <w:left w:val="none" w:sz="0" w:space="0" w:color="auto"/>
        <w:bottom w:val="none" w:sz="0" w:space="0" w:color="auto"/>
        <w:right w:val="none" w:sz="0" w:space="0" w:color="auto"/>
      </w:divBdr>
    </w:div>
    <w:div w:id="1208686761">
      <w:bodyDiv w:val="1"/>
      <w:marLeft w:val="0"/>
      <w:marRight w:val="0"/>
      <w:marTop w:val="0"/>
      <w:marBottom w:val="0"/>
      <w:divBdr>
        <w:top w:val="none" w:sz="0" w:space="0" w:color="auto"/>
        <w:left w:val="none" w:sz="0" w:space="0" w:color="auto"/>
        <w:bottom w:val="none" w:sz="0" w:space="0" w:color="auto"/>
        <w:right w:val="none" w:sz="0" w:space="0" w:color="auto"/>
      </w:divBdr>
    </w:div>
    <w:div w:id="1213268628">
      <w:bodyDiv w:val="1"/>
      <w:marLeft w:val="0"/>
      <w:marRight w:val="0"/>
      <w:marTop w:val="0"/>
      <w:marBottom w:val="0"/>
      <w:divBdr>
        <w:top w:val="none" w:sz="0" w:space="0" w:color="auto"/>
        <w:left w:val="none" w:sz="0" w:space="0" w:color="auto"/>
        <w:bottom w:val="none" w:sz="0" w:space="0" w:color="auto"/>
        <w:right w:val="none" w:sz="0" w:space="0" w:color="auto"/>
      </w:divBdr>
    </w:div>
    <w:div w:id="1216236285">
      <w:bodyDiv w:val="1"/>
      <w:marLeft w:val="0"/>
      <w:marRight w:val="0"/>
      <w:marTop w:val="0"/>
      <w:marBottom w:val="0"/>
      <w:divBdr>
        <w:top w:val="none" w:sz="0" w:space="0" w:color="auto"/>
        <w:left w:val="none" w:sz="0" w:space="0" w:color="auto"/>
        <w:bottom w:val="none" w:sz="0" w:space="0" w:color="auto"/>
        <w:right w:val="none" w:sz="0" w:space="0" w:color="auto"/>
      </w:divBdr>
      <w:divsChild>
        <w:div w:id="15739652">
          <w:marLeft w:val="0"/>
          <w:marRight w:val="0"/>
          <w:marTop w:val="0"/>
          <w:marBottom w:val="0"/>
          <w:divBdr>
            <w:top w:val="none" w:sz="0" w:space="0" w:color="auto"/>
            <w:left w:val="none" w:sz="0" w:space="0" w:color="auto"/>
            <w:bottom w:val="none" w:sz="0" w:space="0" w:color="auto"/>
            <w:right w:val="none" w:sz="0" w:space="0" w:color="auto"/>
          </w:divBdr>
        </w:div>
      </w:divsChild>
    </w:div>
    <w:div w:id="1217283646">
      <w:bodyDiv w:val="1"/>
      <w:marLeft w:val="0"/>
      <w:marRight w:val="0"/>
      <w:marTop w:val="0"/>
      <w:marBottom w:val="0"/>
      <w:divBdr>
        <w:top w:val="none" w:sz="0" w:space="0" w:color="auto"/>
        <w:left w:val="none" w:sz="0" w:space="0" w:color="auto"/>
        <w:bottom w:val="none" w:sz="0" w:space="0" w:color="auto"/>
        <w:right w:val="none" w:sz="0" w:space="0" w:color="auto"/>
      </w:divBdr>
    </w:div>
    <w:div w:id="1217933364">
      <w:bodyDiv w:val="1"/>
      <w:marLeft w:val="0"/>
      <w:marRight w:val="0"/>
      <w:marTop w:val="0"/>
      <w:marBottom w:val="0"/>
      <w:divBdr>
        <w:top w:val="none" w:sz="0" w:space="0" w:color="auto"/>
        <w:left w:val="none" w:sz="0" w:space="0" w:color="auto"/>
        <w:bottom w:val="none" w:sz="0" w:space="0" w:color="auto"/>
        <w:right w:val="none" w:sz="0" w:space="0" w:color="auto"/>
      </w:divBdr>
    </w:div>
    <w:div w:id="1226378715">
      <w:bodyDiv w:val="1"/>
      <w:marLeft w:val="0"/>
      <w:marRight w:val="0"/>
      <w:marTop w:val="0"/>
      <w:marBottom w:val="0"/>
      <w:divBdr>
        <w:top w:val="none" w:sz="0" w:space="0" w:color="auto"/>
        <w:left w:val="none" w:sz="0" w:space="0" w:color="auto"/>
        <w:bottom w:val="none" w:sz="0" w:space="0" w:color="auto"/>
        <w:right w:val="none" w:sz="0" w:space="0" w:color="auto"/>
      </w:divBdr>
    </w:div>
    <w:div w:id="1295603719">
      <w:bodyDiv w:val="1"/>
      <w:marLeft w:val="0"/>
      <w:marRight w:val="0"/>
      <w:marTop w:val="0"/>
      <w:marBottom w:val="0"/>
      <w:divBdr>
        <w:top w:val="none" w:sz="0" w:space="0" w:color="auto"/>
        <w:left w:val="none" w:sz="0" w:space="0" w:color="auto"/>
        <w:bottom w:val="none" w:sz="0" w:space="0" w:color="auto"/>
        <w:right w:val="none" w:sz="0" w:space="0" w:color="auto"/>
      </w:divBdr>
    </w:div>
    <w:div w:id="1308320507">
      <w:bodyDiv w:val="1"/>
      <w:marLeft w:val="0"/>
      <w:marRight w:val="0"/>
      <w:marTop w:val="0"/>
      <w:marBottom w:val="0"/>
      <w:divBdr>
        <w:top w:val="none" w:sz="0" w:space="0" w:color="auto"/>
        <w:left w:val="none" w:sz="0" w:space="0" w:color="auto"/>
        <w:bottom w:val="none" w:sz="0" w:space="0" w:color="auto"/>
        <w:right w:val="none" w:sz="0" w:space="0" w:color="auto"/>
      </w:divBdr>
    </w:div>
    <w:div w:id="1323507523">
      <w:bodyDiv w:val="1"/>
      <w:marLeft w:val="0"/>
      <w:marRight w:val="0"/>
      <w:marTop w:val="0"/>
      <w:marBottom w:val="0"/>
      <w:divBdr>
        <w:top w:val="none" w:sz="0" w:space="0" w:color="auto"/>
        <w:left w:val="none" w:sz="0" w:space="0" w:color="auto"/>
        <w:bottom w:val="none" w:sz="0" w:space="0" w:color="auto"/>
        <w:right w:val="none" w:sz="0" w:space="0" w:color="auto"/>
      </w:divBdr>
    </w:div>
    <w:div w:id="1326130237">
      <w:bodyDiv w:val="1"/>
      <w:marLeft w:val="0"/>
      <w:marRight w:val="0"/>
      <w:marTop w:val="0"/>
      <w:marBottom w:val="0"/>
      <w:divBdr>
        <w:top w:val="none" w:sz="0" w:space="0" w:color="auto"/>
        <w:left w:val="none" w:sz="0" w:space="0" w:color="auto"/>
        <w:bottom w:val="none" w:sz="0" w:space="0" w:color="auto"/>
        <w:right w:val="none" w:sz="0" w:space="0" w:color="auto"/>
      </w:divBdr>
    </w:div>
    <w:div w:id="1349139103">
      <w:bodyDiv w:val="1"/>
      <w:marLeft w:val="0"/>
      <w:marRight w:val="0"/>
      <w:marTop w:val="0"/>
      <w:marBottom w:val="0"/>
      <w:divBdr>
        <w:top w:val="none" w:sz="0" w:space="0" w:color="auto"/>
        <w:left w:val="none" w:sz="0" w:space="0" w:color="auto"/>
        <w:bottom w:val="none" w:sz="0" w:space="0" w:color="auto"/>
        <w:right w:val="none" w:sz="0" w:space="0" w:color="auto"/>
      </w:divBdr>
    </w:div>
    <w:div w:id="1357316504">
      <w:bodyDiv w:val="1"/>
      <w:marLeft w:val="0"/>
      <w:marRight w:val="0"/>
      <w:marTop w:val="0"/>
      <w:marBottom w:val="0"/>
      <w:divBdr>
        <w:top w:val="none" w:sz="0" w:space="0" w:color="auto"/>
        <w:left w:val="none" w:sz="0" w:space="0" w:color="auto"/>
        <w:bottom w:val="none" w:sz="0" w:space="0" w:color="auto"/>
        <w:right w:val="none" w:sz="0" w:space="0" w:color="auto"/>
      </w:divBdr>
    </w:div>
    <w:div w:id="1366178740">
      <w:bodyDiv w:val="1"/>
      <w:marLeft w:val="0"/>
      <w:marRight w:val="0"/>
      <w:marTop w:val="0"/>
      <w:marBottom w:val="0"/>
      <w:divBdr>
        <w:top w:val="none" w:sz="0" w:space="0" w:color="auto"/>
        <w:left w:val="none" w:sz="0" w:space="0" w:color="auto"/>
        <w:bottom w:val="none" w:sz="0" w:space="0" w:color="auto"/>
        <w:right w:val="none" w:sz="0" w:space="0" w:color="auto"/>
      </w:divBdr>
      <w:divsChild>
        <w:div w:id="246963683">
          <w:marLeft w:val="0"/>
          <w:marRight w:val="0"/>
          <w:marTop w:val="0"/>
          <w:marBottom w:val="0"/>
          <w:divBdr>
            <w:top w:val="none" w:sz="0" w:space="0" w:color="auto"/>
            <w:left w:val="none" w:sz="0" w:space="0" w:color="auto"/>
            <w:bottom w:val="none" w:sz="0" w:space="0" w:color="auto"/>
            <w:right w:val="none" w:sz="0" w:space="0" w:color="auto"/>
          </w:divBdr>
        </w:div>
        <w:div w:id="950403091">
          <w:marLeft w:val="0"/>
          <w:marRight w:val="0"/>
          <w:marTop w:val="0"/>
          <w:marBottom w:val="0"/>
          <w:divBdr>
            <w:top w:val="none" w:sz="0" w:space="0" w:color="auto"/>
            <w:left w:val="none" w:sz="0" w:space="0" w:color="auto"/>
            <w:bottom w:val="none" w:sz="0" w:space="0" w:color="auto"/>
            <w:right w:val="none" w:sz="0" w:space="0" w:color="auto"/>
          </w:divBdr>
        </w:div>
        <w:div w:id="1306088120">
          <w:marLeft w:val="0"/>
          <w:marRight w:val="0"/>
          <w:marTop w:val="0"/>
          <w:marBottom w:val="0"/>
          <w:divBdr>
            <w:top w:val="none" w:sz="0" w:space="0" w:color="auto"/>
            <w:left w:val="none" w:sz="0" w:space="0" w:color="auto"/>
            <w:bottom w:val="none" w:sz="0" w:space="0" w:color="auto"/>
            <w:right w:val="none" w:sz="0" w:space="0" w:color="auto"/>
          </w:divBdr>
        </w:div>
        <w:div w:id="1723091606">
          <w:marLeft w:val="0"/>
          <w:marRight w:val="0"/>
          <w:marTop w:val="0"/>
          <w:marBottom w:val="0"/>
          <w:divBdr>
            <w:top w:val="none" w:sz="0" w:space="0" w:color="auto"/>
            <w:left w:val="none" w:sz="0" w:space="0" w:color="auto"/>
            <w:bottom w:val="none" w:sz="0" w:space="0" w:color="auto"/>
            <w:right w:val="none" w:sz="0" w:space="0" w:color="auto"/>
          </w:divBdr>
        </w:div>
        <w:div w:id="1953127926">
          <w:marLeft w:val="0"/>
          <w:marRight w:val="0"/>
          <w:marTop w:val="0"/>
          <w:marBottom w:val="0"/>
          <w:divBdr>
            <w:top w:val="none" w:sz="0" w:space="0" w:color="auto"/>
            <w:left w:val="none" w:sz="0" w:space="0" w:color="auto"/>
            <w:bottom w:val="none" w:sz="0" w:space="0" w:color="auto"/>
            <w:right w:val="none" w:sz="0" w:space="0" w:color="auto"/>
          </w:divBdr>
        </w:div>
      </w:divsChild>
    </w:div>
    <w:div w:id="1374424864">
      <w:bodyDiv w:val="1"/>
      <w:marLeft w:val="0"/>
      <w:marRight w:val="0"/>
      <w:marTop w:val="0"/>
      <w:marBottom w:val="0"/>
      <w:divBdr>
        <w:top w:val="none" w:sz="0" w:space="0" w:color="auto"/>
        <w:left w:val="none" w:sz="0" w:space="0" w:color="auto"/>
        <w:bottom w:val="none" w:sz="0" w:space="0" w:color="auto"/>
        <w:right w:val="none" w:sz="0" w:space="0" w:color="auto"/>
      </w:divBdr>
    </w:div>
    <w:div w:id="1418674193">
      <w:bodyDiv w:val="1"/>
      <w:marLeft w:val="0"/>
      <w:marRight w:val="0"/>
      <w:marTop w:val="0"/>
      <w:marBottom w:val="0"/>
      <w:divBdr>
        <w:top w:val="none" w:sz="0" w:space="0" w:color="auto"/>
        <w:left w:val="none" w:sz="0" w:space="0" w:color="auto"/>
        <w:bottom w:val="none" w:sz="0" w:space="0" w:color="auto"/>
        <w:right w:val="none" w:sz="0" w:space="0" w:color="auto"/>
      </w:divBdr>
    </w:div>
    <w:div w:id="1442989664">
      <w:bodyDiv w:val="1"/>
      <w:marLeft w:val="0"/>
      <w:marRight w:val="0"/>
      <w:marTop w:val="0"/>
      <w:marBottom w:val="0"/>
      <w:divBdr>
        <w:top w:val="none" w:sz="0" w:space="0" w:color="auto"/>
        <w:left w:val="none" w:sz="0" w:space="0" w:color="auto"/>
        <w:bottom w:val="none" w:sz="0" w:space="0" w:color="auto"/>
        <w:right w:val="none" w:sz="0" w:space="0" w:color="auto"/>
      </w:divBdr>
      <w:divsChild>
        <w:div w:id="162162103">
          <w:marLeft w:val="0"/>
          <w:marRight w:val="0"/>
          <w:marTop w:val="0"/>
          <w:marBottom w:val="0"/>
          <w:divBdr>
            <w:top w:val="none" w:sz="0" w:space="0" w:color="auto"/>
            <w:left w:val="none" w:sz="0" w:space="0" w:color="auto"/>
            <w:bottom w:val="none" w:sz="0" w:space="0" w:color="auto"/>
            <w:right w:val="none" w:sz="0" w:space="0" w:color="auto"/>
          </w:divBdr>
          <w:divsChild>
            <w:div w:id="546798627">
              <w:marLeft w:val="0"/>
              <w:marRight w:val="0"/>
              <w:marTop w:val="0"/>
              <w:marBottom w:val="0"/>
              <w:divBdr>
                <w:top w:val="none" w:sz="0" w:space="0" w:color="auto"/>
                <w:left w:val="none" w:sz="0" w:space="0" w:color="auto"/>
                <w:bottom w:val="none" w:sz="0" w:space="0" w:color="auto"/>
                <w:right w:val="none" w:sz="0" w:space="0" w:color="auto"/>
              </w:divBdr>
            </w:div>
            <w:div w:id="955478979">
              <w:marLeft w:val="0"/>
              <w:marRight w:val="0"/>
              <w:marTop w:val="0"/>
              <w:marBottom w:val="0"/>
              <w:divBdr>
                <w:top w:val="none" w:sz="0" w:space="0" w:color="auto"/>
                <w:left w:val="none" w:sz="0" w:space="0" w:color="auto"/>
                <w:bottom w:val="none" w:sz="0" w:space="0" w:color="auto"/>
                <w:right w:val="none" w:sz="0" w:space="0" w:color="auto"/>
              </w:divBdr>
            </w:div>
            <w:div w:id="1178034955">
              <w:marLeft w:val="0"/>
              <w:marRight w:val="0"/>
              <w:marTop w:val="0"/>
              <w:marBottom w:val="0"/>
              <w:divBdr>
                <w:top w:val="none" w:sz="0" w:space="0" w:color="auto"/>
                <w:left w:val="none" w:sz="0" w:space="0" w:color="auto"/>
                <w:bottom w:val="none" w:sz="0" w:space="0" w:color="auto"/>
                <w:right w:val="none" w:sz="0" w:space="0" w:color="auto"/>
              </w:divBdr>
            </w:div>
          </w:divsChild>
        </w:div>
        <w:div w:id="178736637">
          <w:marLeft w:val="0"/>
          <w:marRight w:val="0"/>
          <w:marTop w:val="0"/>
          <w:marBottom w:val="0"/>
          <w:divBdr>
            <w:top w:val="none" w:sz="0" w:space="0" w:color="auto"/>
            <w:left w:val="none" w:sz="0" w:space="0" w:color="auto"/>
            <w:bottom w:val="none" w:sz="0" w:space="0" w:color="auto"/>
            <w:right w:val="none" w:sz="0" w:space="0" w:color="auto"/>
          </w:divBdr>
          <w:divsChild>
            <w:div w:id="1561134494">
              <w:marLeft w:val="0"/>
              <w:marRight w:val="0"/>
              <w:marTop w:val="0"/>
              <w:marBottom w:val="0"/>
              <w:divBdr>
                <w:top w:val="none" w:sz="0" w:space="0" w:color="auto"/>
                <w:left w:val="none" w:sz="0" w:space="0" w:color="auto"/>
                <w:bottom w:val="none" w:sz="0" w:space="0" w:color="auto"/>
                <w:right w:val="none" w:sz="0" w:space="0" w:color="auto"/>
              </w:divBdr>
            </w:div>
          </w:divsChild>
        </w:div>
        <w:div w:id="310450348">
          <w:marLeft w:val="0"/>
          <w:marRight w:val="0"/>
          <w:marTop w:val="0"/>
          <w:marBottom w:val="0"/>
          <w:divBdr>
            <w:top w:val="none" w:sz="0" w:space="0" w:color="auto"/>
            <w:left w:val="none" w:sz="0" w:space="0" w:color="auto"/>
            <w:bottom w:val="none" w:sz="0" w:space="0" w:color="auto"/>
            <w:right w:val="none" w:sz="0" w:space="0" w:color="auto"/>
          </w:divBdr>
          <w:divsChild>
            <w:div w:id="1958367745">
              <w:marLeft w:val="0"/>
              <w:marRight w:val="0"/>
              <w:marTop w:val="0"/>
              <w:marBottom w:val="0"/>
              <w:divBdr>
                <w:top w:val="none" w:sz="0" w:space="0" w:color="auto"/>
                <w:left w:val="none" w:sz="0" w:space="0" w:color="auto"/>
                <w:bottom w:val="none" w:sz="0" w:space="0" w:color="auto"/>
                <w:right w:val="none" w:sz="0" w:space="0" w:color="auto"/>
              </w:divBdr>
            </w:div>
          </w:divsChild>
        </w:div>
        <w:div w:id="423377138">
          <w:marLeft w:val="0"/>
          <w:marRight w:val="0"/>
          <w:marTop w:val="0"/>
          <w:marBottom w:val="0"/>
          <w:divBdr>
            <w:top w:val="none" w:sz="0" w:space="0" w:color="auto"/>
            <w:left w:val="none" w:sz="0" w:space="0" w:color="auto"/>
            <w:bottom w:val="none" w:sz="0" w:space="0" w:color="auto"/>
            <w:right w:val="none" w:sz="0" w:space="0" w:color="auto"/>
          </w:divBdr>
          <w:divsChild>
            <w:div w:id="619843288">
              <w:marLeft w:val="0"/>
              <w:marRight w:val="0"/>
              <w:marTop w:val="0"/>
              <w:marBottom w:val="0"/>
              <w:divBdr>
                <w:top w:val="none" w:sz="0" w:space="0" w:color="auto"/>
                <w:left w:val="none" w:sz="0" w:space="0" w:color="auto"/>
                <w:bottom w:val="none" w:sz="0" w:space="0" w:color="auto"/>
                <w:right w:val="none" w:sz="0" w:space="0" w:color="auto"/>
              </w:divBdr>
            </w:div>
            <w:div w:id="1511289836">
              <w:marLeft w:val="0"/>
              <w:marRight w:val="0"/>
              <w:marTop w:val="0"/>
              <w:marBottom w:val="0"/>
              <w:divBdr>
                <w:top w:val="none" w:sz="0" w:space="0" w:color="auto"/>
                <w:left w:val="none" w:sz="0" w:space="0" w:color="auto"/>
                <w:bottom w:val="none" w:sz="0" w:space="0" w:color="auto"/>
                <w:right w:val="none" w:sz="0" w:space="0" w:color="auto"/>
              </w:divBdr>
            </w:div>
            <w:div w:id="1650404763">
              <w:marLeft w:val="0"/>
              <w:marRight w:val="0"/>
              <w:marTop w:val="0"/>
              <w:marBottom w:val="0"/>
              <w:divBdr>
                <w:top w:val="none" w:sz="0" w:space="0" w:color="auto"/>
                <w:left w:val="none" w:sz="0" w:space="0" w:color="auto"/>
                <w:bottom w:val="none" w:sz="0" w:space="0" w:color="auto"/>
                <w:right w:val="none" w:sz="0" w:space="0" w:color="auto"/>
              </w:divBdr>
            </w:div>
            <w:div w:id="1980114298">
              <w:marLeft w:val="0"/>
              <w:marRight w:val="0"/>
              <w:marTop w:val="0"/>
              <w:marBottom w:val="0"/>
              <w:divBdr>
                <w:top w:val="none" w:sz="0" w:space="0" w:color="auto"/>
                <w:left w:val="none" w:sz="0" w:space="0" w:color="auto"/>
                <w:bottom w:val="none" w:sz="0" w:space="0" w:color="auto"/>
                <w:right w:val="none" w:sz="0" w:space="0" w:color="auto"/>
              </w:divBdr>
            </w:div>
          </w:divsChild>
        </w:div>
        <w:div w:id="524253198">
          <w:marLeft w:val="0"/>
          <w:marRight w:val="0"/>
          <w:marTop w:val="0"/>
          <w:marBottom w:val="0"/>
          <w:divBdr>
            <w:top w:val="none" w:sz="0" w:space="0" w:color="auto"/>
            <w:left w:val="none" w:sz="0" w:space="0" w:color="auto"/>
            <w:bottom w:val="none" w:sz="0" w:space="0" w:color="auto"/>
            <w:right w:val="none" w:sz="0" w:space="0" w:color="auto"/>
          </w:divBdr>
          <w:divsChild>
            <w:div w:id="2029938723">
              <w:marLeft w:val="0"/>
              <w:marRight w:val="0"/>
              <w:marTop w:val="0"/>
              <w:marBottom w:val="0"/>
              <w:divBdr>
                <w:top w:val="none" w:sz="0" w:space="0" w:color="auto"/>
                <w:left w:val="none" w:sz="0" w:space="0" w:color="auto"/>
                <w:bottom w:val="none" w:sz="0" w:space="0" w:color="auto"/>
                <w:right w:val="none" w:sz="0" w:space="0" w:color="auto"/>
              </w:divBdr>
            </w:div>
          </w:divsChild>
        </w:div>
        <w:div w:id="596251079">
          <w:marLeft w:val="0"/>
          <w:marRight w:val="0"/>
          <w:marTop w:val="0"/>
          <w:marBottom w:val="0"/>
          <w:divBdr>
            <w:top w:val="none" w:sz="0" w:space="0" w:color="auto"/>
            <w:left w:val="none" w:sz="0" w:space="0" w:color="auto"/>
            <w:bottom w:val="none" w:sz="0" w:space="0" w:color="auto"/>
            <w:right w:val="none" w:sz="0" w:space="0" w:color="auto"/>
          </w:divBdr>
          <w:divsChild>
            <w:div w:id="542643923">
              <w:marLeft w:val="0"/>
              <w:marRight w:val="0"/>
              <w:marTop w:val="0"/>
              <w:marBottom w:val="0"/>
              <w:divBdr>
                <w:top w:val="none" w:sz="0" w:space="0" w:color="auto"/>
                <w:left w:val="none" w:sz="0" w:space="0" w:color="auto"/>
                <w:bottom w:val="none" w:sz="0" w:space="0" w:color="auto"/>
                <w:right w:val="none" w:sz="0" w:space="0" w:color="auto"/>
              </w:divBdr>
            </w:div>
          </w:divsChild>
        </w:div>
        <w:div w:id="766123510">
          <w:marLeft w:val="0"/>
          <w:marRight w:val="0"/>
          <w:marTop w:val="0"/>
          <w:marBottom w:val="0"/>
          <w:divBdr>
            <w:top w:val="none" w:sz="0" w:space="0" w:color="auto"/>
            <w:left w:val="none" w:sz="0" w:space="0" w:color="auto"/>
            <w:bottom w:val="none" w:sz="0" w:space="0" w:color="auto"/>
            <w:right w:val="none" w:sz="0" w:space="0" w:color="auto"/>
          </w:divBdr>
          <w:divsChild>
            <w:div w:id="440228701">
              <w:marLeft w:val="0"/>
              <w:marRight w:val="0"/>
              <w:marTop w:val="0"/>
              <w:marBottom w:val="0"/>
              <w:divBdr>
                <w:top w:val="none" w:sz="0" w:space="0" w:color="auto"/>
                <w:left w:val="none" w:sz="0" w:space="0" w:color="auto"/>
                <w:bottom w:val="none" w:sz="0" w:space="0" w:color="auto"/>
                <w:right w:val="none" w:sz="0" w:space="0" w:color="auto"/>
              </w:divBdr>
            </w:div>
          </w:divsChild>
        </w:div>
        <w:div w:id="786194969">
          <w:marLeft w:val="0"/>
          <w:marRight w:val="0"/>
          <w:marTop w:val="0"/>
          <w:marBottom w:val="0"/>
          <w:divBdr>
            <w:top w:val="none" w:sz="0" w:space="0" w:color="auto"/>
            <w:left w:val="none" w:sz="0" w:space="0" w:color="auto"/>
            <w:bottom w:val="none" w:sz="0" w:space="0" w:color="auto"/>
            <w:right w:val="none" w:sz="0" w:space="0" w:color="auto"/>
          </w:divBdr>
          <w:divsChild>
            <w:div w:id="161161783">
              <w:marLeft w:val="0"/>
              <w:marRight w:val="0"/>
              <w:marTop w:val="0"/>
              <w:marBottom w:val="0"/>
              <w:divBdr>
                <w:top w:val="none" w:sz="0" w:space="0" w:color="auto"/>
                <w:left w:val="none" w:sz="0" w:space="0" w:color="auto"/>
                <w:bottom w:val="none" w:sz="0" w:space="0" w:color="auto"/>
                <w:right w:val="none" w:sz="0" w:space="0" w:color="auto"/>
              </w:divBdr>
            </w:div>
            <w:div w:id="222445213">
              <w:marLeft w:val="0"/>
              <w:marRight w:val="0"/>
              <w:marTop w:val="0"/>
              <w:marBottom w:val="0"/>
              <w:divBdr>
                <w:top w:val="none" w:sz="0" w:space="0" w:color="auto"/>
                <w:left w:val="none" w:sz="0" w:space="0" w:color="auto"/>
                <w:bottom w:val="none" w:sz="0" w:space="0" w:color="auto"/>
                <w:right w:val="none" w:sz="0" w:space="0" w:color="auto"/>
              </w:divBdr>
            </w:div>
            <w:div w:id="691758960">
              <w:marLeft w:val="0"/>
              <w:marRight w:val="0"/>
              <w:marTop w:val="0"/>
              <w:marBottom w:val="0"/>
              <w:divBdr>
                <w:top w:val="none" w:sz="0" w:space="0" w:color="auto"/>
                <w:left w:val="none" w:sz="0" w:space="0" w:color="auto"/>
                <w:bottom w:val="none" w:sz="0" w:space="0" w:color="auto"/>
                <w:right w:val="none" w:sz="0" w:space="0" w:color="auto"/>
              </w:divBdr>
            </w:div>
            <w:div w:id="725837161">
              <w:marLeft w:val="0"/>
              <w:marRight w:val="0"/>
              <w:marTop w:val="0"/>
              <w:marBottom w:val="0"/>
              <w:divBdr>
                <w:top w:val="none" w:sz="0" w:space="0" w:color="auto"/>
                <w:left w:val="none" w:sz="0" w:space="0" w:color="auto"/>
                <w:bottom w:val="none" w:sz="0" w:space="0" w:color="auto"/>
                <w:right w:val="none" w:sz="0" w:space="0" w:color="auto"/>
              </w:divBdr>
            </w:div>
          </w:divsChild>
        </w:div>
        <w:div w:id="866676544">
          <w:marLeft w:val="0"/>
          <w:marRight w:val="0"/>
          <w:marTop w:val="0"/>
          <w:marBottom w:val="0"/>
          <w:divBdr>
            <w:top w:val="none" w:sz="0" w:space="0" w:color="auto"/>
            <w:left w:val="none" w:sz="0" w:space="0" w:color="auto"/>
            <w:bottom w:val="none" w:sz="0" w:space="0" w:color="auto"/>
            <w:right w:val="none" w:sz="0" w:space="0" w:color="auto"/>
          </w:divBdr>
          <w:divsChild>
            <w:div w:id="435835591">
              <w:marLeft w:val="0"/>
              <w:marRight w:val="0"/>
              <w:marTop w:val="0"/>
              <w:marBottom w:val="0"/>
              <w:divBdr>
                <w:top w:val="none" w:sz="0" w:space="0" w:color="auto"/>
                <w:left w:val="none" w:sz="0" w:space="0" w:color="auto"/>
                <w:bottom w:val="none" w:sz="0" w:space="0" w:color="auto"/>
                <w:right w:val="none" w:sz="0" w:space="0" w:color="auto"/>
              </w:divBdr>
            </w:div>
            <w:div w:id="968710669">
              <w:marLeft w:val="0"/>
              <w:marRight w:val="0"/>
              <w:marTop w:val="0"/>
              <w:marBottom w:val="0"/>
              <w:divBdr>
                <w:top w:val="none" w:sz="0" w:space="0" w:color="auto"/>
                <w:left w:val="none" w:sz="0" w:space="0" w:color="auto"/>
                <w:bottom w:val="none" w:sz="0" w:space="0" w:color="auto"/>
                <w:right w:val="none" w:sz="0" w:space="0" w:color="auto"/>
              </w:divBdr>
            </w:div>
            <w:div w:id="1287421776">
              <w:marLeft w:val="0"/>
              <w:marRight w:val="0"/>
              <w:marTop w:val="0"/>
              <w:marBottom w:val="0"/>
              <w:divBdr>
                <w:top w:val="none" w:sz="0" w:space="0" w:color="auto"/>
                <w:left w:val="none" w:sz="0" w:space="0" w:color="auto"/>
                <w:bottom w:val="none" w:sz="0" w:space="0" w:color="auto"/>
                <w:right w:val="none" w:sz="0" w:space="0" w:color="auto"/>
              </w:divBdr>
            </w:div>
            <w:div w:id="1314945321">
              <w:marLeft w:val="0"/>
              <w:marRight w:val="0"/>
              <w:marTop w:val="0"/>
              <w:marBottom w:val="0"/>
              <w:divBdr>
                <w:top w:val="none" w:sz="0" w:space="0" w:color="auto"/>
                <w:left w:val="none" w:sz="0" w:space="0" w:color="auto"/>
                <w:bottom w:val="none" w:sz="0" w:space="0" w:color="auto"/>
                <w:right w:val="none" w:sz="0" w:space="0" w:color="auto"/>
              </w:divBdr>
            </w:div>
            <w:div w:id="1406299055">
              <w:marLeft w:val="0"/>
              <w:marRight w:val="0"/>
              <w:marTop w:val="0"/>
              <w:marBottom w:val="0"/>
              <w:divBdr>
                <w:top w:val="none" w:sz="0" w:space="0" w:color="auto"/>
                <w:left w:val="none" w:sz="0" w:space="0" w:color="auto"/>
                <w:bottom w:val="none" w:sz="0" w:space="0" w:color="auto"/>
                <w:right w:val="none" w:sz="0" w:space="0" w:color="auto"/>
              </w:divBdr>
            </w:div>
          </w:divsChild>
        </w:div>
        <w:div w:id="930965831">
          <w:marLeft w:val="0"/>
          <w:marRight w:val="0"/>
          <w:marTop w:val="0"/>
          <w:marBottom w:val="0"/>
          <w:divBdr>
            <w:top w:val="none" w:sz="0" w:space="0" w:color="auto"/>
            <w:left w:val="none" w:sz="0" w:space="0" w:color="auto"/>
            <w:bottom w:val="none" w:sz="0" w:space="0" w:color="auto"/>
            <w:right w:val="none" w:sz="0" w:space="0" w:color="auto"/>
          </w:divBdr>
          <w:divsChild>
            <w:div w:id="1170952216">
              <w:marLeft w:val="0"/>
              <w:marRight w:val="0"/>
              <w:marTop w:val="0"/>
              <w:marBottom w:val="0"/>
              <w:divBdr>
                <w:top w:val="none" w:sz="0" w:space="0" w:color="auto"/>
                <w:left w:val="none" w:sz="0" w:space="0" w:color="auto"/>
                <w:bottom w:val="none" w:sz="0" w:space="0" w:color="auto"/>
                <w:right w:val="none" w:sz="0" w:space="0" w:color="auto"/>
              </w:divBdr>
            </w:div>
          </w:divsChild>
        </w:div>
        <w:div w:id="962426140">
          <w:marLeft w:val="0"/>
          <w:marRight w:val="0"/>
          <w:marTop w:val="0"/>
          <w:marBottom w:val="0"/>
          <w:divBdr>
            <w:top w:val="none" w:sz="0" w:space="0" w:color="auto"/>
            <w:left w:val="none" w:sz="0" w:space="0" w:color="auto"/>
            <w:bottom w:val="none" w:sz="0" w:space="0" w:color="auto"/>
            <w:right w:val="none" w:sz="0" w:space="0" w:color="auto"/>
          </w:divBdr>
          <w:divsChild>
            <w:div w:id="268902203">
              <w:marLeft w:val="0"/>
              <w:marRight w:val="0"/>
              <w:marTop w:val="0"/>
              <w:marBottom w:val="0"/>
              <w:divBdr>
                <w:top w:val="none" w:sz="0" w:space="0" w:color="auto"/>
                <w:left w:val="none" w:sz="0" w:space="0" w:color="auto"/>
                <w:bottom w:val="none" w:sz="0" w:space="0" w:color="auto"/>
                <w:right w:val="none" w:sz="0" w:space="0" w:color="auto"/>
              </w:divBdr>
            </w:div>
          </w:divsChild>
        </w:div>
        <w:div w:id="987244398">
          <w:marLeft w:val="0"/>
          <w:marRight w:val="0"/>
          <w:marTop w:val="0"/>
          <w:marBottom w:val="0"/>
          <w:divBdr>
            <w:top w:val="none" w:sz="0" w:space="0" w:color="auto"/>
            <w:left w:val="none" w:sz="0" w:space="0" w:color="auto"/>
            <w:bottom w:val="none" w:sz="0" w:space="0" w:color="auto"/>
            <w:right w:val="none" w:sz="0" w:space="0" w:color="auto"/>
          </w:divBdr>
          <w:divsChild>
            <w:div w:id="2016951275">
              <w:marLeft w:val="0"/>
              <w:marRight w:val="0"/>
              <w:marTop w:val="0"/>
              <w:marBottom w:val="0"/>
              <w:divBdr>
                <w:top w:val="none" w:sz="0" w:space="0" w:color="auto"/>
                <w:left w:val="none" w:sz="0" w:space="0" w:color="auto"/>
                <w:bottom w:val="none" w:sz="0" w:space="0" w:color="auto"/>
                <w:right w:val="none" w:sz="0" w:space="0" w:color="auto"/>
              </w:divBdr>
            </w:div>
          </w:divsChild>
        </w:div>
        <w:div w:id="1171797284">
          <w:marLeft w:val="0"/>
          <w:marRight w:val="0"/>
          <w:marTop w:val="0"/>
          <w:marBottom w:val="0"/>
          <w:divBdr>
            <w:top w:val="none" w:sz="0" w:space="0" w:color="auto"/>
            <w:left w:val="none" w:sz="0" w:space="0" w:color="auto"/>
            <w:bottom w:val="none" w:sz="0" w:space="0" w:color="auto"/>
            <w:right w:val="none" w:sz="0" w:space="0" w:color="auto"/>
          </w:divBdr>
          <w:divsChild>
            <w:div w:id="308167443">
              <w:marLeft w:val="0"/>
              <w:marRight w:val="0"/>
              <w:marTop w:val="0"/>
              <w:marBottom w:val="0"/>
              <w:divBdr>
                <w:top w:val="none" w:sz="0" w:space="0" w:color="auto"/>
                <w:left w:val="none" w:sz="0" w:space="0" w:color="auto"/>
                <w:bottom w:val="none" w:sz="0" w:space="0" w:color="auto"/>
                <w:right w:val="none" w:sz="0" w:space="0" w:color="auto"/>
              </w:divBdr>
            </w:div>
          </w:divsChild>
        </w:div>
        <w:div w:id="1201240823">
          <w:marLeft w:val="0"/>
          <w:marRight w:val="0"/>
          <w:marTop w:val="0"/>
          <w:marBottom w:val="0"/>
          <w:divBdr>
            <w:top w:val="none" w:sz="0" w:space="0" w:color="auto"/>
            <w:left w:val="none" w:sz="0" w:space="0" w:color="auto"/>
            <w:bottom w:val="none" w:sz="0" w:space="0" w:color="auto"/>
            <w:right w:val="none" w:sz="0" w:space="0" w:color="auto"/>
          </w:divBdr>
          <w:divsChild>
            <w:div w:id="147290729">
              <w:marLeft w:val="0"/>
              <w:marRight w:val="0"/>
              <w:marTop w:val="0"/>
              <w:marBottom w:val="0"/>
              <w:divBdr>
                <w:top w:val="none" w:sz="0" w:space="0" w:color="auto"/>
                <w:left w:val="none" w:sz="0" w:space="0" w:color="auto"/>
                <w:bottom w:val="none" w:sz="0" w:space="0" w:color="auto"/>
                <w:right w:val="none" w:sz="0" w:space="0" w:color="auto"/>
              </w:divBdr>
            </w:div>
            <w:div w:id="292829102">
              <w:marLeft w:val="0"/>
              <w:marRight w:val="0"/>
              <w:marTop w:val="0"/>
              <w:marBottom w:val="0"/>
              <w:divBdr>
                <w:top w:val="none" w:sz="0" w:space="0" w:color="auto"/>
                <w:left w:val="none" w:sz="0" w:space="0" w:color="auto"/>
                <w:bottom w:val="none" w:sz="0" w:space="0" w:color="auto"/>
                <w:right w:val="none" w:sz="0" w:space="0" w:color="auto"/>
              </w:divBdr>
            </w:div>
            <w:div w:id="401949150">
              <w:marLeft w:val="0"/>
              <w:marRight w:val="0"/>
              <w:marTop w:val="0"/>
              <w:marBottom w:val="0"/>
              <w:divBdr>
                <w:top w:val="none" w:sz="0" w:space="0" w:color="auto"/>
                <w:left w:val="none" w:sz="0" w:space="0" w:color="auto"/>
                <w:bottom w:val="none" w:sz="0" w:space="0" w:color="auto"/>
                <w:right w:val="none" w:sz="0" w:space="0" w:color="auto"/>
              </w:divBdr>
            </w:div>
            <w:div w:id="842474386">
              <w:marLeft w:val="0"/>
              <w:marRight w:val="0"/>
              <w:marTop w:val="0"/>
              <w:marBottom w:val="0"/>
              <w:divBdr>
                <w:top w:val="none" w:sz="0" w:space="0" w:color="auto"/>
                <w:left w:val="none" w:sz="0" w:space="0" w:color="auto"/>
                <w:bottom w:val="none" w:sz="0" w:space="0" w:color="auto"/>
                <w:right w:val="none" w:sz="0" w:space="0" w:color="auto"/>
              </w:divBdr>
            </w:div>
            <w:div w:id="1856992281">
              <w:marLeft w:val="0"/>
              <w:marRight w:val="0"/>
              <w:marTop w:val="0"/>
              <w:marBottom w:val="0"/>
              <w:divBdr>
                <w:top w:val="none" w:sz="0" w:space="0" w:color="auto"/>
                <w:left w:val="none" w:sz="0" w:space="0" w:color="auto"/>
                <w:bottom w:val="none" w:sz="0" w:space="0" w:color="auto"/>
                <w:right w:val="none" w:sz="0" w:space="0" w:color="auto"/>
              </w:divBdr>
            </w:div>
          </w:divsChild>
        </w:div>
        <w:div w:id="1267153124">
          <w:marLeft w:val="0"/>
          <w:marRight w:val="0"/>
          <w:marTop w:val="0"/>
          <w:marBottom w:val="0"/>
          <w:divBdr>
            <w:top w:val="none" w:sz="0" w:space="0" w:color="auto"/>
            <w:left w:val="none" w:sz="0" w:space="0" w:color="auto"/>
            <w:bottom w:val="none" w:sz="0" w:space="0" w:color="auto"/>
            <w:right w:val="none" w:sz="0" w:space="0" w:color="auto"/>
          </w:divBdr>
          <w:divsChild>
            <w:div w:id="1020012626">
              <w:marLeft w:val="0"/>
              <w:marRight w:val="0"/>
              <w:marTop w:val="0"/>
              <w:marBottom w:val="0"/>
              <w:divBdr>
                <w:top w:val="none" w:sz="0" w:space="0" w:color="auto"/>
                <w:left w:val="none" w:sz="0" w:space="0" w:color="auto"/>
                <w:bottom w:val="none" w:sz="0" w:space="0" w:color="auto"/>
                <w:right w:val="none" w:sz="0" w:space="0" w:color="auto"/>
              </w:divBdr>
            </w:div>
            <w:div w:id="1685328229">
              <w:marLeft w:val="0"/>
              <w:marRight w:val="0"/>
              <w:marTop w:val="0"/>
              <w:marBottom w:val="0"/>
              <w:divBdr>
                <w:top w:val="none" w:sz="0" w:space="0" w:color="auto"/>
                <w:left w:val="none" w:sz="0" w:space="0" w:color="auto"/>
                <w:bottom w:val="none" w:sz="0" w:space="0" w:color="auto"/>
                <w:right w:val="none" w:sz="0" w:space="0" w:color="auto"/>
              </w:divBdr>
            </w:div>
          </w:divsChild>
        </w:div>
        <w:div w:id="1372877240">
          <w:marLeft w:val="0"/>
          <w:marRight w:val="0"/>
          <w:marTop w:val="0"/>
          <w:marBottom w:val="0"/>
          <w:divBdr>
            <w:top w:val="none" w:sz="0" w:space="0" w:color="auto"/>
            <w:left w:val="none" w:sz="0" w:space="0" w:color="auto"/>
            <w:bottom w:val="none" w:sz="0" w:space="0" w:color="auto"/>
            <w:right w:val="none" w:sz="0" w:space="0" w:color="auto"/>
          </w:divBdr>
          <w:divsChild>
            <w:div w:id="751050723">
              <w:marLeft w:val="0"/>
              <w:marRight w:val="0"/>
              <w:marTop w:val="0"/>
              <w:marBottom w:val="0"/>
              <w:divBdr>
                <w:top w:val="none" w:sz="0" w:space="0" w:color="auto"/>
                <w:left w:val="none" w:sz="0" w:space="0" w:color="auto"/>
                <w:bottom w:val="none" w:sz="0" w:space="0" w:color="auto"/>
                <w:right w:val="none" w:sz="0" w:space="0" w:color="auto"/>
              </w:divBdr>
            </w:div>
          </w:divsChild>
        </w:div>
        <w:div w:id="1422294349">
          <w:marLeft w:val="0"/>
          <w:marRight w:val="0"/>
          <w:marTop w:val="0"/>
          <w:marBottom w:val="0"/>
          <w:divBdr>
            <w:top w:val="none" w:sz="0" w:space="0" w:color="auto"/>
            <w:left w:val="none" w:sz="0" w:space="0" w:color="auto"/>
            <w:bottom w:val="none" w:sz="0" w:space="0" w:color="auto"/>
            <w:right w:val="none" w:sz="0" w:space="0" w:color="auto"/>
          </w:divBdr>
          <w:divsChild>
            <w:div w:id="1924676654">
              <w:marLeft w:val="0"/>
              <w:marRight w:val="0"/>
              <w:marTop w:val="0"/>
              <w:marBottom w:val="0"/>
              <w:divBdr>
                <w:top w:val="none" w:sz="0" w:space="0" w:color="auto"/>
                <w:left w:val="none" w:sz="0" w:space="0" w:color="auto"/>
                <w:bottom w:val="none" w:sz="0" w:space="0" w:color="auto"/>
                <w:right w:val="none" w:sz="0" w:space="0" w:color="auto"/>
              </w:divBdr>
            </w:div>
          </w:divsChild>
        </w:div>
        <w:div w:id="1500148255">
          <w:marLeft w:val="0"/>
          <w:marRight w:val="0"/>
          <w:marTop w:val="0"/>
          <w:marBottom w:val="0"/>
          <w:divBdr>
            <w:top w:val="none" w:sz="0" w:space="0" w:color="auto"/>
            <w:left w:val="none" w:sz="0" w:space="0" w:color="auto"/>
            <w:bottom w:val="none" w:sz="0" w:space="0" w:color="auto"/>
            <w:right w:val="none" w:sz="0" w:space="0" w:color="auto"/>
          </w:divBdr>
          <w:divsChild>
            <w:div w:id="1921793938">
              <w:marLeft w:val="0"/>
              <w:marRight w:val="0"/>
              <w:marTop w:val="0"/>
              <w:marBottom w:val="0"/>
              <w:divBdr>
                <w:top w:val="none" w:sz="0" w:space="0" w:color="auto"/>
                <w:left w:val="none" w:sz="0" w:space="0" w:color="auto"/>
                <w:bottom w:val="none" w:sz="0" w:space="0" w:color="auto"/>
                <w:right w:val="none" w:sz="0" w:space="0" w:color="auto"/>
              </w:divBdr>
            </w:div>
          </w:divsChild>
        </w:div>
        <w:div w:id="1554387336">
          <w:marLeft w:val="0"/>
          <w:marRight w:val="0"/>
          <w:marTop w:val="0"/>
          <w:marBottom w:val="0"/>
          <w:divBdr>
            <w:top w:val="none" w:sz="0" w:space="0" w:color="auto"/>
            <w:left w:val="none" w:sz="0" w:space="0" w:color="auto"/>
            <w:bottom w:val="none" w:sz="0" w:space="0" w:color="auto"/>
            <w:right w:val="none" w:sz="0" w:space="0" w:color="auto"/>
          </w:divBdr>
          <w:divsChild>
            <w:div w:id="1800951152">
              <w:marLeft w:val="0"/>
              <w:marRight w:val="0"/>
              <w:marTop w:val="0"/>
              <w:marBottom w:val="0"/>
              <w:divBdr>
                <w:top w:val="none" w:sz="0" w:space="0" w:color="auto"/>
                <w:left w:val="none" w:sz="0" w:space="0" w:color="auto"/>
                <w:bottom w:val="none" w:sz="0" w:space="0" w:color="auto"/>
                <w:right w:val="none" w:sz="0" w:space="0" w:color="auto"/>
              </w:divBdr>
            </w:div>
          </w:divsChild>
        </w:div>
        <w:div w:id="1568807139">
          <w:marLeft w:val="0"/>
          <w:marRight w:val="0"/>
          <w:marTop w:val="0"/>
          <w:marBottom w:val="0"/>
          <w:divBdr>
            <w:top w:val="none" w:sz="0" w:space="0" w:color="auto"/>
            <w:left w:val="none" w:sz="0" w:space="0" w:color="auto"/>
            <w:bottom w:val="none" w:sz="0" w:space="0" w:color="auto"/>
            <w:right w:val="none" w:sz="0" w:space="0" w:color="auto"/>
          </w:divBdr>
          <w:divsChild>
            <w:div w:id="1145201416">
              <w:marLeft w:val="0"/>
              <w:marRight w:val="0"/>
              <w:marTop w:val="0"/>
              <w:marBottom w:val="0"/>
              <w:divBdr>
                <w:top w:val="none" w:sz="0" w:space="0" w:color="auto"/>
                <w:left w:val="none" w:sz="0" w:space="0" w:color="auto"/>
                <w:bottom w:val="none" w:sz="0" w:space="0" w:color="auto"/>
                <w:right w:val="none" w:sz="0" w:space="0" w:color="auto"/>
              </w:divBdr>
            </w:div>
          </w:divsChild>
        </w:div>
        <w:div w:id="1655714756">
          <w:marLeft w:val="0"/>
          <w:marRight w:val="0"/>
          <w:marTop w:val="0"/>
          <w:marBottom w:val="0"/>
          <w:divBdr>
            <w:top w:val="none" w:sz="0" w:space="0" w:color="auto"/>
            <w:left w:val="none" w:sz="0" w:space="0" w:color="auto"/>
            <w:bottom w:val="none" w:sz="0" w:space="0" w:color="auto"/>
            <w:right w:val="none" w:sz="0" w:space="0" w:color="auto"/>
          </w:divBdr>
          <w:divsChild>
            <w:div w:id="1600526837">
              <w:marLeft w:val="0"/>
              <w:marRight w:val="0"/>
              <w:marTop w:val="0"/>
              <w:marBottom w:val="0"/>
              <w:divBdr>
                <w:top w:val="none" w:sz="0" w:space="0" w:color="auto"/>
                <w:left w:val="none" w:sz="0" w:space="0" w:color="auto"/>
                <w:bottom w:val="none" w:sz="0" w:space="0" w:color="auto"/>
                <w:right w:val="none" w:sz="0" w:space="0" w:color="auto"/>
              </w:divBdr>
            </w:div>
          </w:divsChild>
        </w:div>
        <w:div w:id="1676758840">
          <w:marLeft w:val="0"/>
          <w:marRight w:val="0"/>
          <w:marTop w:val="0"/>
          <w:marBottom w:val="0"/>
          <w:divBdr>
            <w:top w:val="none" w:sz="0" w:space="0" w:color="auto"/>
            <w:left w:val="none" w:sz="0" w:space="0" w:color="auto"/>
            <w:bottom w:val="none" w:sz="0" w:space="0" w:color="auto"/>
            <w:right w:val="none" w:sz="0" w:space="0" w:color="auto"/>
          </w:divBdr>
          <w:divsChild>
            <w:div w:id="94831162">
              <w:marLeft w:val="0"/>
              <w:marRight w:val="0"/>
              <w:marTop w:val="0"/>
              <w:marBottom w:val="0"/>
              <w:divBdr>
                <w:top w:val="none" w:sz="0" w:space="0" w:color="auto"/>
                <w:left w:val="none" w:sz="0" w:space="0" w:color="auto"/>
                <w:bottom w:val="none" w:sz="0" w:space="0" w:color="auto"/>
                <w:right w:val="none" w:sz="0" w:space="0" w:color="auto"/>
              </w:divBdr>
            </w:div>
          </w:divsChild>
        </w:div>
        <w:div w:id="1843666587">
          <w:marLeft w:val="0"/>
          <w:marRight w:val="0"/>
          <w:marTop w:val="0"/>
          <w:marBottom w:val="0"/>
          <w:divBdr>
            <w:top w:val="none" w:sz="0" w:space="0" w:color="auto"/>
            <w:left w:val="none" w:sz="0" w:space="0" w:color="auto"/>
            <w:bottom w:val="none" w:sz="0" w:space="0" w:color="auto"/>
            <w:right w:val="none" w:sz="0" w:space="0" w:color="auto"/>
          </w:divBdr>
          <w:divsChild>
            <w:div w:id="1778407897">
              <w:marLeft w:val="0"/>
              <w:marRight w:val="0"/>
              <w:marTop w:val="0"/>
              <w:marBottom w:val="0"/>
              <w:divBdr>
                <w:top w:val="none" w:sz="0" w:space="0" w:color="auto"/>
                <w:left w:val="none" w:sz="0" w:space="0" w:color="auto"/>
                <w:bottom w:val="none" w:sz="0" w:space="0" w:color="auto"/>
                <w:right w:val="none" w:sz="0" w:space="0" w:color="auto"/>
              </w:divBdr>
            </w:div>
          </w:divsChild>
        </w:div>
        <w:div w:id="1850755296">
          <w:marLeft w:val="0"/>
          <w:marRight w:val="0"/>
          <w:marTop w:val="0"/>
          <w:marBottom w:val="0"/>
          <w:divBdr>
            <w:top w:val="none" w:sz="0" w:space="0" w:color="auto"/>
            <w:left w:val="none" w:sz="0" w:space="0" w:color="auto"/>
            <w:bottom w:val="none" w:sz="0" w:space="0" w:color="auto"/>
            <w:right w:val="none" w:sz="0" w:space="0" w:color="auto"/>
          </w:divBdr>
          <w:divsChild>
            <w:div w:id="696930679">
              <w:marLeft w:val="0"/>
              <w:marRight w:val="0"/>
              <w:marTop w:val="0"/>
              <w:marBottom w:val="0"/>
              <w:divBdr>
                <w:top w:val="none" w:sz="0" w:space="0" w:color="auto"/>
                <w:left w:val="none" w:sz="0" w:space="0" w:color="auto"/>
                <w:bottom w:val="none" w:sz="0" w:space="0" w:color="auto"/>
                <w:right w:val="none" w:sz="0" w:space="0" w:color="auto"/>
              </w:divBdr>
            </w:div>
          </w:divsChild>
        </w:div>
        <w:div w:id="1898394649">
          <w:marLeft w:val="0"/>
          <w:marRight w:val="0"/>
          <w:marTop w:val="0"/>
          <w:marBottom w:val="0"/>
          <w:divBdr>
            <w:top w:val="none" w:sz="0" w:space="0" w:color="auto"/>
            <w:left w:val="none" w:sz="0" w:space="0" w:color="auto"/>
            <w:bottom w:val="none" w:sz="0" w:space="0" w:color="auto"/>
            <w:right w:val="none" w:sz="0" w:space="0" w:color="auto"/>
          </w:divBdr>
          <w:divsChild>
            <w:div w:id="108941998">
              <w:marLeft w:val="0"/>
              <w:marRight w:val="0"/>
              <w:marTop w:val="0"/>
              <w:marBottom w:val="0"/>
              <w:divBdr>
                <w:top w:val="none" w:sz="0" w:space="0" w:color="auto"/>
                <w:left w:val="none" w:sz="0" w:space="0" w:color="auto"/>
                <w:bottom w:val="none" w:sz="0" w:space="0" w:color="auto"/>
                <w:right w:val="none" w:sz="0" w:space="0" w:color="auto"/>
              </w:divBdr>
            </w:div>
          </w:divsChild>
        </w:div>
        <w:div w:id="1972514873">
          <w:marLeft w:val="0"/>
          <w:marRight w:val="0"/>
          <w:marTop w:val="0"/>
          <w:marBottom w:val="0"/>
          <w:divBdr>
            <w:top w:val="none" w:sz="0" w:space="0" w:color="auto"/>
            <w:left w:val="none" w:sz="0" w:space="0" w:color="auto"/>
            <w:bottom w:val="none" w:sz="0" w:space="0" w:color="auto"/>
            <w:right w:val="none" w:sz="0" w:space="0" w:color="auto"/>
          </w:divBdr>
          <w:divsChild>
            <w:div w:id="141582806">
              <w:marLeft w:val="0"/>
              <w:marRight w:val="0"/>
              <w:marTop w:val="0"/>
              <w:marBottom w:val="0"/>
              <w:divBdr>
                <w:top w:val="none" w:sz="0" w:space="0" w:color="auto"/>
                <w:left w:val="none" w:sz="0" w:space="0" w:color="auto"/>
                <w:bottom w:val="none" w:sz="0" w:space="0" w:color="auto"/>
                <w:right w:val="none" w:sz="0" w:space="0" w:color="auto"/>
              </w:divBdr>
            </w:div>
            <w:div w:id="394664134">
              <w:marLeft w:val="0"/>
              <w:marRight w:val="0"/>
              <w:marTop w:val="0"/>
              <w:marBottom w:val="0"/>
              <w:divBdr>
                <w:top w:val="none" w:sz="0" w:space="0" w:color="auto"/>
                <w:left w:val="none" w:sz="0" w:space="0" w:color="auto"/>
                <w:bottom w:val="none" w:sz="0" w:space="0" w:color="auto"/>
                <w:right w:val="none" w:sz="0" w:space="0" w:color="auto"/>
              </w:divBdr>
            </w:div>
            <w:div w:id="506335098">
              <w:marLeft w:val="0"/>
              <w:marRight w:val="0"/>
              <w:marTop w:val="0"/>
              <w:marBottom w:val="0"/>
              <w:divBdr>
                <w:top w:val="none" w:sz="0" w:space="0" w:color="auto"/>
                <w:left w:val="none" w:sz="0" w:space="0" w:color="auto"/>
                <w:bottom w:val="none" w:sz="0" w:space="0" w:color="auto"/>
                <w:right w:val="none" w:sz="0" w:space="0" w:color="auto"/>
              </w:divBdr>
            </w:div>
            <w:div w:id="892084033">
              <w:marLeft w:val="0"/>
              <w:marRight w:val="0"/>
              <w:marTop w:val="0"/>
              <w:marBottom w:val="0"/>
              <w:divBdr>
                <w:top w:val="none" w:sz="0" w:space="0" w:color="auto"/>
                <w:left w:val="none" w:sz="0" w:space="0" w:color="auto"/>
                <w:bottom w:val="none" w:sz="0" w:space="0" w:color="auto"/>
                <w:right w:val="none" w:sz="0" w:space="0" w:color="auto"/>
              </w:divBdr>
            </w:div>
            <w:div w:id="1333290792">
              <w:marLeft w:val="0"/>
              <w:marRight w:val="0"/>
              <w:marTop w:val="0"/>
              <w:marBottom w:val="0"/>
              <w:divBdr>
                <w:top w:val="none" w:sz="0" w:space="0" w:color="auto"/>
                <w:left w:val="none" w:sz="0" w:space="0" w:color="auto"/>
                <w:bottom w:val="none" w:sz="0" w:space="0" w:color="auto"/>
                <w:right w:val="none" w:sz="0" w:space="0" w:color="auto"/>
              </w:divBdr>
            </w:div>
            <w:div w:id="1503855660">
              <w:marLeft w:val="0"/>
              <w:marRight w:val="0"/>
              <w:marTop w:val="0"/>
              <w:marBottom w:val="0"/>
              <w:divBdr>
                <w:top w:val="none" w:sz="0" w:space="0" w:color="auto"/>
                <w:left w:val="none" w:sz="0" w:space="0" w:color="auto"/>
                <w:bottom w:val="none" w:sz="0" w:space="0" w:color="auto"/>
                <w:right w:val="none" w:sz="0" w:space="0" w:color="auto"/>
              </w:divBdr>
            </w:div>
            <w:div w:id="1643198354">
              <w:marLeft w:val="0"/>
              <w:marRight w:val="0"/>
              <w:marTop w:val="0"/>
              <w:marBottom w:val="0"/>
              <w:divBdr>
                <w:top w:val="none" w:sz="0" w:space="0" w:color="auto"/>
                <w:left w:val="none" w:sz="0" w:space="0" w:color="auto"/>
                <w:bottom w:val="none" w:sz="0" w:space="0" w:color="auto"/>
                <w:right w:val="none" w:sz="0" w:space="0" w:color="auto"/>
              </w:divBdr>
            </w:div>
            <w:div w:id="1831562160">
              <w:marLeft w:val="0"/>
              <w:marRight w:val="0"/>
              <w:marTop w:val="0"/>
              <w:marBottom w:val="0"/>
              <w:divBdr>
                <w:top w:val="none" w:sz="0" w:space="0" w:color="auto"/>
                <w:left w:val="none" w:sz="0" w:space="0" w:color="auto"/>
                <w:bottom w:val="none" w:sz="0" w:space="0" w:color="auto"/>
                <w:right w:val="none" w:sz="0" w:space="0" w:color="auto"/>
              </w:divBdr>
            </w:div>
            <w:div w:id="2074111632">
              <w:marLeft w:val="0"/>
              <w:marRight w:val="0"/>
              <w:marTop w:val="0"/>
              <w:marBottom w:val="0"/>
              <w:divBdr>
                <w:top w:val="none" w:sz="0" w:space="0" w:color="auto"/>
                <w:left w:val="none" w:sz="0" w:space="0" w:color="auto"/>
                <w:bottom w:val="none" w:sz="0" w:space="0" w:color="auto"/>
                <w:right w:val="none" w:sz="0" w:space="0" w:color="auto"/>
              </w:divBdr>
            </w:div>
          </w:divsChild>
        </w:div>
        <w:div w:id="2046519783">
          <w:marLeft w:val="0"/>
          <w:marRight w:val="0"/>
          <w:marTop w:val="0"/>
          <w:marBottom w:val="0"/>
          <w:divBdr>
            <w:top w:val="none" w:sz="0" w:space="0" w:color="auto"/>
            <w:left w:val="none" w:sz="0" w:space="0" w:color="auto"/>
            <w:bottom w:val="none" w:sz="0" w:space="0" w:color="auto"/>
            <w:right w:val="none" w:sz="0" w:space="0" w:color="auto"/>
          </w:divBdr>
          <w:divsChild>
            <w:div w:id="129656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064695">
      <w:bodyDiv w:val="1"/>
      <w:marLeft w:val="0"/>
      <w:marRight w:val="0"/>
      <w:marTop w:val="0"/>
      <w:marBottom w:val="0"/>
      <w:divBdr>
        <w:top w:val="none" w:sz="0" w:space="0" w:color="auto"/>
        <w:left w:val="none" w:sz="0" w:space="0" w:color="auto"/>
        <w:bottom w:val="none" w:sz="0" w:space="0" w:color="auto"/>
        <w:right w:val="none" w:sz="0" w:space="0" w:color="auto"/>
      </w:divBdr>
    </w:div>
    <w:div w:id="1454589536">
      <w:bodyDiv w:val="1"/>
      <w:marLeft w:val="0"/>
      <w:marRight w:val="0"/>
      <w:marTop w:val="0"/>
      <w:marBottom w:val="0"/>
      <w:divBdr>
        <w:top w:val="none" w:sz="0" w:space="0" w:color="auto"/>
        <w:left w:val="none" w:sz="0" w:space="0" w:color="auto"/>
        <w:bottom w:val="none" w:sz="0" w:space="0" w:color="auto"/>
        <w:right w:val="none" w:sz="0" w:space="0" w:color="auto"/>
      </w:divBdr>
    </w:div>
    <w:div w:id="1459448565">
      <w:bodyDiv w:val="1"/>
      <w:marLeft w:val="0"/>
      <w:marRight w:val="0"/>
      <w:marTop w:val="0"/>
      <w:marBottom w:val="0"/>
      <w:divBdr>
        <w:top w:val="none" w:sz="0" w:space="0" w:color="auto"/>
        <w:left w:val="none" w:sz="0" w:space="0" w:color="auto"/>
        <w:bottom w:val="none" w:sz="0" w:space="0" w:color="auto"/>
        <w:right w:val="none" w:sz="0" w:space="0" w:color="auto"/>
      </w:divBdr>
    </w:div>
    <w:div w:id="1460032303">
      <w:bodyDiv w:val="1"/>
      <w:marLeft w:val="0"/>
      <w:marRight w:val="0"/>
      <w:marTop w:val="0"/>
      <w:marBottom w:val="0"/>
      <w:divBdr>
        <w:top w:val="none" w:sz="0" w:space="0" w:color="auto"/>
        <w:left w:val="none" w:sz="0" w:space="0" w:color="auto"/>
        <w:bottom w:val="none" w:sz="0" w:space="0" w:color="auto"/>
        <w:right w:val="none" w:sz="0" w:space="0" w:color="auto"/>
      </w:divBdr>
    </w:div>
    <w:div w:id="1467235420">
      <w:bodyDiv w:val="1"/>
      <w:marLeft w:val="0"/>
      <w:marRight w:val="0"/>
      <w:marTop w:val="0"/>
      <w:marBottom w:val="0"/>
      <w:divBdr>
        <w:top w:val="none" w:sz="0" w:space="0" w:color="auto"/>
        <w:left w:val="none" w:sz="0" w:space="0" w:color="auto"/>
        <w:bottom w:val="none" w:sz="0" w:space="0" w:color="auto"/>
        <w:right w:val="none" w:sz="0" w:space="0" w:color="auto"/>
      </w:divBdr>
    </w:div>
    <w:div w:id="1470050447">
      <w:bodyDiv w:val="1"/>
      <w:marLeft w:val="0"/>
      <w:marRight w:val="0"/>
      <w:marTop w:val="0"/>
      <w:marBottom w:val="0"/>
      <w:divBdr>
        <w:top w:val="none" w:sz="0" w:space="0" w:color="auto"/>
        <w:left w:val="none" w:sz="0" w:space="0" w:color="auto"/>
        <w:bottom w:val="none" w:sz="0" w:space="0" w:color="auto"/>
        <w:right w:val="none" w:sz="0" w:space="0" w:color="auto"/>
      </w:divBdr>
    </w:div>
    <w:div w:id="1482578344">
      <w:bodyDiv w:val="1"/>
      <w:marLeft w:val="0"/>
      <w:marRight w:val="0"/>
      <w:marTop w:val="0"/>
      <w:marBottom w:val="0"/>
      <w:divBdr>
        <w:top w:val="none" w:sz="0" w:space="0" w:color="auto"/>
        <w:left w:val="none" w:sz="0" w:space="0" w:color="auto"/>
        <w:bottom w:val="none" w:sz="0" w:space="0" w:color="auto"/>
        <w:right w:val="none" w:sz="0" w:space="0" w:color="auto"/>
      </w:divBdr>
      <w:divsChild>
        <w:div w:id="367067565">
          <w:marLeft w:val="0"/>
          <w:marRight w:val="0"/>
          <w:marTop w:val="0"/>
          <w:marBottom w:val="0"/>
          <w:divBdr>
            <w:top w:val="none" w:sz="0" w:space="0" w:color="auto"/>
            <w:left w:val="none" w:sz="0" w:space="0" w:color="auto"/>
            <w:bottom w:val="none" w:sz="0" w:space="0" w:color="auto"/>
            <w:right w:val="none" w:sz="0" w:space="0" w:color="auto"/>
          </w:divBdr>
          <w:divsChild>
            <w:div w:id="383333807">
              <w:marLeft w:val="0"/>
              <w:marRight w:val="0"/>
              <w:marTop w:val="30"/>
              <w:marBottom w:val="30"/>
              <w:divBdr>
                <w:top w:val="none" w:sz="0" w:space="0" w:color="auto"/>
                <w:left w:val="none" w:sz="0" w:space="0" w:color="auto"/>
                <w:bottom w:val="none" w:sz="0" w:space="0" w:color="auto"/>
                <w:right w:val="none" w:sz="0" w:space="0" w:color="auto"/>
              </w:divBdr>
              <w:divsChild>
                <w:div w:id="71977432">
                  <w:marLeft w:val="0"/>
                  <w:marRight w:val="0"/>
                  <w:marTop w:val="0"/>
                  <w:marBottom w:val="0"/>
                  <w:divBdr>
                    <w:top w:val="none" w:sz="0" w:space="0" w:color="auto"/>
                    <w:left w:val="none" w:sz="0" w:space="0" w:color="auto"/>
                    <w:bottom w:val="none" w:sz="0" w:space="0" w:color="auto"/>
                    <w:right w:val="none" w:sz="0" w:space="0" w:color="auto"/>
                  </w:divBdr>
                  <w:divsChild>
                    <w:div w:id="292559302">
                      <w:marLeft w:val="0"/>
                      <w:marRight w:val="0"/>
                      <w:marTop w:val="0"/>
                      <w:marBottom w:val="0"/>
                      <w:divBdr>
                        <w:top w:val="none" w:sz="0" w:space="0" w:color="auto"/>
                        <w:left w:val="none" w:sz="0" w:space="0" w:color="auto"/>
                        <w:bottom w:val="none" w:sz="0" w:space="0" w:color="auto"/>
                        <w:right w:val="none" w:sz="0" w:space="0" w:color="auto"/>
                      </w:divBdr>
                    </w:div>
                    <w:div w:id="753867443">
                      <w:marLeft w:val="0"/>
                      <w:marRight w:val="0"/>
                      <w:marTop w:val="0"/>
                      <w:marBottom w:val="0"/>
                      <w:divBdr>
                        <w:top w:val="none" w:sz="0" w:space="0" w:color="auto"/>
                        <w:left w:val="none" w:sz="0" w:space="0" w:color="auto"/>
                        <w:bottom w:val="none" w:sz="0" w:space="0" w:color="auto"/>
                        <w:right w:val="none" w:sz="0" w:space="0" w:color="auto"/>
                      </w:divBdr>
                    </w:div>
                    <w:div w:id="773938289">
                      <w:marLeft w:val="0"/>
                      <w:marRight w:val="0"/>
                      <w:marTop w:val="0"/>
                      <w:marBottom w:val="0"/>
                      <w:divBdr>
                        <w:top w:val="none" w:sz="0" w:space="0" w:color="auto"/>
                        <w:left w:val="none" w:sz="0" w:space="0" w:color="auto"/>
                        <w:bottom w:val="none" w:sz="0" w:space="0" w:color="auto"/>
                        <w:right w:val="none" w:sz="0" w:space="0" w:color="auto"/>
                      </w:divBdr>
                    </w:div>
                    <w:div w:id="964769593">
                      <w:marLeft w:val="0"/>
                      <w:marRight w:val="0"/>
                      <w:marTop w:val="0"/>
                      <w:marBottom w:val="0"/>
                      <w:divBdr>
                        <w:top w:val="none" w:sz="0" w:space="0" w:color="auto"/>
                        <w:left w:val="none" w:sz="0" w:space="0" w:color="auto"/>
                        <w:bottom w:val="none" w:sz="0" w:space="0" w:color="auto"/>
                        <w:right w:val="none" w:sz="0" w:space="0" w:color="auto"/>
                      </w:divBdr>
                    </w:div>
                    <w:div w:id="1061976254">
                      <w:marLeft w:val="0"/>
                      <w:marRight w:val="0"/>
                      <w:marTop w:val="0"/>
                      <w:marBottom w:val="0"/>
                      <w:divBdr>
                        <w:top w:val="none" w:sz="0" w:space="0" w:color="auto"/>
                        <w:left w:val="none" w:sz="0" w:space="0" w:color="auto"/>
                        <w:bottom w:val="none" w:sz="0" w:space="0" w:color="auto"/>
                        <w:right w:val="none" w:sz="0" w:space="0" w:color="auto"/>
                      </w:divBdr>
                    </w:div>
                    <w:div w:id="1103038955">
                      <w:marLeft w:val="0"/>
                      <w:marRight w:val="0"/>
                      <w:marTop w:val="0"/>
                      <w:marBottom w:val="0"/>
                      <w:divBdr>
                        <w:top w:val="none" w:sz="0" w:space="0" w:color="auto"/>
                        <w:left w:val="none" w:sz="0" w:space="0" w:color="auto"/>
                        <w:bottom w:val="none" w:sz="0" w:space="0" w:color="auto"/>
                        <w:right w:val="none" w:sz="0" w:space="0" w:color="auto"/>
                      </w:divBdr>
                    </w:div>
                    <w:div w:id="1263487266">
                      <w:marLeft w:val="0"/>
                      <w:marRight w:val="0"/>
                      <w:marTop w:val="0"/>
                      <w:marBottom w:val="0"/>
                      <w:divBdr>
                        <w:top w:val="none" w:sz="0" w:space="0" w:color="auto"/>
                        <w:left w:val="none" w:sz="0" w:space="0" w:color="auto"/>
                        <w:bottom w:val="none" w:sz="0" w:space="0" w:color="auto"/>
                        <w:right w:val="none" w:sz="0" w:space="0" w:color="auto"/>
                      </w:divBdr>
                    </w:div>
                    <w:div w:id="1627200139">
                      <w:marLeft w:val="0"/>
                      <w:marRight w:val="0"/>
                      <w:marTop w:val="0"/>
                      <w:marBottom w:val="0"/>
                      <w:divBdr>
                        <w:top w:val="none" w:sz="0" w:space="0" w:color="auto"/>
                        <w:left w:val="none" w:sz="0" w:space="0" w:color="auto"/>
                        <w:bottom w:val="none" w:sz="0" w:space="0" w:color="auto"/>
                        <w:right w:val="none" w:sz="0" w:space="0" w:color="auto"/>
                      </w:divBdr>
                    </w:div>
                  </w:divsChild>
                </w:div>
                <w:div w:id="138813477">
                  <w:marLeft w:val="0"/>
                  <w:marRight w:val="0"/>
                  <w:marTop w:val="0"/>
                  <w:marBottom w:val="0"/>
                  <w:divBdr>
                    <w:top w:val="none" w:sz="0" w:space="0" w:color="auto"/>
                    <w:left w:val="none" w:sz="0" w:space="0" w:color="auto"/>
                    <w:bottom w:val="none" w:sz="0" w:space="0" w:color="auto"/>
                    <w:right w:val="none" w:sz="0" w:space="0" w:color="auto"/>
                  </w:divBdr>
                  <w:divsChild>
                    <w:div w:id="1967850690">
                      <w:marLeft w:val="0"/>
                      <w:marRight w:val="0"/>
                      <w:marTop w:val="0"/>
                      <w:marBottom w:val="0"/>
                      <w:divBdr>
                        <w:top w:val="none" w:sz="0" w:space="0" w:color="auto"/>
                        <w:left w:val="none" w:sz="0" w:space="0" w:color="auto"/>
                        <w:bottom w:val="none" w:sz="0" w:space="0" w:color="auto"/>
                        <w:right w:val="none" w:sz="0" w:space="0" w:color="auto"/>
                      </w:divBdr>
                    </w:div>
                  </w:divsChild>
                </w:div>
                <w:div w:id="212695905">
                  <w:marLeft w:val="0"/>
                  <w:marRight w:val="0"/>
                  <w:marTop w:val="0"/>
                  <w:marBottom w:val="0"/>
                  <w:divBdr>
                    <w:top w:val="none" w:sz="0" w:space="0" w:color="auto"/>
                    <w:left w:val="none" w:sz="0" w:space="0" w:color="auto"/>
                    <w:bottom w:val="none" w:sz="0" w:space="0" w:color="auto"/>
                    <w:right w:val="none" w:sz="0" w:space="0" w:color="auto"/>
                  </w:divBdr>
                  <w:divsChild>
                    <w:div w:id="1093280037">
                      <w:marLeft w:val="0"/>
                      <w:marRight w:val="0"/>
                      <w:marTop w:val="0"/>
                      <w:marBottom w:val="0"/>
                      <w:divBdr>
                        <w:top w:val="none" w:sz="0" w:space="0" w:color="auto"/>
                        <w:left w:val="none" w:sz="0" w:space="0" w:color="auto"/>
                        <w:bottom w:val="none" w:sz="0" w:space="0" w:color="auto"/>
                        <w:right w:val="none" w:sz="0" w:space="0" w:color="auto"/>
                      </w:divBdr>
                    </w:div>
                    <w:div w:id="1511988187">
                      <w:marLeft w:val="0"/>
                      <w:marRight w:val="0"/>
                      <w:marTop w:val="0"/>
                      <w:marBottom w:val="0"/>
                      <w:divBdr>
                        <w:top w:val="none" w:sz="0" w:space="0" w:color="auto"/>
                        <w:left w:val="none" w:sz="0" w:space="0" w:color="auto"/>
                        <w:bottom w:val="none" w:sz="0" w:space="0" w:color="auto"/>
                        <w:right w:val="none" w:sz="0" w:space="0" w:color="auto"/>
                      </w:divBdr>
                    </w:div>
                    <w:div w:id="1849834402">
                      <w:marLeft w:val="0"/>
                      <w:marRight w:val="0"/>
                      <w:marTop w:val="0"/>
                      <w:marBottom w:val="0"/>
                      <w:divBdr>
                        <w:top w:val="none" w:sz="0" w:space="0" w:color="auto"/>
                        <w:left w:val="none" w:sz="0" w:space="0" w:color="auto"/>
                        <w:bottom w:val="none" w:sz="0" w:space="0" w:color="auto"/>
                        <w:right w:val="none" w:sz="0" w:space="0" w:color="auto"/>
                      </w:divBdr>
                    </w:div>
                  </w:divsChild>
                </w:div>
                <w:div w:id="357049196">
                  <w:marLeft w:val="0"/>
                  <w:marRight w:val="0"/>
                  <w:marTop w:val="0"/>
                  <w:marBottom w:val="0"/>
                  <w:divBdr>
                    <w:top w:val="none" w:sz="0" w:space="0" w:color="auto"/>
                    <w:left w:val="none" w:sz="0" w:space="0" w:color="auto"/>
                    <w:bottom w:val="none" w:sz="0" w:space="0" w:color="auto"/>
                    <w:right w:val="none" w:sz="0" w:space="0" w:color="auto"/>
                  </w:divBdr>
                  <w:divsChild>
                    <w:div w:id="1170951184">
                      <w:marLeft w:val="0"/>
                      <w:marRight w:val="0"/>
                      <w:marTop w:val="0"/>
                      <w:marBottom w:val="0"/>
                      <w:divBdr>
                        <w:top w:val="none" w:sz="0" w:space="0" w:color="auto"/>
                        <w:left w:val="none" w:sz="0" w:space="0" w:color="auto"/>
                        <w:bottom w:val="none" w:sz="0" w:space="0" w:color="auto"/>
                        <w:right w:val="none" w:sz="0" w:space="0" w:color="auto"/>
                      </w:divBdr>
                    </w:div>
                    <w:div w:id="1456482502">
                      <w:marLeft w:val="0"/>
                      <w:marRight w:val="0"/>
                      <w:marTop w:val="0"/>
                      <w:marBottom w:val="0"/>
                      <w:divBdr>
                        <w:top w:val="none" w:sz="0" w:space="0" w:color="auto"/>
                        <w:left w:val="none" w:sz="0" w:space="0" w:color="auto"/>
                        <w:bottom w:val="none" w:sz="0" w:space="0" w:color="auto"/>
                        <w:right w:val="none" w:sz="0" w:space="0" w:color="auto"/>
                      </w:divBdr>
                    </w:div>
                  </w:divsChild>
                </w:div>
                <w:div w:id="506528383">
                  <w:marLeft w:val="0"/>
                  <w:marRight w:val="0"/>
                  <w:marTop w:val="0"/>
                  <w:marBottom w:val="0"/>
                  <w:divBdr>
                    <w:top w:val="none" w:sz="0" w:space="0" w:color="auto"/>
                    <w:left w:val="none" w:sz="0" w:space="0" w:color="auto"/>
                    <w:bottom w:val="none" w:sz="0" w:space="0" w:color="auto"/>
                    <w:right w:val="none" w:sz="0" w:space="0" w:color="auto"/>
                  </w:divBdr>
                  <w:divsChild>
                    <w:div w:id="1020469928">
                      <w:marLeft w:val="0"/>
                      <w:marRight w:val="0"/>
                      <w:marTop w:val="0"/>
                      <w:marBottom w:val="0"/>
                      <w:divBdr>
                        <w:top w:val="none" w:sz="0" w:space="0" w:color="auto"/>
                        <w:left w:val="none" w:sz="0" w:space="0" w:color="auto"/>
                        <w:bottom w:val="none" w:sz="0" w:space="0" w:color="auto"/>
                        <w:right w:val="none" w:sz="0" w:space="0" w:color="auto"/>
                      </w:divBdr>
                    </w:div>
                  </w:divsChild>
                </w:div>
                <w:div w:id="658271890">
                  <w:marLeft w:val="0"/>
                  <w:marRight w:val="0"/>
                  <w:marTop w:val="0"/>
                  <w:marBottom w:val="0"/>
                  <w:divBdr>
                    <w:top w:val="none" w:sz="0" w:space="0" w:color="auto"/>
                    <w:left w:val="none" w:sz="0" w:space="0" w:color="auto"/>
                    <w:bottom w:val="none" w:sz="0" w:space="0" w:color="auto"/>
                    <w:right w:val="none" w:sz="0" w:space="0" w:color="auto"/>
                  </w:divBdr>
                  <w:divsChild>
                    <w:div w:id="796876738">
                      <w:marLeft w:val="0"/>
                      <w:marRight w:val="0"/>
                      <w:marTop w:val="0"/>
                      <w:marBottom w:val="0"/>
                      <w:divBdr>
                        <w:top w:val="none" w:sz="0" w:space="0" w:color="auto"/>
                        <w:left w:val="none" w:sz="0" w:space="0" w:color="auto"/>
                        <w:bottom w:val="none" w:sz="0" w:space="0" w:color="auto"/>
                        <w:right w:val="none" w:sz="0" w:space="0" w:color="auto"/>
                      </w:divBdr>
                    </w:div>
                  </w:divsChild>
                </w:div>
                <w:div w:id="781412886">
                  <w:marLeft w:val="0"/>
                  <w:marRight w:val="0"/>
                  <w:marTop w:val="0"/>
                  <w:marBottom w:val="0"/>
                  <w:divBdr>
                    <w:top w:val="none" w:sz="0" w:space="0" w:color="auto"/>
                    <w:left w:val="none" w:sz="0" w:space="0" w:color="auto"/>
                    <w:bottom w:val="none" w:sz="0" w:space="0" w:color="auto"/>
                    <w:right w:val="none" w:sz="0" w:space="0" w:color="auto"/>
                  </w:divBdr>
                  <w:divsChild>
                    <w:div w:id="921719701">
                      <w:marLeft w:val="0"/>
                      <w:marRight w:val="0"/>
                      <w:marTop w:val="0"/>
                      <w:marBottom w:val="0"/>
                      <w:divBdr>
                        <w:top w:val="none" w:sz="0" w:space="0" w:color="auto"/>
                        <w:left w:val="none" w:sz="0" w:space="0" w:color="auto"/>
                        <w:bottom w:val="none" w:sz="0" w:space="0" w:color="auto"/>
                        <w:right w:val="none" w:sz="0" w:space="0" w:color="auto"/>
                      </w:divBdr>
                    </w:div>
                  </w:divsChild>
                </w:div>
                <w:div w:id="948316400">
                  <w:marLeft w:val="0"/>
                  <w:marRight w:val="0"/>
                  <w:marTop w:val="0"/>
                  <w:marBottom w:val="0"/>
                  <w:divBdr>
                    <w:top w:val="none" w:sz="0" w:space="0" w:color="auto"/>
                    <w:left w:val="none" w:sz="0" w:space="0" w:color="auto"/>
                    <w:bottom w:val="none" w:sz="0" w:space="0" w:color="auto"/>
                    <w:right w:val="none" w:sz="0" w:space="0" w:color="auto"/>
                  </w:divBdr>
                  <w:divsChild>
                    <w:div w:id="305403283">
                      <w:marLeft w:val="0"/>
                      <w:marRight w:val="0"/>
                      <w:marTop w:val="0"/>
                      <w:marBottom w:val="0"/>
                      <w:divBdr>
                        <w:top w:val="none" w:sz="0" w:space="0" w:color="auto"/>
                        <w:left w:val="none" w:sz="0" w:space="0" w:color="auto"/>
                        <w:bottom w:val="none" w:sz="0" w:space="0" w:color="auto"/>
                        <w:right w:val="none" w:sz="0" w:space="0" w:color="auto"/>
                      </w:divBdr>
                    </w:div>
                  </w:divsChild>
                </w:div>
                <w:div w:id="995180791">
                  <w:marLeft w:val="0"/>
                  <w:marRight w:val="0"/>
                  <w:marTop w:val="0"/>
                  <w:marBottom w:val="0"/>
                  <w:divBdr>
                    <w:top w:val="none" w:sz="0" w:space="0" w:color="auto"/>
                    <w:left w:val="none" w:sz="0" w:space="0" w:color="auto"/>
                    <w:bottom w:val="none" w:sz="0" w:space="0" w:color="auto"/>
                    <w:right w:val="none" w:sz="0" w:space="0" w:color="auto"/>
                  </w:divBdr>
                  <w:divsChild>
                    <w:div w:id="1550262320">
                      <w:marLeft w:val="0"/>
                      <w:marRight w:val="0"/>
                      <w:marTop w:val="0"/>
                      <w:marBottom w:val="0"/>
                      <w:divBdr>
                        <w:top w:val="none" w:sz="0" w:space="0" w:color="auto"/>
                        <w:left w:val="none" w:sz="0" w:space="0" w:color="auto"/>
                        <w:bottom w:val="none" w:sz="0" w:space="0" w:color="auto"/>
                        <w:right w:val="none" w:sz="0" w:space="0" w:color="auto"/>
                      </w:divBdr>
                    </w:div>
                    <w:div w:id="1619407764">
                      <w:marLeft w:val="0"/>
                      <w:marRight w:val="0"/>
                      <w:marTop w:val="0"/>
                      <w:marBottom w:val="0"/>
                      <w:divBdr>
                        <w:top w:val="none" w:sz="0" w:space="0" w:color="auto"/>
                        <w:left w:val="none" w:sz="0" w:space="0" w:color="auto"/>
                        <w:bottom w:val="none" w:sz="0" w:space="0" w:color="auto"/>
                        <w:right w:val="none" w:sz="0" w:space="0" w:color="auto"/>
                      </w:divBdr>
                    </w:div>
                    <w:div w:id="1629555951">
                      <w:marLeft w:val="0"/>
                      <w:marRight w:val="0"/>
                      <w:marTop w:val="0"/>
                      <w:marBottom w:val="0"/>
                      <w:divBdr>
                        <w:top w:val="none" w:sz="0" w:space="0" w:color="auto"/>
                        <w:left w:val="none" w:sz="0" w:space="0" w:color="auto"/>
                        <w:bottom w:val="none" w:sz="0" w:space="0" w:color="auto"/>
                        <w:right w:val="none" w:sz="0" w:space="0" w:color="auto"/>
                      </w:divBdr>
                    </w:div>
                  </w:divsChild>
                </w:div>
                <w:div w:id="1034385549">
                  <w:marLeft w:val="0"/>
                  <w:marRight w:val="0"/>
                  <w:marTop w:val="0"/>
                  <w:marBottom w:val="0"/>
                  <w:divBdr>
                    <w:top w:val="none" w:sz="0" w:space="0" w:color="auto"/>
                    <w:left w:val="none" w:sz="0" w:space="0" w:color="auto"/>
                    <w:bottom w:val="none" w:sz="0" w:space="0" w:color="auto"/>
                    <w:right w:val="none" w:sz="0" w:space="0" w:color="auto"/>
                  </w:divBdr>
                  <w:divsChild>
                    <w:div w:id="153692167">
                      <w:marLeft w:val="0"/>
                      <w:marRight w:val="0"/>
                      <w:marTop w:val="0"/>
                      <w:marBottom w:val="0"/>
                      <w:divBdr>
                        <w:top w:val="none" w:sz="0" w:space="0" w:color="auto"/>
                        <w:left w:val="none" w:sz="0" w:space="0" w:color="auto"/>
                        <w:bottom w:val="none" w:sz="0" w:space="0" w:color="auto"/>
                        <w:right w:val="none" w:sz="0" w:space="0" w:color="auto"/>
                      </w:divBdr>
                    </w:div>
                    <w:div w:id="752121562">
                      <w:marLeft w:val="0"/>
                      <w:marRight w:val="0"/>
                      <w:marTop w:val="0"/>
                      <w:marBottom w:val="0"/>
                      <w:divBdr>
                        <w:top w:val="none" w:sz="0" w:space="0" w:color="auto"/>
                        <w:left w:val="none" w:sz="0" w:space="0" w:color="auto"/>
                        <w:bottom w:val="none" w:sz="0" w:space="0" w:color="auto"/>
                        <w:right w:val="none" w:sz="0" w:space="0" w:color="auto"/>
                      </w:divBdr>
                    </w:div>
                  </w:divsChild>
                </w:div>
                <w:div w:id="1057970875">
                  <w:marLeft w:val="0"/>
                  <w:marRight w:val="0"/>
                  <w:marTop w:val="0"/>
                  <w:marBottom w:val="0"/>
                  <w:divBdr>
                    <w:top w:val="none" w:sz="0" w:space="0" w:color="auto"/>
                    <w:left w:val="none" w:sz="0" w:space="0" w:color="auto"/>
                    <w:bottom w:val="none" w:sz="0" w:space="0" w:color="auto"/>
                    <w:right w:val="none" w:sz="0" w:space="0" w:color="auto"/>
                  </w:divBdr>
                  <w:divsChild>
                    <w:div w:id="524371064">
                      <w:marLeft w:val="0"/>
                      <w:marRight w:val="0"/>
                      <w:marTop w:val="0"/>
                      <w:marBottom w:val="0"/>
                      <w:divBdr>
                        <w:top w:val="none" w:sz="0" w:space="0" w:color="auto"/>
                        <w:left w:val="none" w:sz="0" w:space="0" w:color="auto"/>
                        <w:bottom w:val="none" w:sz="0" w:space="0" w:color="auto"/>
                        <w:right w:val="none" w:sz="0" w:space="0" w:color="auto"/>
                      </w:divBdr>
                    </w:div>
                  </w:divsChild>
                </w:div>
                <w:div w:id="1206525589">
                  <w:marLeft w:val="0"/>
                  <w:marRight w:val="0"/>
                  <w:marTop w:val="0"/>
                  <w:marBottom w:val="0"/>
                  <w:divBdr>
                    <w:top w:val="none" w:sz="0" w:space="0" w:color="auto"/>
                    <w:left w:val="none" w:sz="0" w:space="0" w:color="auto"/>
                    <w:bottom w:val="none" w:sz="0" w:space="0" w:color="auto"/>
                    <w:right w:val="none" w:sz="0" w:space="0" w:color="auto"/>
                  </w:divBdr>
                  <w:divsChild>
                    <w:div w:id="975069323">
                      <w:marLeft w:val="0"/>
                      <w:marRight w:val="0"/>
                      <w:marTop w:val="0"/>
                      <w:marBottom w:val="0"/>
                      <w:divBdr>
                        <w:top w:val="none" w:sz="0" w:space="0" w:color="auto"/>
                        <w:left w:val="none" w:sz="0" w:space="0" w:color="auto"/>
                        <w:bottom w:val="none" w:sz="0" w:space="0" w:color="auto"/>
                        <w:right w:val="none" w:sz="0" w:space="0" w:color="auto"/>
                      </w:divBdr>
                    </w:div>
                  </w:divsChild>
                </w:div>
                <w:div w:id="1272005351">
                  <w:marLeft w:val="0"/>
                  <w:marRight w:val="0"/>
                  <w:marTop w:val="0"/>
                  <w:marBottom w:val="0"/>
                  <w:divBdr>
                    <w:top w:val="none" w:sz="0" w:space="0" w:color="auto"/>
                    <w:left w:val="none" w:sz="0" w:space="0" w:color="auto"/>
                    <w:bottom w:val="none" w:sz="0" w:space="0" w:color="auto"/>
                    <w:right w:val="none" w:sz="0" w:space="0" w:color="auto"/>
                  </w:divBdr>
                  <w:divsChild>
                    <w:div w:id="1225415369">
                      <w:marLeft w:val="0"/>
                      <w:marRight w:val="0"/>
                      <w:marTop w:val="0"/>
                      <w:marBottom w:val="0"/>
                      <w:divBdr>
                        <w:top w:val="none" w:sz="0" w:space="0" w:color="auto"/>
                        <w:left w:val="none" w:sz="0" w:space="0" w:color="auto"/>
                        <w:bottom w:val="none" w:sz="0" w:space="0" w:color="auto"/>
                        <w:right w:val="none" w:sz="0" w:space="0" w:color="auto"/>
                      </w:divBdr>
                    </w:div>
                    <w:div w:id="1313368894">
                      <w:marLeft w:val="0"/>
                      <w:marRight w:val="0"/>
                      <w:marTop w:val="0"/>
                      <w:marBottom w:val="0"/>
                      <w:divBdr>
                        <w:top w:val="none" w:sz="0" w:space="0" w:color="auto"/>
                        <w:left w:val="none" w:sz="0" w:space="0" w:color="auto"/>
                        <w:bottom w:val="none" w:sz="0" w:space="0" w:color="auto"/>
                        <w:right w:val="none" w:sz="0" w:space="0" w:color="auto"/>
                      </w:divBdr>
                    </w:div>
                    <w:div w:id="1678264797">
                      <w:marLeft w:val="0"/>
                      <w:marRight w:val="0"/>
                      <w:marTop w:val="0"/>
                      <w:marBottom w:val="0"/>
                      <w:divBdr>
                        <w:top w:val="none" w:sz="0" w:space="0" w:color="auto"/>
                        <w:left w:val="none" w:sz="0" w:space="0" w:color="auto"/>
                        <w:bottom w:val="none" w:sz="0" w:space="0" w:color="auto"/>
                        <w:right w:val="none" w:sz="0" w:space="0" w:color="auto"/>
                      </w:divBdr>
                    </w:div>
                  </w:divsChild>
                </w:div>
                <w:div w:id="1290353092">
                  <w:marLeft w:val="0"/>
                  <w:marRight w:val="0"/>
                  <w:marTop w:val="0"/>
                  <w:marBottom w:val="0"/>
                  <w:divBdr>
                    <w:top w:val="none" w:sz="0" w:space="0" w:color="auto"/>
                    <w:left w:val="none" w:sz="0" w:space="0" w:color="auto"/>
                    <w:bottom w:val="none" w:sz="0" w:space="0" w:color="auto"/>
                    <w:right w:val="none" w:sz="0" w:space="0" w:color="auto"/>
                  </w:divBdr>
                  <w:divsChild>
                    <w:div w:id="543517245">
                      <w:marLeft w:val="0"/>
                      <w:marRight w:val="0"/>
                      <w:marTop w:val="0"/>
                      <w:marBottom w:val="0"/>
                      <w:divBdr>
                        <w:top w:val="none" w:sz="0" w:space="0" w:color="auto"/>
                        <w:left w:val="none" w:sz="0" w:space="0" w:color="auto"/>
                        <w:bottom w:val="none" w:sz="0" w:space="0" w:color="auto"/>
                        <w:right w:val="none" w:sz="0" w:space="0" w:color="auto"/>
                      </w:divBdr>
                    </w:div>
                    <w:div w:id="588930132">
                      <w:marLeft w:val="0"/>
                      <w:marRight w:val="0"/>
                      <w:marTop w:val="0"/>
                      <w:marBottom w:val="0"/>
                      <w:divBdr>
                        <w:top w:val="none" w:sz="0" w:space="0" w:color="auto"/>
                        <w:left w:val="none" w:sz="0" w:space="0" w:color="auto"/>
                        <w:bottom w:val="none" w:sz="0" w:space="0" w:color="auto"/>
                        <w:right w:val="none" w:sz="0" w:space="0" w:color="auto"/>
                      </w:divBdr>
                    </w:div>
                  </w:divsChild>
                </w:div>
                <w:div w:id="1301035760">
                  <w:marLeft w:val="0"/>
                  <w:marRight w:val="0"/>
                  <w:marTop w:val="0"/>
                  <w:marBottom w:val="0"/>
                  <w:divBdr>
                    <w:top w:val="none" w:sz="0" w:space="0" w:color="auto"/>
                    <w:left w:val="none" w:sz="0" w:space="0" w:color="auto"/>
                    <w:bottom w:val="none" w:sz="0" w:space="0" w:color="auto"/>
                    <w:right w:val="none" w:sz="0" w:space="0" w:color="auto"/>
                  </w:divBdr>
                  <w:divsChild>
                    <w:div w:id="418213914">
                      <w:marLeft w:val="0"/>
                      <w:marRight w:val="0"/>
                      <w:marTop w:val="0"/>
                      <w:marBottom w:val="0"/>
                      <w:divBdr>
                        <w:top w:val="none" w:sz="0" w:space="0" w:color="auto"/>
                        <w:left w:val="none" w:sz="0" w:space="0" w:color="auto"/>
                        <w:bottom w:val="none" w:sz="0" w:space="0" w:color="auto"/>
                        <w:right w:val="none" w:sz="0" w:space="0" w:color="auto"/>
                      </w:divBdr>
                    </w:div>
                  </w:divsChild>
                </w:div>
                <w:div w:id="1306281579">
                  <w:marLeft w:val="0"/>
                  <w:marRight w:val="0"/>
                  <w:marTop w:val="0"/>
                  <w:marBottom w:val="0"/>
                  <w:divBdr>
                    <w:top w:val="none" w:sz="0" w:space="0" w:color="auto"/>
                    <w:left w:val="none" w:sz="0" w:space="0" w:color="auto"/>
                    <w:bottom w:val="none" w:sz="0" w:space="0" w:color="auto"/>
                    <w:right w:val="none" w:sz="0" w:space="0" w:color="auto"/>
                  </w:divBdr>
                  <w:divsChild>
                    <w:div w:id="95565026">
                      <w:marLeft w:val="0"/>
                      <w:marRight w:val="0"/>
                      <w:marTop w:val="0"/>
                      <w:marBottom w:val="0"/>
                      <w:divBdr>
                        <w:top w:val="none" w:sz="0" w:space="0" w:color="auto"/>
                        <w:left w:val="none" w:sz="0" w:space="0" w:color="auto"/>
                        <w:bottom w:val="none" w:sz="0" w:space="0" w:color="auto"/>
                        <w:right w:val="none" w:sz="0" w:space="0" w:color="auto"/>
                      </w:divBdr>
                    </w:div>
                    <w:div w:id="663363432">
                      <w:marLeft w:val="0"/>
                      <w:marRight w:val="0"/>
                      <w:marTop w:val="0"/>
                      <w:marBottom w:val="0"/>
                      <w:divBdr>
                        <w:top w:val="none" w:sz="0" w:space="0" w:color="auto"/>
                        <w:left w:val="none" w:sz="0" w:space="0" w:color="auto"/>
                        <w:bottom w:val="none" w:sz="0" w:space="0" w:color="auto"/>
                        <w:right w:val="none" w:sz="0" w:space="0" w:color="auto"/>
                      </w:divBdr>
                    </w:div>
                    <w:div w:id="1868637277">
                      <w:marLeft w:val="0"/>
                      <w:marRight w:val="0"/>
                      <w:marTop w:val="0"/>
                      <w:marBottom w:val="0"/>
                      <w:divBdr>
                        <w:top w:val="none" w:sz="0" w:space="0" w:color="auto"/>
                        <w:left w:val="none" w:sz="0" w:space="0" w:color="auto"/>
                        <w:bottom w:val="none" w:sz="0" w:space="0" w:color="auto"/>
                        <w:right w:val="none" w:sz="0" w:space="0" w:color="auto"/>
                      </w:divBdr>
                    </w:div>
                  </w:divsChild>
                </w:div>
                <w:div w:id="1354724483">
                  <w:marLeft w:val="0"/>
                  <w:marRight w:val="0"/>
                  <w:marTop w:val="0"/>
                  <w:marBottom w:val="0"/>
                  <w:divBdr>
                    <w:top w:val="none" w:sz="0" w:space="0" w:color="auto"/>
                    <w:left w:val="none" w:sz="0" w:space="0" w:color="auto"/>
                    <w:bottom w:val="none" w:sz="0" w:space="0" w:color="auto"/>
                    <w:right w:val="none" w:sz="0" w:space="0" w:color="auto"/>
                  </w:divBdr>
                  <w:divsChild>
                    <w:div w:id="1870682801">
                      <w:marLeft w:val="0"/>
                      <w:marRight w:val="0"/>
                      <w:marTop w:val="0"/>
                      <w:marBottom w:val="0"/>
                      <w:divBdr>
                        <w:top w:val="none" w:sz="0" w:space="0" w:color="auto"/>
                        <w:left w:val="none" w:sz="0" w:space="0" w:color="auto"/>
                        <w:bottom w:val="none" w:sz="0" w:space="0" w:color="auto"/>
                        <w:right w:val="none" w:sz="0" w:space="0" w:color="auto"/>
                      </w:divBdr>
                    </w:div>
                  </w:divsChild>
                </w:div>
                <w:div w:id="1473717281">
                  <w:marLeft w:val="0"/>
                  <w:marRight w:val="0"/>
                  <w:marTop w:val="0"/>
                  <w:marBottom w:val="0"/>
                  <w:divBdr>
                    <w:top w:val="none" w:sz="0" w:space="0" w:color="auto"/>
                    <w:left w:val="none" w:sz="0" w:space="0" w:color="auto"/>
                    <w:bottom w:val="none" w:sz="0" w:space="0" w:color="auto"/>
                    <w:right w:val="none" w:sz="0" w:space="0" w:color="auto"/>
                  </w:divBdr>
                  <w:divsChild>
                    <w:div w:id="5600006">
                      <w:marLeft w:val="0"/>
                      <w:marRight w:val="0"/>
                      <w:marTop w:val="0"/>
                      <w:marBottom w:val="0"/>
                      <w:divBdr>
                        <w:top w:val="none" w:sz="0" w:space="0" w:color="auto"/>
                        <w:left w:val="none" w:sz="0" w:space="0" w:color="auto"/>
                        <w:bottom w:val="none" w:sz="0" w:space="0" w:color="auto"/>
                        <w:right w:val="none" w:sz="0" w:space="0" w:color="auto"/>
                      </w:divBdr>
                    </w:div>
                  </w:divsChild>
                </w:div>
                <w:div w:id="1538658927">
                  <w:marLeft w:val="0"/>
                  <w:marRight w:val="0"/>
                  <w:marTop w:val="0"/>
                  <w:marBottom w:val="0"/>
                  <w:divBdr>
                    <w:top w:val="none" w:sz="0" w:space="0" w:color="auto"/>
                    <w:left w:val="none" w:sz="0" w:space="0" w:color="auto"/>
                    <w:bottom w:val="none" w:sz="0" w:space="0" w:color="auto"/>
                    <w:right w:val="none" w:sz="0" w:space="0" w:color="auto"/>
                  </w:divBdr>
                  <w:divsChild>
                    <w:div w:id="1594782984">
                      <w:marLeft w:val="0"/>
                      <w:marRight w:val="0"/>
                      <w:marTop w:val="0"/>
                      <w:marBottom w:val="0"/>
                      <w:divBdr>
                        <w:top w:val="none" w:sz="0" w:space="0" w:color="auto"/>
                        <w:left w:val="none" w:sz="0" w:space="0" w:color="auto"/>
                        <w:bottom w:val="none" w:sz="0" w:space="0" w:color="auto"/>
                        <w:right w:val="none" w:sz="0" w:space="0" w:color="auto"/>
                      </w:divBdr>
                    </w:div>
                  </w:divsChild>
                </w:div>
                <w:div w:id="1547330618">
                  <w:marLeft w:val="0"/>
                  <w:marRight w:val="0"/>
                  <w:marTop w:val="0"/>
                  <w:marBottom w:val="0"/>
                  <w:divBdr>
                    <w:top w:val="none" w:sz="0" w:space="0" w:color="auto"/>
                    <w:left w:val="none" w:sz="0" w:space="0" w:color="auto"/>
                    <w:bottom w:val="none" w:sz="0" w:space="0" w:color="auto"/>
                    <w:right w:val="none" w:sz="0" w:space="0" w:color="auto"/>
                  </w:divBdr>
                  <w:divsChild>
                    <w:div w:id="143013667">
                      <w:marLeft w:val="0"/>
                      <w:marRight w:val="0"/>
                      <w:marTop w:val="0"/>
                      <w:marBottom w:val="0"/>
                      <w:divBdr>
                        <w:top w:val="none" w:sz="0" w:space="0" w:color="auto"/>
                        <w:left w:val="none" w:sz="0" w:space="0" w:color="auto"/>
                        <w:bottom w:val="none" w:sz="0" w:space="0" w:color="auto"/>
                        <w:right w:val="none" w:sz="0" w:space="0" w:color="auto"/>
                      </w:divBdr>
                    </w:div>
                  </w:divsChild>
                </w:div>
                <w:div w:id="1609659026">
                  <w:marLeft w:val="0"/>
                  <w:marRight w:val="0"/>
                  <w:marTop w:val="0"/>
                  <w:marBottom w:val="0"/>
                  <w:divBdr>
                    <w:top w:val="none" w:sz="0" w:space="0" w:color="auto"/>
                    <w:left w:val="none" w:sz="0" w:space="0" w:color="auto"/>
                    <w:bottom w:val="none" w:sz="0" w:space="0" w:color="auto"/>
                    <w:right w:val="none" w:sz="0" w:space="0" w:color="auto"/>
                  </w:divBdr>
                  <w:divsChild>
                    <w:div w:id="221334632">
                      <w:marLeft w:val="0"/>
                      <w:marRight w:val="0"/>
                      <w:marTop w:val="0"/>
                      <w:marBottom w:val="0"/>
                      <w:divBdr>
                        <w:top w:val="none" w:sz="0" w:space="0" w:color="auto"/>
                        <w:left w:val="none" w:sz="0" w:space="0" w:color="auto"/>
                        <w:bottom w:val="none" w:sz="0" w:space="0" w:color="auto"/>
                        <w:right w:val="none" w:sz="0" w:space="0" w:color="auto"/>
                      </w:divBdr>
                    </w:div>
                  </w:divsChild>
                </w:div>
                <w:div w:id="1707870132">
                  <w:marLeft w:val="0"/>
                  <w:marRight w:val="0"/>
                  <w:marTop w:val="0"/>
                  <w:marBottom w:val="0"/>
                  <w:divBdr>
                    <w:top w:val="none" w:sz="0" w:space="0" w:color="auto"/>
                    <w:left w:val="none" w:sz="0" w:space="0" w:color="auto"/>
                    <w:bottom w:val="none" w:sz="0" w:space="0" w:color="auto"/>
                    <w:right w:val="none" w:sz="0" w:space="0" w:color="auto"/>
                  </w:divBdr>
                  <w:divsChild>
                    <w:div w:id="1989938656">
                      <w:marLeft w:val="0"/>
                      <w:marRight w:val="0"/>
                      <w:marTop w:val="0"/>
                      <w:marBottom w:val="0"/>
                      <w:divBdr>
                        <w:top w:val="none" w:sz="0" w:space="0" w:color="auto"/>
                        <w:left w:val="none" w:sz="0" w:space="0" w:color="auto"/>
                        <w:bottom w:val="none" w:sz="0" w:space="0" w:color="auto"/>
                        <w:right w:val="none" w:sz="0" w:space="0" w:color="auto"/>
                      </w:divBdr>
                    </w:div>
                  </w:divsChild>
                </w:div>
                <w:div w:id="1812674464">
                  <w:marLeft w:val="0"/>
                  <w:marRight w:val="0"/>
                  <w:marTop w:val="0"/>
                  <w:marBottom w:val="0"/>
                  <w:divBdr>
                    <w:top w:val="none" w:sz="0" w:space="0" w:color="auto"/>
                    <w:left w:val="none" w:sz="0" w:space="0" w:color="auto"/>
                    <w:bottom w:val="none" w:sz="0" w:space="0" w:color="auto"/>
                    <w:right w:val="none" w:sz="0" w:space="0" w:color="auto"/>
                  </w:divBdr>
                  <w:divsChild>
                    <w:div w:id="512457506">
                      <w:marLeft w:val="0"/>
                      <w:marRight w:val="0"/>
                      <w:marTop w:val="0"/>
                      <w:marBottom w:val="0"/>
                      <w:divBdr>
                        <w:top w:val="none" w:sz="0" w:space="0" w:color="auto"/>
                        <w:left w:val="none" w:sz="0" w:space="0" w:color="auto"/>
                        <w:bottom w:val="none" w:sz="0" w:space="0" w:color="auto"/>
                        <w:right w:val="none" w:sz="0" w:space="0" w:color="auto"/>
                      </w:divBdr>
                    </w:div>
                  </w:divsChild>
                </w:div>
                <w:div w:id="1838961111">
                  <w:marLeft w:val="0"/>
                  <w:marRight w:val="0"/>
                  <w:marTop w:val="0"/>
                  <w:marBottom w:val="0"/>
                  <w:divBdr>
                    <w:top w:val="none" w:sz="0" w:space="0" w:color="auto"/>
                    <w:left w:val="none" w:sz="0" w:space="0" w:color="auto"/>
                    <w:bottom w:val="none" w:sz="0" w:space="0" w:color="auto"/>
                    <w:right w:val="none" w:sz="0" w:space="0" w:color="auto"/>
                  </w:divBdr>
                  <w:divsChild>
                    <w:div w:id="490872006">
                      <w:marLeft w:val="0"/>
                      <w:marRight w:val="0"/>
                      <w:marTop w:val="0"/>
                      <w:marBottom w:val="0"/>
                      <w:divBdr>
                        <w:top w:val="none" w:sz="0" w:space="0" w:color="auto"/>
                        <w:left w:val="none" w:sz="0" w:space="0" w:color="auto"/>
                        <w:bottom w:val="none" w:sz="0" w:space="0" w:color="auto"/>
                        <w:right w:val="none" w:sz="0" w:space="0" w:color="auto"/>
                      </w:divBdr>
                    </w:div>
                  </w:divsChild>
                </w:div>
                <w:div w:id="1847086116">
                  <w:marLeft w:val="0"/>
                  <w:marRight w:val="0"/>
                  <w:marTop w:val="0"/>
                  <w:marBottom w:val="0"/>
                  <w:divBdr>
                    <w:top w:val="none" w:sz="0" w:space="0" w:color="auto"/>
                    <w:left w:val="none" w:sz="0" w:space="0" w:color="auto"/>
                    <w:bottom w:val="none" w:sz="0" w:space="0" w:color="auto"/>
                    <w:right w:val="none" w:sz="0" w:space="0" w:color="auto"/>
                  </w:divBdr>
                  <w:divsChild>
                    <w:div w:id="413745540">
                      <w:marLeft w:val="0"/>
                      <w:marRight w:val="0"/>
                      <w:marTop w:val="0"/>
                      <w:marBottom w:val="0"/>
                      <w:divBdr>
                        <w:top w:val="none" w:sz="0" w:space="0" w:color="auto"/>
                        <w:left w:val="none" w:sz="0" w:space="0" w:color="auto"/>
                        <w:bottom w:val="none" w:sz="0" w:space="0" w:color="auto"/>
                        <w:right w:val="none" w:sz="0" w:space="0" w:color="auto"/>
                      </w:divBdr>
                    </w:div>
                  </w:divsChild>
                </w:div>
                <w:div w:id="1992636294">
                  <w:marLeft w:val="0"/>
                  <w:marRight w:val="0"/>
                  <w:marTop w:val="0"/>
                  <w:marBottom w:val="0"/>
                  <w:divBdr>
                    <w:top w:val="none" w:sz="0" w:space="0" w:color="auto"/>
                    <w:left w:val="none" w:sz="0" w:space="0" w:color="auto"/>
                    <w:bottom w:val="none" w:sz="0" w:space="0" w:color="auto"/>
                    <w:right w:val="none" w:sz="0" w:space="0" w:color="auto"/>
                  </w:divBdr>
                  <w:divsChild>
                    <w:div w:id="113259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870366">
          <w:marLeft w:val="0"/>
          <w:marRight w:val="0"/>
          <w:marTop w:val="0"/>
          <w:marBottom w:val="0"/>
          <w:divBdr>
            <w:top w:val="none" w:sz="0" w:space="0" w:color="auto"/>
            <w:left w:val="none" w:sz="0" w:space="0" w:color="auto"/>
            <w:bottom w:val="none" w:sz="0" w:space="0" w:color="auto"/>
            <w:right w:val="none" w:sz="0" w:space="0" w:color="auto"/>
          </w:divBdr>
        </w:div>
      </w:divsChild>
    </w:div>
    <w:div w:id="1501001222">
      <w:bodyDiv w:val="1"/>
      <w:marLeft w:val="0"/>
      <w:marRight w:val="0"/>
      <w:marTop w:val="0"/>
      <w:marBottom w:val="0"/>
      <w:divBdr>
        <w:top w:val="none" w:sz="0" w:space="0" w:color="auto"/>
        <w:left w:val="none" w:sz="0" w:space="0" w:color="auto"/>
        <w:bottom w:val="none" w:sz="0" w:space="0" w:color="auto"/>
        <w:right w:val="none" w:sz="0" w:space="0" w:color="auto"/>
      </w:divBdr>
    </w:div>
    <w:div w:id="1528642891">
      <w:bodyDiv w:val="1"/>
      <w:marLeft w:val="0"/>
      <w:marRight w:val="0"/>
      <w:marTop w:val="0"/>
      <w:marBottom w:val="0"/>
      <w:divBdr>
        <w:top w:val="none" w:sz="0" w:space="0" w:color="auto"/>
        <w:left w:val="none" w:sz="0" w:space="0" w:color="auto"/>
        <w:bottom w:val="none" w:sz="0" w:space="0" w:color="auto"/>
        <w:right w:val="none" w:sz="0" w:space="0" w:color="auto"/>
      </w:divBdr>
    </w:div>
    <w:div w:id="1556089359">
      <w:bodyDiv w:val="1"/>
      <w:marLeft w:val="0"/>
      <w:marRight w:val="0"/>
      <w:marTop w:val="0"/>
      <w:marBottom w:val="0"/>
      <w:divBdr>
        <w:top w:val="none" w:sz="0" w:space="0" w:color="auto"/>
        <w:left w:val="none" w:sz="0" w:space="0" w:color="auto"/>
        <w:bottom w:val="none" w:sz="0" w:space="0" w:color="auto"/>
        <w:right w:val="none" w:sz="0" w:space="0" w:color="auto"/>
      </w:divBdr>
    </w:div>
    <w:div w:id="1607928405">
      <w:bodyDiv w:val="1"/>
      <w:marLeft w:val="0"/>
      <w:marRight w:val="0"/>
      <w:marTop w:val="0"/>
      <w:marBottom w:val="0"/>
      <w:divBdr>
        <w:top w:val="none" w:sz="0" w:space="0" w:color="auto"/>
        <w:left w:val="none" w:sz="0" w:space="0" w:color="auto"/>
        <w:bottom w:val="none" w:sz="0" w:space="0" w:color="auto"/>
        <w:right w:val="none" w:sz="0" w:space="0" w:color="auto"/>
      </w:divBdr>
    </w:div>
    <w:div w:id="1649286325">
      <w:bodyDiv w:val="1"/>
      <w:marLeft w:val="0"/>
      <w:marRight w:val="0"/>
      <w:marTop w:val="0"/>
      <w:marBottom w:val="0"/>
      <w:divBdr>
        <w:top w:val="none" w:sz="0" w:space="0" w:color="auto"/>
        <w:left w:val="none" w:sz="0" w:space="0" w:color="auto"/>
        <w:bottom w:val="none" w:sz="0" w:space="0" w:color="auto"/>
        <w:right w:val="none" w:sz="0" w:space="0" w:color="auto"/>
      </w:divBdr>
    </w:div>
    <w:div w:id="1694959920">
      <w:bodyDiv w:val="1"/>
      <w:marLeft w:val="0"/>
      <w:marRight w:val="0"/>
      <w:marTop w:val="0"/>
      <w:marBottom w:val="0"/>
      <w:divBdr>
        <w:top w:val="none" w:sz="0" w:space="0" w:color="auto"/>
        <w:left w:val="none" w:sz="0" w:space="0" w:color="auto"/>
        <w:bottom w:val="none" w:sz="0" w:space="0" w:color="auto"/>
        <w:right w:val="none" w:sz="0" w:space="0" w:color="auto"/>
      </w:divBdr>
    </w:div>
    <w:div w:id="1708867235">
      <w:bodyDiv w:val="1"/>
      <w:marLeft w:val="0"/>
      <w:marRight w:val="0"/>
      <w:marTop w:val="0"/>
      <w:marBottom w:val="0"/>
      <w:divBdr>
        <w:top w:val="none" w:sz="0" w:space="0" w:color="auto"/>
        <w:left w:val="none" w:sz="0" w:space="0" w:color="auto"/>
        <w:bottom w:val="none" w:sz="0" w:space="0" w:color="auto"/>
        <w:right w:val="none" w:sz="0" w:space="0" w:color="auto"/>
      </w:divBdr>
    </w:div>
    <w:div w:id="1713651800">
      <w:bodyDiv w:val="1"/>
      <w:marLeft w:val="0"/>
      <w:marRight w:val="0"/>
      <w:marTop w:val="0"/>
      <w:marBottom w:val="0"/>
      <w:divBdr>
        <w:top w:val="none" w:sz="0" w:space="0" w:color="auto"/>
        <w:left w:val="none" w:sz="0" w:space="0" w:color="auto"/>
        <w:bottom w:val="none" w:sz="0" w:space="0" w:color="auto"/>
        <w:right w:val="none" w:sz="0" w:space="0" w:color="auto"/>
      </w:divBdr>
    </w:div>
    <w:div w:id="1715695288">
      <w:bodyDiv w:val="1"/>
      <w:marLeft w:val="0"/>
      <w:marRight w:val="0"/>
      <w:marTop w:val="0"/>
      <w:marBottom w:val="0"/>
      <w:divBdr>
        <w:top w:val="none" w:sz="0" w:space="0" w:color="auto"/>
        <w:left w:val="none" w:sz="0" w:space="0" w:color="auto"/>
        <w:bottom w:val="none" w:sz="0" w:space="0" w:color="auto"/>
        <w:right w:val="none" w:sz="0" w:space="0" w:color="auto"/>
      </w:divBdr>
    </w:div>
    <w:div w:id="1728456198">
      <w:bodyDiv w:val="1"/>
      <w:marLeft w:val="0"/>
      <w:marRight w:val="0"/>
      <w:marTop w:val="0"/>
      <w:marBottom w:val="0"/>
      <w:divBdr>
        <w:top w:val="none" w:sz="0" w:space="0" w:color="auto"/>
        <w:left w:val="none" w:sz="0" w:space="0" w:color="auto"/>
        <w:bottom w:val="none" w:sz="0" w:space="0" w:color="auto"/>
        <w:right w:val="none" w:sz="0" w:space="0" w:color="auto"/>
      </w:divBdr>
    </w:div>
    <w:div w:id="1734037215">
      <w:bodyDiv w:val="1"/>
      <w:marLeft w:val="0"/>
      <w:marRight w:val="0"/>
      <w:marTop w:val="0"/>
      <w:marBottom w:val="0"/>
      <w:divBdr>
        <w:top w:val="none" w:sz="0" w:space="0" w:color="auto"/>
        <w:left w:val="none" w:sz="0" w:space="0" w:color="auto"/>
        <w:bottom w:val="none" w:sz="0" w:space="0" w:color="auto"/>
        <w:right w:val="none" w:sz="0" w:space="0" w:color="auto"/>
      </w:divBdr>
      <w:divsChild>
        <w:div w:id="204566904">
          <w:marLeft w:val="0"/>
          <w:marRight w:val="0"/>
          <w:marTop w:val="0"/>
          <w:marBottom w:val="0"/>
          <w:divBdr>
            <w:top w:val="none" w:sz="0" w:space="0" w:color="auto"/>
            <w:left w:val="none" w:sz="0" w:space="0" w:color="auto"/>
            <w:bottom w:val="none" w:sz="0" w:space="0" w:color="auto"/>
            <w:right w:val="none" w:sz="0" w:space="0" w:color="auto"/>
          </w:divBdr>
        </w:div>
        <w:div w:id="668946257">
          <w:marLeft w:val="0"/>
          <w:marRight w:val="0"/>
          <w:marTop w:val="0"/>
          <w:marBottom w:val="0"/>
          <w:divBdr>
            <w:top w:val="none" w:sz="0" w:space="0" w:color="auto"/>
            <w:left w:val="none" w:sz="0" w:space="0" w:color="auto"/>
            <w:bottom w:val="none" w:sz="0" w:space="0" w:color="auto"/>
            <w:right w:val="none" w:sz="0" w:space="0" w:color="auto"/>
          </w:divBdr>
        </w:div>
        <w:div w:id="2102291578">
          <w:marLeft w:val="0"/>
          <w:marRight w:val="0"/>
          <w:marTop w:val="0"/>
          <w:marBottom w:val="0"/>
          <w:divBdr>
            <w:top w:val="none" w:sz="0" w:space="0" w:color="auto"/>
            <w:left w:val="none" w:sz="0" w:space="0" w:color="auto"/>
            <w:bottom w:val="none" w:sz="0" w:space="0" w:color="auto"/>
            <w:right w:val="none" w:sz="0" w:space="0" w:color="auto"/>
          </w:divBdr>
          <w:divsChild>
            <w:div w:id="630401680">
              <w:marLeft w:val="-75"/>
              <w:marRight w:val="0"/>
              <w:marTop w:val="30"/>
              <w:marBottom w:val="30"/>
              <w:divBdr>
                <w:top w:val="none" w:sz="0" w:space="0" w:color="auto"/>
                <w:left w:val="none" w:sz="0" w:space="0" w:color="auto"/>
                <w:bottom w:val="none" w:sz="0" w:space="0" w:color="auto"/>
                <w:right w:val="none" w:sz="0" w:space="0" w:color="auto"/>
              </w:divBdr>
              <w:divsChild>
                <w:div w:id="18892138">
                  <w:marLeft w:val="0"/>
                  <w:marRight w:val="0"/>
                  <w:marTop w:val="0"/>
                  <w:marBottom w:val="0"/>
                  <w:divBdr>
                    <w:top w:val="none" w:sz="0" w:space="0" w:color="auto"/>
                    <w:left w:val="none" w:sz="0" w:space="0" w:color="auto"/>
                    <w:bottom w:val="none" w:sz="0" w:space="0" w:color="auto"/>
                    <w:right w:val="none" w:sz="0" w:space="0" w:color="auto"/>
                  </w:divBdr>
                  <w:divsChild>
                    <w:div w:id="1135026388">
                      <w:marLeft w:val="0"/>
                      <w:marRight w:val="0"/>
                      <w:marTop w:val="0"/>
                      <w:marBottom w:val="0"/>
                      <w:divBdr>
                        <w:top w:val="none" w:sz="0" w:space="0" w:color="auto"/>
                        <w:left w:val="none" w:sz="0" w:space="0" w:color="auto"/>
                        <w:bottom w:val="none" w:sz="0" w:space="0" w:color="auto"/>
                        <w:right w:val="none" w:sz="0" w:space="0" w:color="auto"/>
                      </w:divBdr>
                    </w:div>
                  </w:divsChild>
                </w:div>
                <w:div w:id="77991348">
                  <w:marLeft w:val="0"/>
                  <w:marRight w:val="0"/>
                  <w:marTop w:val="0"/>
                  <w:marBottom w:val="0"/>
                  <w:divBdr>
                    <w:top w:val="none" w:sz="0" w:space="0" w:color="auto"/>
                    <w:left w:val="none" w:sz="0" w:space="0" w:color="auto"/>
                    <w:bottom w:val="none" w:sz="0" w:space="0" w:color="auto"/>
                    <w:right w:val="none" w:sz="0" w:space="0" w:color="auto"/>
                  </w:divBdr>
                  <w:divsChild>
                    <w:div w:id="454063680">
                      <w:marLeft w:val="0"/>
                      <w:marRight w:val="0"/>
                      <w:marTop w:val="0"/>
                      <w:marBottom w:val="0"/>
                      <w:divBdr>
                        <w:top w:val="none" w:sz="0" w:space="0" w:color="auto"/>
                        <w:left w:val="none" w:sz="0" w:space="0" w:color="auto"/>
                        <w:bottom w:val="none" w:sz="0" w:space="0" w:color="auto"/>
                        <w:right w:val="none" w:sz="0" w:space="0" w:color="auto"/>
                      </w:divBdr>
                    </w:div>
                    <w:div w:id="513107955">
                      <w:marLeft w:val="0"/>
                      <w:marRight w:val="0"/>
                      <w:marTop w:val="0"/>
                      <w:marBottom w:val="0"/>
                      <w:divBdr>
                        <w:top w:val="none" w:sz="0" w:space="0" w:color="auto"/>
                        <w:left w:val="none" w:sz="0" w:space="0" w:color="auto"/>
                        <w:bottom w:val="none" w:sz="0" w:space="0" w:color="auto"/>
                        <w:right w:val="none" w:sz="0" w:space="0" w:color="auto"/>
                      </w:divBdr>
                    </w:div>
                    <w:div w:id="2043438121">
                      <w:marLeft w:val="0"/>
                      <w:marRight w:val="0"/>
                      <w:marTop w:val="0"/>
                      <w:marBottom w:val="0"/>
                      <w:divBdr>
                        <w:top w:val="none" w:sz="0" w:space="0" w:color="auto"/>
                        <w:left w:val="none" w:sz="0" w:space="0" w:color="auto"/>
                        <w:bottom w:val="none" w:sz="0" w:space="0" w:color="auto"/>
                        <w:right w:val="none" w:sz="0" w:space="0" w:color="auto"/>
                      </w:divBdr>
                    </w:div>
                  </w:divsChild>
                </w:div>
                <w:div w:id="121580744">
                  <w:marLeft w:val="0"/>
                  <w:marRight w:val="0"/>
                  <w:marTop w:val="0"/>
                  <w:marBottom w:val="0"/>
                  <w:divBdr>
                    <w:top w:val="none" w:sz="0" w:space="0" w:color="auto"/>
                    <w:left w:val="none" w:sz="0" w:space="0" w:color="auto"/>
                    <w:bottom w:val="none" w:sz="0" w:space="0" w:color="auto"/>
                    <w:right w:val="none" w:sz="0" w:space="0" w:color="auto"/>
                  </w:divBdr>
                  <w:divsChild>
                    <w:div w:id="729033454">
                      <w:marLeft w:val="0"/>
                      <w:marRight w:val="0"/>
                      <w:marTop w:val="0"/>
                      <w:marBottom w:val="0"/>
                      <w:divBdr>
                        <w:top w:val="none" w:sz="0" w:space="0" w:color="auto"/>
                        <w:left w:val="none" w:sz="0" w:space="0" w:color="auto"/>
                        <w:bottom w:val="none" w:sz="0" w:space="0" w:color="auto"/>
                        <w:right w:val="none" w:sz="0" w:space="0" w:color="auto"/>
                      </w:divBdr>
                    </w:div>
                  </w:divsChild>
                </w:div>
                <w:div w:id="153953257">
                  <w:marLeft w:val="0"/>
                  <w:marRight w:val="0"/>
                  <w:marTop w:val="0"/>
                  <w:marBottom w:val="0"/>
                  <w:divBdr>
                    <w:top w:val="none" w:sz="0" w:space="0" w:color="auto"/>
                    <w:left w:val="none" w:sz="0" w:space="0" w:color="auto"/>
                    <w:bottom w:val="none" w:sz="0" w:space="0" w:color="auto"/>
                    <w:right w:val="none" w:sz="0" w:space="0" w:color="auto"/>
                  </w:divBdr>
                  <w:divsChild>
                    <w:div w:id="2128616063">
                      <w:marLeft w:val="0"/>
                      <w:marRight w:val="0"/>
                      <w:marTop w:val="0"/>
                      <w:marBottom w:val="0"/>
                      <w:divBdr>
                        <w:top w:val="none" w:sz="0" w:space="0" w:color="auto"/>
                        <w:left w:val="none" w:sz="0" w:space="0" w:color="auto"/>
                        <w:bottom w:val="none" w:sz="0" w:space="0" w:color="auto"/>
                        <w:right w:val="none" w:sz="0" w:space="0" w:color="auto"/>
                      </w:divBdr>
                    </w:div>
                  </w:divsChild>
                </w:div>
                <w:div w:id="164781700">
                  <w:marLeft w:val="0"/>
                  <w:marRight w:val="0"/>
                  <w:marTop w:val="0"/>
                  <w:marBottom w:val="0"/>
                  <w:divBdr>
                    <w:top w:val="none" w:sz="0" w:space="0" w:color="auto"/>
                    <w:left w:val="none" w:sz="0" w:space="0" w:color="auto"/>
                    <w:bottom w:val="none" w:sz="0" w:space="0" w:color="auto"/>
                    <w:right w:val="none" w:sz="0" w:space="0" w:color="auto"/>
                  </w:divBdr>
                  <w:divsChild>
                    <w:div w:id="1763455597">
                      <w:marLeft w:val="0"/>
                      <w:marRight w:val="0"/>
                      <w:marTop w:val="0"/>
                      <w:marBottom w:val="0"/>
                      <w:divBdr>
                        <w:top w:val="none" w:sz="0" w:space="0" w:color="auto"/>
                        <w:left w:val="none" w:sz="0" w:space="0" w:color="auto"/>
                        <w:bottom w:val="none" w:sz="0" w:space="0" w:color="auto"/>
                        <w:right w:val="none" w:sz="0" w:space="0" w:color="auto"/>
                      </w:divBdr>
                    </w:div>
                  </w:divsChild>
                </w:div>
                <w:div w:id="344944861">
                  <w:marLeft w:val="0"/>
                  <w:marRight w:val="0"/>
                  <w:marTop w:val="0"/>
                  <w:marBottom w:val="0"/>
                  <w:divBdr>
                    <w:top w:val="none" w:sz="0" w:space="0" w:color="auto"/>
                    <w:left w:val="none" w:sz="0" w:space="0" w:color="auto"/>
                    <w:bottom w:val="none" w:sz="0" w:space="0" w:color="auto"/>
                    <w:right w:val="none" w:sz="0" w:space="0" w:color="auto"/>
                  </w:divBdr>
                  <w:divsChild>
                    <w:div w:id="1775251740">
                      <w:marLeft w:val="0"/>
                      <w:marRight w:val="0"/>
                      <w:marTop w:val="0"/>
                      <w:marBottom w:val="0"/>
                      <w:divBdr>
                        <w:top w:val="none" w:sz="0" w:space="0" w:color="auto"/>
                        <w:left w:val="none" w:sz="0" w:space="0" w:color="auto"/>
                        <w:bottom w:val="none" w:sz="0" w:space="0" w:color="auto"/>
                        <w:right w:val="none" w:sz="0" w:space="0" w:color="auto"/>
                      </w:divBdr>
                    </w:div>
                  </w:divsChild>
                </w:div>
                <w:div w:id="354769248">
                  <w:marLeft w:val="0"/>
                  <w:marRight w:val="0"/>
                  <w:marTop w:val="0"/>
                  <w:marBottom w:val="0"/>
                  <w:divBdr>
                    <w:top w:val="none" w:sz="0" w:space="0" w:color="auto"/>
                    <w:left w:val="none" w:sz="0" w:space="0" w:color="auto"/>
                    <w:bottom w:val="none" w:sz="0" w:space="0" w:color="auto"/>
                    <w:right w:val="none" w:sz="0" w:space="0" w:color="auto"/>
                  </w:divBdr>
                  <w:divsChild>
                    <w:div w:id="2132431932">
                      <w:marLeft w:val="0"/>
                      <w:marRight w:val="0"/>
                      <w:marTop w:val="0"/>
                      <w:marBottom w:val="0"/>
                      <w:divBdr>
                        <w:top w:val="none" w:sz="0" w:space="0" w:color="auto"/>
                        <w:left w:val="none" w:sz="0" w:space="0" w:color="auto"/>
                        <w:bottom w:val="none" w:sz="0" w:space="0" w:color="auto"/>
                        <w:right w:val="none" w:sz="0" w:space="0" w:color="auto"/>
                      </w:divBdr>
                    </w:div>
                  </w:divsChild>
                </w:div>
                <w:div w:id="381907578">
                  <w:marLeft w:val="0"/>
                  <w:marRight w:val="0"/>
                  <w:marTop w:val="0"/>
                  <w:marBottom w:val="0"/>
                  <w:divBdr>
                    <w:top w:val="none" w:sz="0" w:space="0" w:color="auto"/>
                    <w:left w:val="none" w:sz="0" w:space="0" w:color="auto"/>
                    <w:bottom w:val="none" w:sz="0" w:space="0" w:color="auto"/>
                    <w:right w:val="none" w:sz="0" w:space="0" w:color="auto"/>
                  </w:divBdr>
                  <w:divsChild>
                    <w:div w:id="298390193">
                      <w:marLeft w:val="0"/>
                      <w:marRight w:val="0"/>
                      <w:marTop w:val="0"/>
                      <w:marBottom w:val="0"/>
                      <w:divBdr>
                        <w:top w:val="none" w:sz="0" w:space="0" w:color="auto"/>
                        <w:left w:val="none" w:sz="0" w:space="0" w:color="auto"/>
                        <w:bottom w:val="none" w:sz="0" w:space="0" w:color="auto"/>
                        <w:right w:val="none" w:sz="0" w:space="0" w:color="auto"/>
                      </w:divBdr>
                    </w:div>
                  </w:divsChild>
                </w:div>
                <w:div w:id="446857097">
                  <w:marLeft w:val="0"/>
                  <w:marRight w:val="0"/>
                  <w:marTop w:val="0"/>
                  <w:marBottom w:val="0"/>
                  <w:divBdr>
                    <w:top w:val="none" w:sz="0" w:space="0" w:color="auto"/>
                    <w:left w:val="none" w:sz="0" w:space="0" w:color="auto"/>
                    <w:bottom w:val="none" w:sz="0" w:space="0" w:color="auto"/>
                    <w:right w:val="none" w:sz="0" w:space="0" w:color="auto"/>
                  </w:divBdr>
                  <w:divsChild>
                    <w:div w:id="511260983">
                      <w:marLeft w:val="0"/>
                      <w:marRight w:val="0"/>
                      <w:marTop w:val="0"/>
                      <w:marBottom w:val="0"/>
                      <w:divBdr>
                        <w:top w:val="none" w:sz="0" w:space="0" w:color="auto"/>
                        <w:left w:val="none" w:sz="0" w:space="0" w:color="auto"/>
                        <w:bottom w:val="none" w:sz="0" w:space="0" w:color="auto"/>
                        <w:right w:val="none" w:sz="0" w:space="0" w:color="auto"/>
                      </w:divBdr>
                    </w:div>
                  </w:divsChild>
                </w:div>
                <w:div w:id="447630198">
                  <w:marLeft w:val="0"/>
                  <w:marRight w:val="0"/>
                  <w:marTop w:val="0"/>
                  <w:marBottom w:val="0"/>
                  <w:divBdr>
                    <w:top w:val="none" w:sz="0" w:space="0" w:color="auto"/>
                    <w:left w:val="none" w:sz="0" w:space="0" w:color="auto"/>
                    <w:bottom w:val="none" w:sz="0" w:space="0" w:color="auto"/>
                    <w:right w:val="none" w:sz="0" w:space="0" w:color="auto"/>
                  </w:divBdr>
                  <w:divsChild>
                    <w:div w:id="1211695625">
                      <w:marLeft w:val="0"/>
                      <w:marRight w:val="0"/>
                      <w:marTop w:val="0"/>
                      <w:marBottom w:val="0"/>
                      <w:divBdr>
                        <w:top w:val="none" w:sz="0" w:space="0" w:color="auto"/>
                        <w:left w:val="none" w:sz="0" w:space="0" w:color="auto"/>
                        <w:bottom w:val="none" w:sz="0" w:space="0" w:color="auto"/>
                        <w:right w:val="none" w:sz="0" w:space="0" w:color="auto"/>
                      </w:divBdr>
                    </w:div>
                  </w:divsChild>
                </w:div>
                <w:div w:id="459150543">
                  <w:marLeft w:val="0"/>
                  <w:marRight w:val="0"/>
                  <w:marTop w:val="0"/>
                  <w:marBottom w:val="0"/>
                  <w:divBdr>
                    <w:top w:val="none" w:sz="0" w:space="0" w:color="auto"/>
                    <w:left w:val="none" w:sz="0" w:space="0" w:color="auto"/>
                    <w:bottom w:val="none" w:sz="0" w:space="0" w:color="auto"/>
                    <w:right w:val="none" w:sz="0" w:space="0" w:color="auto"/>
                  </w:divBdr>
                  <w:divsChild>
                    <w:div w:id="852649965">
                      <w:marLeft w:val="0"/>
                      <w:marRight w:val="0"/>
                      <w:marTop w:val="0"/>
                      <w:marBottom w:val="0"/>
                      <w:divBdr>
                        <w:top w:val="none" w:sz="0" w:space="0" w:color="auto"/>
                        <w:left w:val="none" w:sz="0" w:space="0" w:color="auto"/>
                        <w:bottom w:val="none" w:sz="0" w:space="0" w:color="auto"/>
                        <w:right w:val="none" w:sz="0" w:space="0" w:color="auto"/>
                      </w:divBdr>
                    </w:div>
                  </w:divsChild>
                </w:div>
                <w:div w:id="741298413">
                  <w:marLeft w:val="0"/>
                  <w:marRight w:val="0"/>
                  <w:marTop w:val="0"/>
                  <w:marBottom w:val="0"/>
                  <w:divBdr>
                    <w:top w:val="none" w:sz="0" w:space="0" w:color="auto"/>
                    <w:left w:val="none" w:sz="0" w:space="0" w:color="auto"/>
                    <w:bottom w:val="none" w:sz="0" w:space="0" w:color="auto"/>
                    <w:right w:val="none" w:sz="0" w:space="0" w:color="auto"/>
                  </w:divBdr>
                  <w:divsChild>
                    <w:div w:id="20977039">
                      <w:marLeft w:val="0"/>
                      <w:marRight w:val="0"/>
                      <w:marTop w:val="0"/>
                      <w:marBottom w:val="0"/>
                      <w:divBdr>
                        <w:top w:val="none" w:sz="0" w:space="0" w:color="auto"/>
                        <w:left w:val="none" w:sz="0" w:space="0" w:color="auto"/>
                        <w:bottom w:val="none" w:sz="0" w:space="0" w:color="auto"/>
                        <w:right w:val="none" w:sz="0" w:space="0" w:color="auto"/>
                      </w:divBdr>
                    </w:div>
                  </w:divsChild>
                </w:div>
                <w:div w:id="864947724">
                  <w:marLeft w:val="0"/>
                  <w:marRight w:val="0"/>
                  <w:marTop w:val="0"/>
                  <w:marBottom w:val="0"/>
                  <w:divBdr>
                    <w:top w:val="none" w:sz="0" w:space="0" w:color="auto"/>
                    <w:left w:val="none" w:sz="0" w:space="0" w:color="auto"/>
                    <w:bottom w:val="none" w:sz="0" w:space="0" w:color="auto"/>
                    <w:right w:val="none" w:sz="0" w:space="0" w:color="auto"/>
                  </w:divBdr>
                  <w:divsChild>
                    <w:div w:id="354118011">
                      <w:marLeft w:val="0"/>
                      <w:marRight w:val="0"/>
                      <w:marTop w:val="0"/>
                      <w:marBottom w:val="0"/>
                      <w:divBdr>
                        <w:top w:val="none" w:sz="0" w:space="0" w:color="auto"/>
                        <w:left w:val="none" w:sz="0" w:space="0" w:color="auto"/>
                        <w:bottom w:val="none" w:sz="0" w:space="0" w:color="auto"/>
                        <w:right w:val="none" w:sz="0" w:space="0" w:color="auto"/>
                      </w:divBdr>
                    </w:div>
                    <w:div w:id="426852399">
                      <w:marLeft w:val="0"/>
                      <w:marRight w:val="0"/>
                      <w:marTop w:val="0"/>
                      <w:marBottom w:val="0"/>
                      <w:divBdr>
                        <w:top w:val="none" w:sz="0" w:space="0" w:color="auto"/>
                        <w:left w:val="none" w:sz="0" w:space="0" w:color="auto"/>
                        <w:bottom w:val="none" w:sz="0" w:space="0" w:color="auto"/>
                        <w:right w:val="none" w:sz="0" w:space="0" w:color="auto"/>
                      </w:divBdr>
                    </w:div>
                    <w:div w:id="1177844696">
                      <w:marLeft w:val="0"/>
                      <w:marRight w:val="0"/>
                      <w:marTop w:val="0"/>
                      <w:marBottom w:val="0"/>
                      <w:divBdr>
                        <w:top w:val="none" w:sz="0" w:space="0" w:color="auto"/>
                        <w:left w:val="none" w:sz="0" w:space="0" w:color="auto"/>
                        <w:bottom w:val="none" w:sz="0" w:space="0" w:color="auto"/>
                        <w:right w:val="none" w:sz="0" w:space="0" w:color="auto"/>
                      </w:divBdr>
                    </w:div>
                    <w:div w:id="1179276787">
                      <w:marLeft w:val="0"/>
                      <w:marRight w:val="0"/>
                      <w:marTop w:val="0"/>
                      <w:marBottom w:val="0"/>
                      <w:divBdr>
                        <w:top w:val="none" w:sz="0" w:space="0" w:color="auto"/>
                        <w:left w:val="none" w:sz="0" w:space="0" w:color="auto"/>
                        <w:bottom w:val="none" w:sz="0" w:space="0" w:color="auto"/>
                        <w:right w:val="none" w:sz="0" w:space="0" w:color="auto"/>
                      </w:divBdr>
                    </w:div>
                    <w:div w:id="1351764000">
                      <w:marLeft w:val="0"/>
                      <w:marRight w:val="0"/>
                      <w:marTop w:val="0"/>
                      <w:marBottom w:val="0"/>
                      <w:divBdr>
                        <w:top w:val="none" w:sz="0" w:space="0" w:color="auto"/>
                        <w:left w:val="none" w:sz="0" w:space="0" w:color="auto"/>
                        <w:bottom w:val="none" w:sz="0" w:space="0" w:color="auto"/>
                        <w:right w:val="none" w:sz="0" w:space="0" w:color="auto"/>
                      </w:divBdr>
                    </w:div>
                    <w:div w:id="1571690106">
                      <w:marLeft w:val="0"/>
                      <w:marRight w:val="0"/>
                      <w:marTop w:val="0"/>
                      <w:marBottom w:val="0"/>
                      <w:divBdr>
                        <w:top w:val="none" w:sz="0" w:space="0" w:color="auto"/>
                        <w:left w:val="none" w:sz="0" w:space="0" w:color="auto"/>
                        <w:bottom w:val="none" w:sz="0" w:space="0" w:color="auto"/>
                        <w:right w:val="none" w:sz="0" w:space="0" w:color="auto"/>
                      </w:divBdr>
                    </w:div>
                    <w:div w:id="1876692991">
                      <w:marLeft w:val="0"/>
                      <w:marRight w:val="0"/>
                      <w:marTop w:val="0"/>
                      <w:marBottom w:val="0"/>
                      <w:divBdr>
                        <w:top w:val="none" w:sz="0" w:space="0" w:color="auto"/>
                        <w:left w:val="none" w:sz="0" w:space="0" w:color="auto"/>
                        <w:bottom w:val="none" w:sz="0" w:space="0" w:color="auto"/>
                        <w:right w:val="none" w:sz="0" w:space="0" w:color="auto"/>
                      </w:divBdr>
                    </w:div>
                    <w:div w:id="2119256183">
                      <w:marLeft w:val="0"/>
                      <w:marRight w:val="0"/>
                      <w:marTop w:val="0"/>
                      <w:marBottom w:val="0"/>
                      <w:divBdr>
                        <w:top w:val="none" w:sz="0" w:space="0" w:color="auto"/>
                        <w:left w:val="none" w:sz="0" w:space="0" w:color="auto"/>
                        <w:bottom w:val="none" w:sz="0" w:space="0" w:color="auto"/>
                        <w:right w:val="none" w:sz="0" w:space="0" w:color="auto"/>
                      </w:divBdr>
                    </w:div>
                  </w:divsChild>
                </w:div>
                <w:div w:id="984117242">
                  <w:marLeft w:val="0"/>
                  <w:marRight w:val="0"/>
                  <w:marTop w:val="0"/>
                  <w:marBottom w:val="0"/>
                  <w:divBdr>
                    <w:top w:val="none" w:sz="0" w:space="0" w:color="auto"/>
                    <w:left w:val="none" w:sz="0" w:space="0" w:color="auto"/>
                    <w:bottom w:val="none" w:sz="0" w:space="0" w:color="auto"/>
                    <w:right w:val="none" w:sz="0" w:space="0" w:color="auto"/>
                  </w:divBdr>
                  <w:divsChild>
                    <w:div w:id="244460465">
                      <w:marLeft w:val="0"/>
                      <w:marRight w:val="0"/>
                      <w:marTop w:val="0"/>
                      <w:marBottom w:val="0"/>
                      <w:divBdr>
                        <w:top w:val="none" w:sz="0" w:space="0" w:color="auto"/>
                        <w:left w:val="none" w:sz="0" w:space="0" w:color="auto"/>
                        <w:bottom w:val="none" w:sz="0" w:space="0" w:color="auto"/>
                        <w:right w:val="none" w:sz="0" w:space="0" w:color="auto"/>
                      </w:divBdr>
                    </w:div>
                  </w:divsChild>
                </w:div>
                <w:div w:id="1106802382">
                  <w:marLeft w:val="0"/>
                  <w:marRight w:val="0"/>
                  <w:marTop w:val="0"/>
                  <w:marBottom w:val="0"/>
                  <w:divBdr>
                    <w:top w:val="none" w:sz="0" w:space="0" w:color="auto"/>
                    <w:left w:val="none" w:sz="0" w:space="0" w:color="auto"/>
                    <w:bottom w:val="none" w:sz="0" w:space="0" w:color="auto"/>
                    <w:right w:val="none" w:sz="0" w:space="0" w:color="auto"/>
                  </w:divBdr>
                  <w:divsChild>
                    <w:div w:id="587347269">
                      <w:marLeft w:val="0"/>
                      <w:marRight w:val="0"/>
                      <w:marTop w:val="0"/>
                      <w:marBottom w:val="0"/>
                      <w:divBdr>
                        <w:top w:val="none" w:sz="0" w:space="0" w:color="auto"/>
                        <w:left w:val="none" w:sz="0" w:space="0" w:color="auto"/>
                        <w:bottom w:val="none" w:sz="0" w:space="0" w:color="auto"/>
                        <w:right w:val="none" w:sz="0" w:space="0" w:color="auto"/>
                      </w:divBdr>
                    </w:div>
                    <w:div w:id="1372538926">
                      <w:marLeft w:val="0"/>
                      <w:marRight w:val="0"/>
                      <w:marTop w:val="0"/>
                      <w:marBottom w:val="0"/>
                      <w:divBdr>
                        <w:top w:val="none" w:sz="0" w:space="0" w:color="auto"/>
                        <w:left w:val="none" w:sz="0" w:space="0" w:color="auto"/>
                        <w:bottom w:val="none" w:sz="0" w:space="0" w:color="auto"/>
                        <w:right w:val="none" w:sz="0" w:space="0" w:color="auto"/>
                      </w:divBdr>
                    </w:div>
                    <w:div w:id="1468350530">
                      <w:marLeft w:val="0"/>
                      <w:marRight w:val="0"/>
                      <w:marTop w:val="0"/>
                      <w:marBottom w:val="0"/>
                      <w:divBdr>
                        <w:top w:val="none" w:sz="0" w:space="0" w:color="auto"/>
                        <w:left w:val="none" w:sz="0" w:space="0" w:color="auto"/>
                        <w:bottom w:val="none" w:sz="0" w:space="0" w:color="auto"/>
                        <w:right w:val="none" w:sz="0" w:space="0" w:color="auto"/>
                      </w:divBdr>
                    </w:div>
                  </w:divsChild>
                </w:div>
                <w:div w:id="1256135066">
                  <w:marLeft w:val="0"/>
                  <w:marRight w:val="0"/>
                  <w:marTop w:val="0"/>
                  <w:marBottom w:val="0"/>
                  <w:divBdr>
                    <w:top w:val="none" w:sz="0" w:space="0" w:color="auto"/>
                    <w:left w:val="none" w:sz="0" w:space="0" w:color="auto"/>
                    <w:bottom w:val="none" w:sz="0" w:space="0" w:color="auto"/>
                    <w:right w:val="none" w:sz="0" w:space="0" w:color="auto"/>
                  </w:divBdr>
                  <w:divsChild>
                    <w:div w:id="711152044">
                      <w:marLeft w:val="0"/>
                      <w:marRight w:val="0"/>
                      <w:marTop w:val="0"/>
                      <w:marBottom w:val="0"/>
                      <w:divBdr>
                        <w:top w:val="none" w:sz="0" w:space="0" w:color="auto"/>
                        <w:left w:val="none" w:sz="0" w:space="0" w:color="auto"/>
                        <w:bottom w:val="none" w:sz="0" w:space="0" w:color="auto"/>
                        <w:right w:val="none" w:sz="0" w:space="0" w:color="auto"/>
                      </w:divBdr>
                    </w:div>
                  </w:divsChild>
                </w:div>
                <w:div w:id="1256355365">
                  <w:marLeft w:val="0"/>
                  <w:marRight w:val="0"/>
                  <w:marTop w:val="0"/>
                  <w:marBottom w:val="0"/>
                  <w:divBdr>
                    <w:top w:val="none" w:sz="0" w:space="0" w:color="auto"/>
                    <w:left w:val="none" w:sz="0" w:space="0" w:color="auto"/>
                    <w:bottom w:val="none" w:sz="0" w:space="0" w:color="auto"/>
                    <w:right w:val="none" w:sz="0" w:space="0" w:color="auto"/>
                  </w:divBdr>
                  <w:divsChild>
                    <w:div w:id="739522165">
                      <w:marLeft w:val="0"/>
                      <w:marRight w:val="0"/>
                      <w:marTop w:val="0"/>
                      <w:marBottom w:val="0"/>
                      <w:divBdr>
                        <w:top w:val="none" w:sz="0" w:space="0" w:color="auto"/>
                        <w:left w:val="none" w:sz="0" w:space="0" w:color="auto"/>
                        <w:bottom w:val="none" w:sz="0" w:space="0" w:color="auto"/>
                        <w:right w:val="none" w:sz="0" w:space="0" w:color="auto"/>
                      </w:divBdr>
                    </w:div>
                  </w:divsChild>
                </w:div>
                <w:div w:id="1350372201">
                  <w:marLeft w:val="0"/>
                  <w:marRight w:val="0"/>
                  <w:marTop w:val="0"/>
                  <w:marBottom w:val="0"/>
                  <w:divBdr>
                    <w:top w:val="none" w:sz="0" w:space="0" w:color="auto"/>
                    <w:left w:val="none" w:sz="0" w:space="0" w:color="auto"/>
                    <w:bottom w:val="none" w:sz="0" w:space="0" w:color="auto"/>
                    <w:right w:val="none" w:sz="0" w:space="0" w:color="auto"/>
                  </w:divBdr>
                  <w:divsChild>
                    <w:div w:id="894704591">
                      <w:marLeft w:val="0"/>
                      <w:marRight w:val="0"/>
                      <w:marTop w:val="0"/>
                      <w:marBottom w:val="0"/>
                      <w:divBdr>
                        <w:top w:val="none" w:sz="0" w:space="0" w:color="auto"/>
                        <w:left w:val="none" w:sz="0" w:space="0" w:color="auto"/>
                        <w:bottom w:val="none" w:sz="0" w:space="0" w:color="auto"/>
                        <w:right w:val="none" w:sz="0" w:space="0" w:color="auto"/>
                      </w:divBdr>
                    </w:div>
                    <w:div w:id="1782606378">
                      <w:marLeft w:val="0"/>
                      <w:marRight w:val="0"/>
                      <w:marTop w:val="0"/>
                      <w:marBottom w:val="0"/>
                      <w:divBdr>
                        <w:top w:val="none" w:sz="0" w:space="0" w:color="auto"/>
                        <w:left w:val="none" w:sz="0" w:space="0" w:color="auto"/>
                        <w:bottom w:val="none" w:sz="0" w:space="0" w:color="auto"/>
                        <w:right w:val="none" w:sz="0" w:space="0" w:color="auto"/>
                      </w:divBdr>
                    </w:div>
                    <w:div w:id="1887335568">
                      <w:marLeft w:val="0"/>
                      <w:marRight w:val="0"/>
                      <w:marTop w:val="0"/>
                      <w:marBottom w:val="0"/>
                      <w:divBdr>
                        <w:top w:val="none" w:sz="0" w:space="0" w:color="auto"/>
                        <w:left w:val="none" w:sz="0" w:space="0" w:color="auto"/>
                        <w:bottom w:val="none" w:sz="0" w:space="0" w:color="auto"/>
                        <w:right w:val="none" w:sz="0" w:space="0" w:color="auto"/>
                      </w:divBdr>
                    </w:div>
                  </w:divsChild>
                </w:div>
                <w:div w:id="1455559454">
                  <w:marLeft w:val="0"/>
                  <w:marRight w:val="0"/>
                  <w:marTop w:val="0"/>
                  <w:marBottom w:val="0"/>
                  <w:divBdr>
                    <w:top w:val="none" w:sz="0" w:space="0" w:color="auto"/>
                    <w:left w:val="none" w:sz="0" w:space="0" w:color="auto"/>
                    <w:bottom w:val="none" w:sz="0" w:space="0" w:color="auto"/>
                    <w:right w:val="none" w:sz="0" w:space="0" w:color="auto"/>
                  </w:divBdr>
                  <w:divsChild>
                    <w:div w:id="1228570572">
                      <w:marLeft w:val="0"/>
                      <w:marRight w:val="0"/>
                      <w:marTop w:val="0"/>
                      <w:marBottom w:val="0"/>
                      <w:divBdr>
                        <w:top w:val="none" w:sz="0" w:space="0" w:color="auto"/>
                        <w:left w:val="none" w:sz="0" w:space="0" w:color="auto"/>
                        <w:bottom w:val="none" w:sz="0" w:space="0" w:color="auto"/>
                        <w:right w:val="none" w:sz="0" w:space="0" w:color="auto"/>
                      </w:divBdr>
                    </w:div>
                    <w:div w:id="1792240503">
                      <w:marLeft w:val="0"/>
                      <w:marRight w:val="0"/>
                      <w:marTop w:val="0"/>
                      <w:marBottom w:val="0"/>
                      <w:divBdr>
                        <w:top w:val="none" w:sz="0" w:space="0" w:color="auto"/>
                        <w:left w:val="none" w:sz="0" w:space="0" w:color="auto"/>
                        <w:bottom w:val="none" w:sz="0" w:space="0" w:color="auto"/>
                        <w:right w:val="none" w:sz="0" w:space="0" w:color="auto"/>
                      </w:divBdr>
                    </w:div>
                  </w:divsChild>
                </w:div>
                <w:div w:id="1472602757">
                  <w:marLeft w:val="0"/>
                  <w:marRight w:val="0"/>
                  <w:marTop w:val="0"/>
                  <w:marBottom w:val="0"/>
                  <w:divBdr>
                    <w:top w:val="none" w:sz="0" w:space="0" w:color="auto"/>
                    <w:left w:val="none" w:sz="0" w:space="0" w:color="auto"/>
                    <w:bottom w:val="none" w:sz="0" w:space="0" w:color="auto"/>
                    <w:right w:val="none" w:sz="0" w:space="0" w:color="auto"/>
                  </w:divBdr>
                  <w:divsChild>
                    <w:div w:id="2075198059">
                      <w:marLeft w:val="0"/>
                      <w:marRight w:val="0"/>
                      <w:marTop w:val="0"/>
                      <w:marBottom w:val="0"/>
                      <w:divBdr>
                        <w:top w:val="none" w:sz="0" w:space="0" w:color="auto"/>
                        <w:left w:val="none" w:sz="0" w:space="0" w:color="auto"/>
                        <w:bottom w:val="none" w:sz="0" w:space="0" w:color="auto"/>
                        <w:right w:val="none" w:sz="0" w:space="0" w:color="auto"/>
                      </w:divBdr>
                    </w:div>
                  </w:divsChild>
                </w:div>
                <w:div w:id="1602178945">
                  <w:marLeft w:val="0"/>
                  <w:marRight w:val="0"/>
                  <w:marTop w:val="0"/>
                  <w:marBottom w:val="0"/>
                  <w:divBdr>
                    <w:top w:val="none" w:sz="0" w:space="0" w:color="auto"/>
                    <w:left w:val="none" w:sz="0" w:space="0" w:color="auto"/>
                    <w:bottom w:val="none" w:sz="0" w:space="0" w:color="auto"/>
                    <w:right w:val="none" w:sz="0" w:space="0" w:color="auto"/>
                  </w:divBdr>
                  <w:divsChild>
                    <w:div w:id="422990583">
                      <w:marLeft w:val="0"/>
                      <w:marRight w:val="0"/>
                      <w:marTop w:val="0"/>
                      <w:marBottom w:val="0"/>
                      <w:divBdr>
                        <w:top w:val="none" w:sz="0" w:space="0" w:color="auto"/>
                        <w:left w:val="none" w:sz="0" w:space="0" w:color="auto"/>
                        <w:bottom w:val="none" w:sz="0" w:space="0" w:color="auto"/>
                        <w:right w:val="none" w:sz="0" w:space="0" w:color="auto"/>
                      </w:divBdr>
                    </w:div>
                  </w:divsChild>
                </w:div>
                <w:div w:id="1954441236">
                  <w:marLeft w:val="0"/>
                  <w:marRight w:val="0"/>
                  <w:marTop w:val="0"/>
                  <w:marBottom w:val="0"/>
                  <w:divBdr>
                    <w:top w:val="none" w:sz="0" w:space="0" w:color="auto"/>
                    <w:left w:val="none" w:sz="0" w:space="0" w:color="auto"/>
                    <w:bottom w:val="none" w:sz="0" w:space="0" w:color="auto"/>
                    <w:right w:val="none" w:sz="0" w:space="0" w:color="auto"/>
                  </w:divBdr>
                  <w:divsChild>
                    <w:div w:id="1145778646">
                      <w:marLeft w:val="0"/>
                      <w:marRight w:val="0"/>
                      <w:marTop w:val="0"/>
                      <w:marBottom w:val="0"/>
                      <w:divBdr>
                        <w:top w:val="none" w:sz="0" w:space="0" w:color="auto"/>
                        <w:left w:val="none" w:sz="0" w:space="0" w:color="auto"/>
                        <w:bottom w:val="none" w:sz="0" w:space="0" w:color="auto"/>
                        <w:right w:val="none" w:sz="0" w:space="0" w:color="auto"/>
                      </w:divBdr>
                    </w:div>
                    <w:div w:id="1744371888">
                      <w:marLeft w:val="0"/>
                      <w:marRight w:val="0"/>
                      <w:marTop w:val="0"/>
                      <w:marBottom w:val="0"/>
                      <w:divBdr>
                        <w:top w:val="none" w:sz="0" w:space="0" w:color="auto"/>
                        <w:left w:val="none" w:sz="0" w:space="0" w:color="auto"/>
                        <w:bottom w:val="none" w:sz="0" w:space="0" w:color="auto"/>
                        <w:right w:val="none" w:sz="0" w:space="0" w:color="auto"/>
                      </w:divBdr>
                    </w:div>
                  </w:divsChild>
                </w:div>
                <w:div w:id="2034108639">
                  <w:marLeft w:val="0"/>
                  <w:marRight w:val="0"/>
                  <w:marTop w:val="0"/>
                  <w:marBottom w:val="0"/>
                  <w:divBdr>
                    <w:top w:val="none" w:sz="0" w:space="0" w:color="auto"/>
                    <w:left w:val="none" w:sz="0" w:space="0" w:color="auto"/>
                    <w:bottom w:val="none" w:sz="0" w:space="0" w:color="auto"/>
                    <w:right w:val="none" w:sz="0" w:space="0" w:color="auto"/>
                  </w:divBdr>
                  <w:divsChild>
                    <w:div w:id="1370910714">
                      <w:marLeft w:val="0"/>
                      <w:marRight w:val="0"/>
                      <w:marTop w:val="0"/>
                      <w:marBottom w:val="0"/>
                      <w:divBdr>
                        <w:top w:val="none" w:sz="0" w:space="0" w:color="auto"/>
                        <w:left w:val="none" w:sz="0" w:space="0" w:color="auto"/>
                        <w:bottom w:val="none" w:sz="0" w:space="0" w:color="auto"/>
                        <w:right w:val="none" w:sz="0" w:space="0" w:color="auto"/>
                      </w:divBdr>
                    </w:div>
                    <w:div w:id="1698044238">
                      <w:marLeft w:val="0"/>
                      <w:marRight w:val="0"/>
                      <w:marTop w:val="0"/>
                      <w:marBottom w:val="0"/>
                      <w:divBdr>
                        <w:top w:val="none" w:sz="0" w:space="0" w:color="auto"/>
                        <w:left w:val="none" w:sz="0" w:space="0" w:color="auto"/>
                        <w:bottom w:val="none" w:sz="0" w:space="0" w:color="auto"/>
                        <w:right w:val="none" w:sz="0" w:space="0" w:color="auto"/>
                      </w:divBdr>
                    </w:div>
                  </w:divsChild>
                </w:div>
                <w:div w:id="2049793695">
                  <w:marLeft w:val="0"/>
                  <w:marRight w:val="0"/>
                  <w:marTop w:val="0"/>
                  <w:marBottom w:val="0"/>
                  <w:divBdr>
                    <w:top w:val="none" w:sz="0" w:space="0" w:color="auto"/>
                    <w:left w:val="none" w:sz="0" w:space="0" w:color="auto"/>
                    <w:bottom w:val="none" w:sz="0" w:space="0" w:color="auto"/>
                    <w:right w:val="none" w:sz="0" w:space="0" w:color="auto"/>
                  </w:divBdr>
                  <w:divsChild>
                    <w:div w:id="1293629367">
                      <w:marLeft w:val="0"/>
                      <w:marRight w:val="0"/>
                      <w:marTop w:val="0"/>
                      <w:marBottom w:val="0"/>
                      <w:divBdr>
                        <w:top w:val="none" w:sz="0" w:space="0" w:color="auto"/>
                        <w:left w:val="none" w:sz="0" w:space="0" w:color="auto"/>
                        <w:bottom w:val="none" w:sz="0" w:space="0" w:color="auto"/>
                        <w:right w:val="none" w:sz="0" w:space="0" w:color="auto"/>
                      </w:divBdr>
                    </w:div>
                  </w:divsChild>
                </w:div>
                <w:div w:id="2128815406">
                  <w:marLeft w:val="0"/>
                  <w:marRight w:val="0"/>
                  <w:marTop w:val="0"/>
                  <w:marBottom w:val="0"/>
                  <w:divBdr>
                    <w:top w:val="none" w:sz="0" w:space="0" w:color="auto"/>
                    <w:left w:val="none" w:sz="0" w:space="0" w:color="auto"/>
                    <w:bottom w:val="none" w:sz="0" w:space="0" w:color="auto"/>
                    <w:right w:val="none" w:sz="0" w:space="0" w:color="auto"/>
                  </w:divBdr>
                  <w:divsChild>
                    <w:div w:id="1040282652">
                      <w:marLeft w:val="0"/>
                      <w:marRight w:val="0"/>
                      <w:marTop w:val="0"/>
                      <w:marBottom w:val="0"/>
                      <w:divBdr>
                        <w:top w:val="none" w:sz="0" w:space="0" w:color="auto"/>
                        <w:left w:val="none" w:sz="0" w:space="0" w:color="auto"/>
                        <w:bottom w:val="none" w:sz="0" w:space="0" w:color="auto"/>
                        <w:right w:val="none" w:sz="0" w:space="0" w:color="auto"/>
                      </w:divBdr>
                    </w:div>
                    <w:div w:id="1208100601">
                      <w:marLeft w:val="0"/>
                      <w:marRight w:val="0"/>
                      <w:marTop w:val="0"/>
                      <w:marBottom w:val="0"/>
                      <w:divBdr>
                        <w:top w:val="none" w:sz="0" w:space="0" w:color="auto"/>
                        <w:left w:val="none" w:sz="0" w:space="0" w:color="auto"/>
                        <w:bottom w:val="none" w:sz="0" w:space="0" w:color="auto"/>
                        <w:right w:val="none" w:sz="0" w:space="0" w:color="auto"/>
                      </w:divBdr>
                    </w:div>
                    <w:div w:id="1260454710">
                      <w:marLeft w:val="0"/>
                      <w:marRight w:val="0"/>
                      <w:marTop w:val="0"/>
                      <w:marBottom w:val="0"/>
                      <w:divBdr>
                        <w:top w:val="none" w:sz="0" w:space="0" w:color="auto"/>
                        <w:left w:val="none" w:sz="0" w:space="0" w:color="auto"/>
                        <w:bottom w:val="none" w:sz="0" w:space="0" w:color="auto"/>
                        <w:right w:val="none" w:sz="0" w:space="0" w:color="auto"/>
                      </w:divBdr>
                    </w:div>
                  </w:divsChild>
                </w:div>
                <w:div w:id="2143883088">
                  <w:marLeft w:val="0"/>
                  <w:marRight w:val="0"/>
                  <w:marTop w:val="0"/>
                  <w:marBottom w:val="0"/>
                  <w:divBdr>
                    <w:top w:val="none" w:sz="0" w:space="0" w:color="auto"/>
                    <w:left w:val="none" w:sz="0" w:space="0" w:color="auto"/>
                    <w:bottom w:val="none" w:sz="0" w:space="0" w:color="auto"/>
                    <w:right w:val="none" w:sz="0" w:space="0" w:color="auto"/>
                  </w:divBdr>
                  <w:divsChild>
                    <w:div w:id="143944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823585">
      <w:bodyDiv w:val="1"/>
      <w:marLeft w:val="0"/>
      <w:marRight w:val="0"/>
      <w:marTop w:val="0"/>
      <w:marBottom w:val="0"/>
      <w:divBdr>
        <w:top w:val="none" w:sz="0" w:space="0" w:color="auto"/>
        <w:left w:val="none" w:sz="0" w:space="0" w:color="auto"/>
        <w:bottom w:val="none" w:sz="0" w:space="0" w:color="auto"/>
        <w:right w:val="none" w:sz="0" w:space="0" w:color="auto"/>
      </w:divBdr>
      <w:divsChild>
        <w:div w:id="1899433467">
          <w:marLeft w:val="0"/>
          <w:marRight w:val="0"/>
          <w:marTop w:val="0"/>
          <w:marBottom w:val="0"/>
          <w:divBdr>
            <w:top w:val="none" w:sz="0" w:space="0" w:color="auto"/>
            <w:left w:val="none" w:sz="0" w:space="0" w:color="auto"/>
            <w:bottom w:val="none" w:sz="0" w:space="0" w:color="auto"/>
            <w:right w:val="none" w:sz="0" w:space="0" w:color="auto"/>
          </w:divBdr>
        </w:div>
      </w:divsChild>
    </w:div>
    <w:div w:id="1754280618">
      <w:bodyDiv w:val="1"/>
      <w:marLeft w:val="0"/>
      <w:marRight w:val="0"/>
      <w:marTop w:val="0"/>
      <w:marBottom w:val="0"/>
      <w:divBdr>
        <w:top w:val="none" w:sz="0" w:space="0" w:color="auto"/>
        <w:left w:val="none" w:sz="0" w:space="0" w:color="auto"/>
        <w:bottom w:val="none" w:sz="0" w:space="0" w:color="auto"/>
        <w:right w:val="none" w:sz="0" w:space="0" w:color="auto"/>
      </w:divBdr>
    </w:div>
    <w:div w:id="1756392942">
      <w:bodyDiv w:val="1"/>
      <w:marLeft w:val="0"/>
      <w:marRight w:val="0"/>
      <w:marTop w:val="0"/>
      <w:marBottom w:val="0"/>
      <w:divBdr>
        <w:top w:val="none" w:sz="0" w:space="0" w:color="auto"/>
        <w:left w:val="none" w:sz="0" w:space="0" w:color="auto"/>
        <w:bottom w:val="none" w:sz="0" w:space="0" w:color="auto"/>
        <w:right w:val="none" w:sz="0" w:space="0" w:color="auto"/>
      </w:divBdr>
    </w:div>
    <w:div w:id="1756705976">
      <w:bodyDiv w:val="1"/>
      <w:marLeft w:val="0"/>
      <w:marRight w:val="0"/>
      <w:marTop w:val="0"/>
      <w:marBottom w:val="0"/>
      <w:divBdr>
        <w:top w:val="none" w:sz="0" w:space="0" w:color="auto"/>
        <w:left w:val="none" w:sz="0" w:space="0" w:color="auto"/>
        <w:bottom w:val="none" w:sz="0" w:space="0" w:color="auto"/>
        <w:right w:val="none" w:sz="0" w:space="0" w:color="auto"/>
      </w:divBdr>
    </w:div>
    <w:div w:id="1808549839">
      <w:bodyDiv w:val="1"/>
      <w:marLeft w:val="0"/>
      <w:marRight w:val="0"/>
      <w:marTop w:val="0"/>
      <w:marBottom w:val="0"/>
      <w:divBdr>
        <w:top w:val="none" w:sz="0" w:space="0" w:color="auto"/>
        <w:left w:val="none" w:sz="0" w:space="0" w:color="auto"/>
        <w:bottom w:val="none" w:sz="0" w:space="0" w:color="auto"/>
        <w:right w:val="none" w:sz="0" w:space="0" w:color="auto"/>
      </w:divBdr>
    </w:div>
    <w:div w:id="1817843038">
      <w:bodyDiv w:val="1"/>
      <w:marLeft w:val="0"/>
      <w:marRight w:val="0"/>
      <w:marTop w:val="0"/>
      <w:marBottom w:val="0"/>
      <w:divBdr>
        <w:top w:val="none" w:sz="0" w:space="0" w:color="auto"/>
        <w:left w:val="none" w:sz="0" w:space="0" w:color="auto"/>
        <w:bottom w:val="none" w:sz="0" w:space="0" w:color="auto"/>
        <w:right w:val="none" w:sz="0" w:space="0" w:color="auto"/>
      </w:divBdr>
      <w:divsChild>
        <w:div w:id="109785157">
          <w:marLeft w:val="0"/>
          <w:marRight w:val="0"/>
          <w:marTop w:val="0"/>
          <w:marBottom w:val="0"/>
          <w:divBdr>
            <w:top w:val="none" w:sz="0" w:space="0" w:color="auto"/>
            <w:left w:val="none" w:sz="0" w:space="0" w:color="auto"/>
            <w:bottom w:val="none" w:sz="0" w:space="0" w:color="auto"/>
            <w:right w:val="none" w:sz="0" w:space="0" w:color="auto"/>
          </w:divBdr>
        </w:div>
        <w:div w:id="927345636">
          <w:marLeft w:val="0"/>
          <w:marRight w:val="0"/>
          <w:marTop w:val="0"/>
          <w:marBottom w:val="0"/>
          <w:divBdr>
            <w:top w:val="none" w:sz="0" w:space="0" w:color="auto"/>
            <w:left w:val="none" w:sz="0" w:space="0" w:color="auto"/>
            <w:bottom w:val="none" w:sz="0" w:space="0" w:color="auto"/>
            <w:right w:val="none" w:sz="0" w:space="0" w:color="auto"/>
          </w:divBdr>
        </w:div>
        <w:div w:id="1351104005">
          <w:marLeft w:val="0"/>
          <w:marRight w:val="0"/>
          <w:marTop w:val="0"/>
          <w:marBottom w:val="0"/>
          <w:divBdr>
            <w:top w:val="none" w:sz="0" w:space="0" w:color="auto"/>
            <w:left w:val="none" w:sz="0" w:space="0" w:color="auto"/>
            <w:bottom w:val="none" w:sz="0" w:space="0" w:color="auto"/>
            <w:right w:val="none" w:sz="0" w:space="0" w:color="auto"/>
          </w:divBdr>
        </w:div>
        <w:div w:id="1660889798">
          <w:marLeft w:val="0"/>
          <w:marRight w:val="0"/>
          <w:marTop w:val="0"/>
          <w:marBottom w:val="0"/>
          <w:divBdr>
            <w:top w:val="none" w:sz="0" w:space="0" w:color="auto"/>
            <w:left w:val="none" w:sz="0" w:space="0" w:color="auto"/>
            <w:bottom w:val="none" w:sz="0" w:space="0" w:color="auto"/>
            <w:right w:val="none" w:sz="0" w:space="0" w:color="auto"/>
          </w:divBdr>
        </w:div>
        <w:div w:id="1720058509">
          <w:marLeft w:val="0"/>
          <w:marRight w:val="0"/>
          <w:marTop w:val="0"/>
          <w:marBottom w:val="0"/>
          <w:divBdr>
            <w:top w:val="none" w:sz="0" w:space="0" w:color="auto"/>
            <w:left w:val="none" w:sz="0" w:space="0" w:color="auto"/>
            <w:bottom w:val="none" w:sz="0" w:space="0" w:color="auto"/>
            <w:right w:val="none" w:sz="0" w:space="0" w:color="auto"/>
          </w:divBdr>
        </w:div>
      </w:divsChild>
    </w:div>
    <w:div w:id="1844971313">
      <w:bodyDiv w:val="1"/>
      <w:marLeft w:val="0"/>
      <w:marRight w:val="0"/>
      <w:marTop w:val="0"/>
      <w:marBottom w:val="0"/>
      <w:divBdr>
        <w:top w:val="none" w:sz="0" w:space="0" w:color="auto"/>
        <w:left w:val="none" w:sz="0" w:space="0" w:color="auto"/>
        <w:bottom w:val="none" w:sz="0" w:space="0" w:color="auto"/>
        <w:right w:val="none" w:sz="0" w:space="0" w:color="auto"/>
      </w:divBdr>
    </w:div>
    <w:div w:id="1845052370">
      <w:bodyDiv w:val="1"/>
      <w:marLeft w:val="0"/>
      <w:marRight w:val="0"/>
      <w:marTop w:val="0"/>
      <w:marBottom w:val="0"/>
      <w:divBdr>
        <w:top w:val="none" w:sz="0" w:space="0" w:color="auto"/>
        <w:left w:val="none" w:sz="0" w:space="0" w:color="auto"/>
        <w:bottom w:val="none" w:sz="0" w:space="0" w:color="auto"/>
        <w:right w:val="none" w:sz="0" w:space="0" w:color="auto"/>
      </w:divBdr>
    </w:div>
    <w:div w:id="1866674016">
      <w:bodyDiv w:val="1"/>
      <w:marLeft w:val="0"/>
      <w:marRight w:val="0"/>
      <w:marTop w:val="0"/>
      <w:marBottom w:val="0"/>
      <w:divBdr>
        <w:top w:val="none" w:sz="0" w:space="0" w:color="auto"/>
        <w:left w:val="none" w:sz="0" w:space="0" w:color="auto"/>
        <w:bottom w:val="none" w:sz="0" w:space="0" w:color="auto"/>
        <w:right w:val="none" w:sz="0" w:space="0" w:color="auto"/>
      </w:divBdr>
    </w:div>
    <w:div w:id="1870609340">
      <w:bodyDiv w:val="1"/>
      <w:marLeft w:val="0"/>
      <w:marRight w:val="0"/>
      <w:marTop w:val="0"/>
      <w:marBottom w:val="0"/>
      <w:divBdr>
        <w:top w:val="none" w:sz="0" w:space="0" w:color="auto"/>
        <w:left w:val="none" w:sz="0" w:space="0" w:color="auto"/>
        <w:bottom w:val="none" w:sz="0" w:space="0" w:color="auto"/>
        <w:right w:val="none" w:sz="0" w:space="0" w:color="auto"/>
      </w:divBdr>
    </w:div>
    <w:div w:id="1901473658">
      <w:bodyDiv w:val="1"/>
      <w:marLeft w:val="0"/>
      <w:marRight w:val="0"/>
      <w:marTop w:val="0"/>
      <w:marBottom w:val="0"/>
      <w:divBdr>
        <w:top w:val="none" w:sz="0" w:space="0" w:color="auto"/>
        <w:left w:val="none" w:sz="0" w:space="0" w:color="auto"/>
        <w:bottom w:val="none" w:sz="0" w:space="0" w:color="auto"/>
        <w:right w:val="none" w:sz="0" w:space="0" w:color="auto"/>
      </w:divBdr>
    </w:div>
    <w:div w:id="1901866548">
      <w:bodyDiv w:val="1"/>
      <w:marLeft w:val="0"/>
      <w:marRight w:val="0"/>
      <w:marTop w:val="0"/>
      <w:marBottom w:val="0"/>
      <w:divBdr>
        <w:top w:val="none" w:sz="0" w:space="0" w:color="auto"/>
        <w:left w:val="none" w:sz="0" w:space="0" w:color="auto"/>
        <w:bottom w:val="none" w:sz="0" w:space="0" w:color="auto"/>
        <w:right w:val="none" w:sz="0" w:space="0" w:color="auto"/>
      </w:divBdr>
    </w:div>
    <w:div w:id="1905093532">
      <w:bodyDiv w:val="1"/>
      <w:marLeft w:val="0"/>
      <w:marRight w:val="0"/>
      <w:marTop w:val="0"/>
      <w:marBottom w:val="0"/>
      <w:divBdr>
        <w:top w:val="none" w:sz="0" w:space="0" w:color="auto"/>
        <w:left w:val="none" w:sz="0" w:space="0" w:color="auto"/>
        <w:bottom w:val="none" w:sz="0" w:space="0" w:color="auto"/>
        <w:right w:val="none" w:sz="0" w:space="0" w:color="auto"/>
      </w:divBdr>
    </w:div>
    <w:div w:id="1941601257">
      <w:bodyDiv w:val="1"/>
      <w:marLeft w:val="0"/>
      <w:marRight w:val="0"/>
      <w:marTop w:val="0"/>
      <w:marBottom w:val="0"/>
      <w:divBdr>
        <w:top w:val="none" w:sz="0" w:space="0" w:color="auto"/>
        <w:left w:val="none" w:sz="0" w:space="0" w:color="auto"/>
        <w:bottom w:val="none" w:sz="0" w:space="0" w:color="auto"/>
        <w:right w:val="none" w:sz="0" w:space="0" w:color="auto"/>
      </w:divBdr>
    </w:div>
    <w:div w:id="1981416904">
      <w:bodyDiv w:val="1"/>
      <w:marLeft w:val="0"/>
      <w:marRight w:val="0"/>
      <w:marTop w:val="0"/>
      <w:marBottom w:val="0"/>
      <w:divBdr>
        <w:top w:val="none" w:sz="0" w:space="0" w:color="auto"/>
        <w:left w:val="none" w:sz="0" w:space="0" w:color="auto"/>
        <w:bottom w:val="none" w:sz="0" w:space="0" w:color="auto"/>
        <w:right w:val="none" w:sz="0" w:space="0" w:color="auto"/>
      </w:divBdr>
    </w:div>
    <w:div w:id="2038502224">
      <w:bodyDiv w:val="1"/>
      <w:marLeft w:val="0"/>
      <w:marRight w:val="0"/>
      <w:marTop w:val="0"/>
      <w:marBottom w:val="0"/>
      <w:divBdr>
        <w:top w:val="none" w:sz="0" w:space="0" w:color="auto"/>
        <w:left w:val="none" w:sz="0" w:space="0" w:color="auto"/>
        <w:bottom w:val="none" w:sz="0" w:space="0" w:color="auto"/>
        <w:right w:val="none" w:sz="0" w:space="0" w:color="auto"/>
      </w:divBdr>
    </w:div>
    <w:div w:id="2081756434">
      <w:bodyDiv w:val="1"/>
      <w:marLeft w:val="0"/>
      <w:marRight w:val="0"/>
      <w:marTop w:val="0"/>
      <w:marBottom w:val="0"/>
      <w:divBdr>
        <w:top w:val="none" w:sz="0" w:space="0" w:color="auto"/>
        <w:left w:val="none" w:sz="0" w:space="0" w:color="auto"/>
        <w:bottom w:val="none" w:sz="0" w:space="0" w:color="auto"/>
        <w:right w:val="none" w:sz="0" w:space="0" w:color="auto"/>
      </w:divBdr>
      <w:divsChild>
        <w:div w:id="181017616">
          <w:marLeft w:val="0"/>
          <w:marRight w:val="0"/>
          <w:marTop w:val="0"/>
          <w:marBottom w:val="0"/>
          <w:divBdr>
            <w:top w:val="none" w:sz="0" w:space="0" w:color="auto"/>
            <w:left w:val="none" w:sz="0" w:space="0" w:color="auto"/>
            <w:bottom w:val="none" w:sz="0" w:space="0" w:color="auto"/>
            <w:right w:val="none" w:sz="0" w:space="0" w:color="auto"/>
          </w:divBdr>
        </w:div>
        <w:div w:id="373965569">
          <w:marLeft w:val="0"/>
          <w:marRight w:val="0"/>
          <w:marTop w:val="0"/>
          <w:marBottom w:val="0"/>
          <w:divBdr>
            <w:top w:val="none" w:sz="0" w:space="0" w:color="auto"/>
            <w:left w:val="none" w:sz="0" w:space="0" w:color="auto"/>
            <w:bottom w:val="none" w:sz="0" w:space="0" w:color="auto"/>
            <w:right w:val="none" w:sz="0" w:space="0" w:color="auto"/>
          </w:divBdr>
        </w:div>
        <w:div w:id="851794615">
          <w:marLeft w:val="0"/>
          <w:marRight w:val="0"/>
          <w:marTop w:val="0"/>
          <w:marBottom w:val="0"/>
          <w:divBdr>
            <w:top w:val="none" w:sz="0" w:space="0" w:color="auto"/>
            <w:left w:val="none" w:sz="0" w:space="0" w:color="auto"/>
            <w:bottom w:val="none" w:sz="0" w:space="0" w:color="auto"/>
            <w:right w:val="none" w:sz="0" w:space="0" w:color="auto"/>
          </w:divBdr>
        </w:div>
        <w:div w:id="1393694380">
          <w:marLeft w:val="0"/>
          <w:marRight w:val="0"/>
          <w:marTop w:val="0"/>
          <w:marBottom w:val="0"/>
          <w:divBdr>
            <w:top w:val="none" w:sz="0" w:space="0" w:color="auto"/>
            <w:left w:val="none" w:sz="0" w:space="0" w:color="auto"/>
            <w:bottom w:val="none" w:sz="0" w:space="0" w:color="auto"/>
            <w:right w:val="none" w:sz="0" w:space="0" w:color="auto"/>
          </w:divBdr>
        </w:div>
        <w:div w:id="1470593900">
          <w:marLeft w:val="0"/>
          <w:marRight w:val="0"/>
          <w:marTop w:val="0"/>
          <w:marBottom w:val="0"/>
          <w:divBdr>
            <w:top w:val="none" w:sz="0" w:space="0" w:color="auto"/>
            <w:left w:val="none" w:sz="0" w:space="0" w:color="auto"/>
            <w:bottom w:val="none" w:sz="0" w:space="0" w:color="auto"/>
            <w:right w:val="none" w:sz="0" w:space="0" w:color="auto"/>
          </w:divBdr>
        </w:div>
        <w:div w:id="1629044988">
          <w:marLeft w:val="0"/>
          <w:marRight w:val="0"/>
          <w:marTop w:val="0"/>
          <w:marBottom w:val="0"/>
          <w:divBdr>
            <w:top w:val="none" w:sz="0" w:space="0" w:color="auto"/>
            <w:left w:val="none" w:sz="0" w:space="0" w:color="auto"/>
            <w:bottom w:val="none" w:sz="0" w:space="0" w:color="auto"/>
            <w:right w:val="none" w:sz="0" w:space="0" w:color="auto"/>
          </w:divBdr>
        </w:div>
        <w:div w:id="1676761541">
          <w:marLeft w:val="0"/>
          <w:marRight w:val="0"/>
          <w:marTop w:val="0"/>
          <w:marBottom w:val="0"/>
          <w:divBdr>
            <w:top w:val="none" w:sz="0" w:space="0" w:color="auto"/>
            <w:left w:val="none" w:sz="0" w:space="0" w:color="auto"/>
            <w:bottom w:val="none" w:sz="0" w:space="0" w:color="auto"/>
            <w:right w:val="none" w:sz="0" w:space="0" w:color="auto"/>
          </w:divBdr>
        </w:div>
        <w:div w:id="1718122831">
          <w:marLeft w:val="0"/>
          <w:marRight w:val="0"/>
          <w:marTop w:val="0"/>
          <w:marBottom w:val="0"/>
          <w:divBdr>
            <w:top w:val="none" w:sz="0" w:space="0" w:color="auto"/>
            <w:left w:val="none" w:sz="0" w:space="0" w:color="auto"/>
            <w:bottom w:val="none" w:sz="0" w:space="0" w:color="auto"/>
            <w:right w:val="none" w:sz="0" w:space="0" w:color="auto"/>
          </w:divBdr>
        </w:div>
        <w:div w:id="1763604397">
          <w:marLeft w:val="0"/>
          <w:marRight w:val="0"/>
          <w:marTop w:val="0"/>
          <w:marBottom w:val="0"/>
          <w:divBdr>
            <w:top w:val="none" w:sz="0" w:space="0" w:color="auto"/>
            <w:left w:val="none" w:sz="0" w:space="0" w:color="auto"/>
            <w:bottom w:val="none" w:sz="0" w:space="0" w:color="auto"/>
            <w:right w:val="none" w:sz="0" w:space="0" w:color="auto"/>
          </w:divBdr>
        </w:div>
        <w:div w:id="1765490345">
          <w:marLeft w:val="0"/>
          <w:marRight w:val="0"/>
          <w:marTop w:val="0"/>
          <w:marBottom w:val="0"/>
          <w:divBdr>
            <w:top w:val="none" w:sz="0" w:space="0" w:color="auto"/>
            <w:left w:val="none" w:sz="0" w:space="0" w:color="auto"/>
            <w:bottom w:val="none" w:sz="0" w:space="0" w:color="auto"/>
            <w:right w:val="none" w:sz="0" w:space="0" w:color="auto"/>
          </w:divBdr>
        </w:div>
        <w:div w:id="1994722072">
          <w:marLeft w:val="0"/>
          <w:marRight w:val="0"/>
          <w:marTop w:val="0"/>
          <w:marBottom w:val="0"/>
          <w:divBdr>
            <w:top w:val="none" w:sz="0" w:space="0" w:color="auto"/>
            <w:left w:val="none" w:sz="0" w:space="0" w:color="auto"/>
            <w:bottom w:val="none" w:sz="0" w:space="0" w:color="auto"/>
            <w:right w:val="none" w:sz="0" w:space="0" w:color="auto"/>
          </w:divBdr>
        </w:div>
      </w:divsChild>
    </w:div>
    <w:div w:id="2084136344">
      <w:bodyDiv w:val="1"/>
      <w:marLeft w:val="0"/>
      <w:marRight w:val="0"/>
      <w:marTop w:val="0"/>
      <w:marBottom w:val="0"/>
      <w:divBdr>
        <w:top w:val="none" w:sz="0" w:space="0" w:color="auto"/>
        <w:left w:val="none" w:sz="0" w:space="0" w:color="auto"/>
        <w:bottom w:val="none" w:sz="0" w:space="0" w:color="auto"/>
        <w:right w:val="none" w:sz="0" w:space="0" w:color="auto"/>
      </w:divBdr>
    </w:div>
    <w:div w:id="2087333977">
      <w:bodyDiv w:val="1"/>
      <w:marLeft w:val="0"/>
      <w:marRight w:val="0"/>
      <w:marTop w:val="0"/>
      <w:marBottom w:val="0"/>
      <w:divBdr>
        <w:top w:val="none" w:sz="0" w:space="0" w:color="auto"/>
        <w:left w:val="none" w:sz="0" w:space="0" w:color="auto"/>
        <w:bottom w:val="none" w:sz="0" w:space="0" w:color="auto"/>
        <w:right w:val="none" w:sz="0" w:space="0" w:color="auto"/>
      </w:divBdr>
    </w:div>
    <w:div w:id="2089115562">
      <w:bodyDiv w:val="1"/>
      <w:marLeft w:val="0"/>
      <w:marRight w:val="0"/>
      <w:marTop w:val="0"/>
      <w:marBottom w:val="0"/>
      <w:divBdr>
        <w:top w:val="none" w:sz="0" w:space="0" w:color="auto"/>
        <w:left w:val="none" w:sz="0" w:space="0" w:color="auto"/>
        <w:bottom w:val="none" w:sz="0" w:space="0" w:color="auto"/>
        <w:right w:val="none" w:sz="0" w:space="0" w:color="auto"/>
      </w:divBdr>
    </w:div>
    <w:div w:id="21210214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image" Target="media/image11.png"/><Relationship Id="rId42" Type="http://schemas.openxmlformats.org/officeDocument/2006/relationships/hyperlink" Target="https://climatepromise.undp.org/news-and-stories/global-south-have-mastered-locally-led-climate-adaptation-solutions-its-time-scale" TargetMode="External"/><Relationship Id="rId47" Type="http://schemas.openxmlformats.org/officeDocument/2006/relationships/hyperlink" Target="https://www.globalresiliencepartnership.org/" TargetMode="External"/><Relationship Id="rId63" Type="http://schemas.openxmlformats.org/officeDocument/2006/relationships/image" Target="media/image18.png"/><Relationship Id="rId68" Type="http://schemas.openxmlformats.org/officeDocument/2006/relationships/header" Target="header6.xml"/><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13.png"/><Relationship Id="rId37" Type="http://schemas.openxmlformats.org/officeDocument/2006/relationships/image" Target="media/image16.png"/><Relationship Id="rId53" Type="http://schemas.openxmlformats.org/officeDocument/2006/relationships/hyperlink" Target="https://climatepromise.undp.org/what-we-do/flagship-initiatives" TargetMode="External"/><Relationship Id="rId58" Type="http://schemas.openxmlformats.org/officeDocument/2006/relationships/hyperlink" Target="https://innovation.eurasia.undp.org/" TargetMode="External"/><Relationship Id="rId74" Type="http://schemas.openxmlformats.org/officeDocument/2006/relationships/hyperlink" Target="mailto:i.mexhiti@moepp.gov.mk" TargetMode="External"/><Relationship Id="rId79" Type="http://schemas.microsoft.com/office/2020/10/relationships/intelligence" Target="intelligence2.xml"/><Relationship Id="rId5" Type="http://schemas.openxmlformats.org/officeDocument/2006/relationships/numbering" Target="numbering.xml"/><Relationship Id="rId61" Type="http://schemas.openxmlformats.org/officeDocument/2006/relationships/hyperlink" Target="https://www.adaptation-undp.org/afcia" TargetMode="Externa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header" Target="header3.xml"/><Relationship Id="rId30" Type="http://schemas.openxmlformats.org/officeDocument/2006/relationships/footer" Target="footer5.xml"/><Relationship Id="rId35" Type="http://schemas.openxmlformats.org/officeDocument/2006/relationships/hyperlink" Target="https://climatepromise.undp.org/what-we-do/flagship-initiatives/adaptation-innovation-marketplace" TargetMode="External"/><Relationship Id="rId43" Type="http://schemas.openxmlformats.org/officeDocument/2006/relationships/hyperlink" Target="https://globalnetwork.io/" TargetMode="External"/><Relationship Id="rId48" Type="http://schemas.openxmlformats.org/officeDocument/2006/relationships/hyperlink" Target="https://climate-kic.org.au/" TargetMode="External"/><Relationship Id="rId56" Type="http://schemas.openxmlformats.org/officeDocument/2006/relationships/hyperlink" Target="https://www.youtube.com/playlist?list=PLyBRsrYRs7YfF7_Lbc6TQfzxBbvVSZFFD" TargetMode="External"/><Relationship Id="rId64" Type="http://schemas.openxmlformats.org/officeDocument/2006/relationships/image" Target="media/image19.png"/><Relationship Id="rId69" Type="http://schemas.openxmlformats.org/officeDocument/2006/relationships/footer" Target="footer7.xm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avpa.africa/" TargetMode="External"/><Relationship Id="rId72" Type="http://schemas.openxmlformats.org/officeDocument/2006/relationships/hyperlink" Target="mailto:trezorbih@mft.gov.ba" TargetMode="External"/><Relationship Id="rId80" Type="http://schemas.openxmlformats.org/officeDocument/2006/relationships/customXml" Target="../customXml/item5.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2.xml"/><Relationship Id="rId33" Type="http://schemas.openxmlformats.org/officeDocument/2006/relationships/image" Target="media/image14.png"/><Relationship Id="rId38" Type="http://schemas.openxmlformats.org/officeDocument/2006/relationships/hyperlink" Target="https://www.adaptation-undp.org/afcia" TargetMode="External"/><Relationship Id="rId46" Type="http://schemas.openxmlformats.org/officeDocument/2006/relationships/hyperlink" Target="http://www.luccc.org/" TargetMode="External"/><Relationship Id="rId59" Type="http://schemas.openxmlformats.org/officeDocument/2006/relationships/hyperlink" Target="https://www.adaptation-undp.org/afcia/dashboard" TargetMode="External"/><Relationship Id="rId67" Type="http://schemas.openxmlformats.org/officeDocument/2006/relationships/footer" Target="footer6.xml"/><Relationship Id="rId20" Type="http://schemas.openxmlformats.org/officeDocument/2006/relationships/image" Target="media/image10.png"/><Relationship Id="rId41" Type="http://schemas.openxmlformats.org/officeDocument/2006/relationships/hyperlink" Target="https://boostimpact.org/bridging-the-urban-finance-gap-innovative-solutions-for-western-balkan-cities/" TargetMode="External"/><Relationship Id="rId54" Type="http://schemas.openxmlformats.org/officeDocument/2006/relationships/hyperlink" Target="https://www.adaptation-undp.org/afcia/news" TargetMode="External"/><Relationship Id="rId62" Type="http://schemas.openxmlformats.org/officeDocument/2006/relationships/image" Target="media/image17.png"/><Relationship Id="rId70" Type="http://schemas.openxmlformats.org/officeDocument/2006/relationships/image" Target="media/image20.png"/><Relationship Id="rId75" Type="http://schemas.openxmlformats.org/officeDocument/2006/relationships/hyperlink" Target="mailto:nataly.olofinskaya@undp.or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footer" Target="footer4.xml"/><Relationship Id="rId36" Type="http://schemas.openxmlformats.org/officeDocument/2006/relationships/hyperlink" Target="https://climatepromise.undp.org/what-we-do/flagship-initiatives/adaptation-innovation-marketplace" TargetMode="External"/><Relationship Id="rId49" Type="http://schemas.openxmlformats.org/officeDocument/2006/relationships/hyperlink" Target="https://www.uncdf.org/" TargetMode="External"/><Relationship Id="rId57" Type="http://schemas.openxmlformats.org/officeDocument/2006/relationships/hyperlink" Target="https://www.flickr.com/photos/undpclimatechangeadaptation/albums/72177720309844931/" TargetMode="External"/><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hyperlink" Target="http://www.icccad.net/" TargetMode="External"/><Relationship Id="rId52" Type="http://schemas.openxmlformats.org/officeDocument/2006/relationships/hyperlink" Target="https://latimpacto.org/en/" TargetMode="External"/><Relationship Id="rId60" Type="http://schemas.openxmlformats.org/officeDocument/2006/relationships/hyperlink" Target="https://www.adaptation-undp.org/" TargetMode="External"/><Relationship Id="rId65" Type="http://schemas.openxmlformats.org/officeDocument/2006/relationships/hyperlink" Target="https://www.adaptation-fund.org/apply-funding/implementing-entities/national-implementing-entity/" TargetMode="External"/><Relationship Id="rId73" Type="http://schemas.openxmlformats.org/officeDocument/2006/relationships/hyperlink" Target="mailto:zoran.dabetic@mers.gov.me" TargetMode="External"/><Relationship Id="rId78" Type="http://schemas.microsoft.com/office/2019/05/relationships/documenttasks" Target="documenttasks/documenttasks1.xml"/><Relationship Id="rId81" Type="http://schemas.openxmlformats.org/officeDocument/2006/relationships/customXml" Target="../customXml/item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https://www.adaptation-undp.org/afcia/solutions-catalogue" TargetMode="External"/><Relationship Id="rId34" Type="http://schemas.openxmlformats.org/officeDocument/2006/relationships/image" Target="media/image15.png"/><Relationship Id="rId50" Type="http://schemas.openxmlformats.org/officeDocument/2006/relationships/hyperlink" Target="https://avpn.asia/" TargetMode="External"/><Relationship Id="rId55" Type="http://schemas.openxmlformats.org/officeDocument/2006/relationships/hyperlink" Target="https://www.adaptation-undp.org/afcia/solutions-catalogue" TargetMode="Externa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21.png"/><Relationship Id="rId2" Type="http://schemas.openxmlformats.org/officeDocument/2006/relationships/customXml" Target="../customXml/item2.xml"/><Relationship Id="rId29" Type="http://schemas.openxmlformats.org/officeDocument/2006/relationships/header" Target="header4.xml"/><Relationship Id="rId24" Type="http://schemas.openxmlformats.org/officeDocument/2006/relationships/footer" Target="footer2.xml"/><Relationship Id="rId40" Type="http://schemas.openxmlformats.org/officeDocument/2006/relationships/hyperlink" Target="https://boostimpact.org/" TargetMode="External"/><Relationship Id="rId45" Type="http://schemas.openxmlformats.org/officeDocument/2006/relationships/hyperlink" Target="https://cdkn.org/" TargetMode="External"/><Relationship Id="rId66" Type="http://schemas.openxmlformats.org/officeDocument/2006/relationships/header" Target="header5.xml"/></Relationships>
</file>

<file path=word/_rels/footnotes.xml.rels><?xml version="1.0" encoding="UTF-8" standalone="yes"?>
<Relationships xmlns="http://schemas.openxmlformats.org/package/2006/relationships"><Relationship Id="rId13" Type="http://schemas.openxmlformats.org/officeDocument/2006/relationships/hyperlink" Target="https://fpi.ec.europa.eu/system/files/2021-05/pdna_-_serbia_2014_-_report.pdf" TargetMode="External"/><Relationship Id="rId18" Type="http://schemas.openxmlformats.org/officeDocument/2006/relationships/hyperlink" Target="https://openknowledge.worldbank.org/bitstream/handle/10986/37368/P17720607706c30e90841607b7d53ee8106.pdf" TargetMode="External"/><Relationship Id="rId26" Type="http://schemas.openxmlformats.org/officeDocument/2006/relationships/hyperlink" Target="https://doi.org/10.1007/s10584-012-0418-4" TargetMode="External"/><Relationship Id="rId21" Type="http://schemas.openxmlformats.org/officeDocument/2006/relationships/hyperlink" Target="https://www.ifastat.org/databases/plant-nutrition" TargetMode="External"/><Relationship Id="rId34" Type="http://schemas.openxmlformats.org/officeDocument/2006/relationships/hyperlink" Target="https://tadamon.community/cfa." TargetMode="External"/><Relationship Id="rId7" Type="http://schemas.openxmlformats.org/officeDocument/2006/relationships/hyperlink" Target="https://hdr.undp.org/content/human-development-report-2025" TargetMode="External"/><Relationship Id="rId12" Type="http://schemas.openxmlformats.org/officeDocument/2006/relationships/hyperlink" Target="https://www.savacommission.org/UserDocsImages/05_documents_publications/water_management/eng/SavaRBMPlan//sava_booklet_eng.pdf" TargetMode="External"/><Relationship Id="rId17" Type="http://schemas.openxmlformats.org/officeDocument/2006/relationships/hyperlink" Target="https://doi.org/10.3390/foods11223672" TargetMode="External"/><Relationship Id="rId25" Type="http://schemas.openxmlformats.org/officeDocument/2006/relationships/hyperlink" Target="http://dx.doi.org/10.2298/IJGI2101029M" TargetMode="External"/><Relationship Id="rId33" Type="http://schemas.openxmlformats.org/officeDocument/2006/relationships/hyperlink" Target="https://doi.org/10.1002/wat2.1726" TargetMode="External"/><Relationship Id="rId38" Type="http://schemas.openxmlformats.org/officeDocument/2006/relationships/hyperlink" Target="https://www.climatepolicyinitiative.org/publication/global-landscape-of-climate-finance-2024/" TargetMode="External"/><Relationship Id="rId2" Type="http://schemas.openxmlformats.org/officeDocument/2006/relationships/hyperlink" Target="https://www.worldometers.info/world-population/north-macedonia-population/" TargetMode="External"/><Relationship Id="rId16" Type="http://schemas.openxmlformats.org/officeDocument/2006/relationships/hyperlink" Target="https://doi.org/10.1186/s40066-024-00514-z" TargetMode="External"/><Relationship Id="rId20" Type="http://schemas.openxmlformats.org/officeDocument/2006/relationships/hyperlink" Target="https://openknowledge.worldbank.org/bitstream/handle/10986/38189/P17947818ec26c8c17fe014901194ac104a1b5d70a2a.pdf?sequence=1&amp;isAllowed=y" TargetMode="External"/><Relationship Id="rId29" Type="http://schemas.openxmlformats.org/officeDocument/2006/relationships/hyperlink" Target="https://www.worldbank.org/en/region/eca/publication/western-balkans-6-ccdr" TargetMode="External"/><Relationship Id="rId1" Type="http://schemas.openxmlformats.org/officeDocument/2006/relationships/hyperlink" Target="https://www.worldometers.info/world-population/montenegro-population/" TargetMode="External"/><Relationship Id="rId6" Type="http://schemas.openxmlformats.org/officeDocument/2006/relationships/hyperlink" Target="https://www.statista.com/statistics/1331455/western-balkans-gdp-growth-by-country/" TargetMode="External"/><Relationship Id="rId11" Type="http://schemas.openxmlformats.org/officeDocument/2006/relationships/hyperlink" Target="https://riverwatch.eu/en/balkanrivers/background" TargetMode="External"/><Relationship Id="rId24" Type="http://schemas.openxmlformats.org/officeDocument/2006/relationships/hyperlink" Target="http://dx.doi.org/10.2298/IJGI2101029M" TargetMode="External"/><Relationship Id="rId32" Type="http://schemas.openxmlformats.org/officeDocument/2006/relationships/hyperlink" Target="https://openknowledge.worldbank.org/entities/publication/2919885d-84a9-40e6-ab2a-aab21a5c1fcf" TargetMode="External"/><Relationship Id="rId37" Type="http://schemas.openxmlformats.org/officeDocument/2006/relationships/hyperlink" Target="https://www.gov.me/dokumenta/caefb6fa-762c-4e3b-9b11-7f15a6944254" TargetMode="External"/><Relationship Id="rId5" Type="http://schemas.openxmlformats.org/officeDocument/2006/relationships/hyperlink" Target="https://www.statista.com/statistics/1337205/western-balkans-gdp-growth/" TargetMode="External"/><Relationship Id="rId15" Type="http://schemas.openxmlformats.org/officeDocument/2006/relationships/hyperlink" Target="https://contaminated-sites.sazp.sk/wp-content/uploads/2020/11/12_ICCS_2015_Dragana_Vidojevic.pdf" TargetMode="External"/><Relationship Id="rId23" Type="http://schemas.openxmlformats.org/officeDocument/2006/relationships/hyperlink" Target="https://www.rcc.int/download/docs/2018-05-Study-on-Climate-Change-in-WB-2a-lowres.pdf" TargetMode="External"/><Relationship Id="rId28" Type="http://schemas.openxmlformats.org/officeDocument/2006/relationships/hyperlink" Target="https://www.worldbank.org/en/region/eca/publication/western-balkans-6-ccdr" TargetMode="External"/><Relationship Id="rId36" Type="http://schemas.openxmlformats.org/officeDocument/2006/relationships/hyperlink" Target="https://unfccc.int/ttclear/TNA/MKD-TNA-TNA_2004.pdf" TargetMode="External"/><Relationship Id="rId10" Type="http://schemas.openxmlformats.org/officeDocument/2006/relationships/hyperlink" Target="https://www.balkanrivers.net/en/campaign" TargetMode="External"/><Relationship Id="rId19" Type="http://schemas.openxmlformats.org/officeDocument/2006/relationships/hyperlink" Target="https://ec.europa.eu/eurostat/web/products-eurostat-news/-/ddn-20201228-1" TargetMode="External"/><Relationship Id="rId31" Type="http://schemas.openxmlformats.org/officeDocument/2006/relationships/hyperlink" Target="https://climate.ec.europa.eu/climate-change/consequences-climate-change_en" TargetMode="External"/><Relationship Id="rId4" Type="http://schemas.openxmlformats.org/officeDocument/2006/relationships/hyperlink" Target="https://www.worldometers.info/world-population/serbia-population/" TargetMode="External"/><Relationship Id="rId9" Type="http://schemas.openxmlformats.org/officeDocument/2006/relationships/hyperlink" Target="https://www.grida.no" TargetMode="External"/><Relationship Id="rId14" Type="http://schemas.openxmlformats.org/officeDocument/2006/relationships/hyperlink" Target="https://climate-adapt.eea.europa.eu/en/metadata/case-studies/toolbox-for-transboundary-water-contingency-management-in-the-sava-river-basin/" TargetMode="External"/><Relationship Id="rId22" Type="http://schemas.openxmlformats.org/officeDocument/2006/relationships/hyperlink" Target="https://doi.org/10.3390/foods11223672" TargetMode="External"/><Relationship Id="rId27" Type="http://schemas.openxmlformats.org/officeDocument/2006/relationships/hyperlink" Target="https://www.hidmet.gov.rs/eng/meteorologija/klimatologija_temp_rezim.php" TargetMode="External"/><Relationship Id="rId30" Type="http://schemas.openxmlformats.org/officeDocument/2006/relationships/hyperlink" Target="https://www.adaptation-fund.org/wp-content/uploads/2020/10/AFB.PPRC_.26.b.17-Options-for-further-defining-innovation-in-adaptation-1.pdf" TargetMode="External"/><Relationship Id="rId35" Type="http://schemas.openxmlformats.org/officeDocument/2006/relationships/hyperlink" Target="https://unfccc.int/sites/default/files/resource/FNC%20BiH_ENG%20fin.pdf" TargetMode="External"/><Relationship Id="rId8" Type="http://schemas.openxmlformats.org/officeDocument/2006/relationships/hyperlink" Target="https://www.sarmountain.org.mk/en/park/general-information" TargetMode="External"/><Relationship Id="rId3" Type="http://schemas.openxmlformats.org/officeDocument/2006/relationships/hyperlink" Target="https://www.worldometers.info/world-population/bosnia-and-herzegovina-population/" TargetMode="External"/></Relationships>
</file>

<file path=word/documenttasks/documenttasks1.xml><?xml version="1.0" encoding="utf-8"?>
<t:Tasks xmlns:t="http://schemas.microsoft.com/office/tasks/2019/documenttasks" xmlns:oel="http://schemas.microsoft.com/office/2019/extlst">
  <t:Task id="{BB30A76E-6E4C-4C42-B550-15BD455B857D}">
    <t:Anchor>
      <t:Comment id="1412225566"/>
    </t:Anchor>
    <t:History>
      <t:Event id="{7C20DC10-68D5-40C0-BD8F-5908436DAACB}" time="2025-07-03T04:23:56.542Z">
        <t:Attribution userId="S::monica.borrero@undp.org::424bdbd4-af3b-4b07-9bb9-0ada0097233c" userProvider="AD" userName="Monica Borrero"/>
        <t:Anchor>
          <t:Comment id="1412225566"/>
        </t:Anchor>
        <t:Create/>
      </t:Event>
      <t:Event id="{87F19C02-4255-47B5-8101-A7748BDD8296}" time="2025-07-03T04:23:56.542Z">
        <t:Attribution userId="S::monica.borrero@undp.org::424bdbd4-af3b-4b07-9bb9-0ada0097233c" userProvider="AD" userName="Monica Borrero"/>
        <t:Anchor>
          <t:Comment id="1412225566"/>
        </t:Anchor>
        <t:Assign userId="S::nataly.olofinskaya@undp.org::44ba2743-aab5-4029-8d4b-cf2e8efc001c" userProvider="AD" userName="Nataly Olofinskaya"/>
      </t:Event>
      <t:Event id="{C3DAE7D0-00AB-4716-B344-0BCE24ED0944}" time="2025-07-03T04:23:56.542Z">
        <t:Attribution userId="S::monica.borrero@undp.org::424bdbd4-af3b-4b07-9bb9-0ada0097233c" userProvider="AD" userName="Monica Borrero"/>
        <t:Anchor>
          <t:Comment id="1412225566"/>
        </t:Anchor>
        <t:SetTitle title="@Nataly Olofinskaya who needs to sign this certification, Nancy? or Radhika?"/>
      </t:Event>
      <t:Event id="{B40424C7-789D-49AE-9A88-1D2193B7F7CE}" time="2025-07-03T04:53:51.396Z">
        <t:Attribution userId="S::monica.borrero@undp.org::424bdbd4-af3b-4b07-9bb9-0ada0097233c" userProvider="AD" userName="Monica Borrero"/>
        <t:Progress percentComplete="100"/>
      </t:Event>
    </t:History>
  </t:Task>
  <t:Task id="{7E3AD524-5B75-4475-8DE4-7B2A8DE262A8}">
    <t:Anchor>
      <t:Comment id="892525064"/>
    </t:Anchor>
    <t:History>
      <t:Event id="{6644E633-3457-4D3E-BF4E-509BD6CFCD61}" time="2025-06-30T07:15:38.182Z">
        <t:Attribution userId="S::ben.thompsoncoon@undp.org::40af0d08-0b17-4c3e-9161-8003927d97b1" userProvider="AD" userName="Ben Thompson Coon"/>
        <t:Anchor>
          <t:Comment id="892525064"/>
        </t:Anchor>
        <t:Create/>
      </t:Event>
      <t:Event id="{BCB10DAB-B42F-4B9A-89DD-ED53835934AB}" time="2025-06-30T07:15:38.182Z">
        <t:Attribution userId="S::ben.thompsoncoon@undp.org::40af0d08-0b17-4c3e-9161-8003927d97b1" userProvider="AD" userName="Ben Thompson Coon"/>
        <t:Anchor>
          <t:Comment id="892525064"/>
        </t:Anchor>
        <t:Assign userId="S::aditi.soni@undp.org::00a39f3a-3aad-4064-a375-ed7666de3211" userProvider="AD" userName="Aditi Soni"/>
      </t:Event>
      <t:Event id="{7BEEFABA-852D-493B-B799-66B7FEC60134}" time="2025-06-30T07:15:38.182Z">
        <t:Attribution userId="S::ben.thompsoncoon@undp.org::40af0d08-0b17-4c3e-9161-8003927d97b1" userProvider="AD" userName="Ben Thompson Coon"/>
        <t:Anchor>
          <t:Comment id="892525064"/>
        </t:Anchor>
        <t:SetTitle title="@Aditi Soni Instead of this I would suggest below. If they are existing SMEs / NGOs and not new startups below will be more useful for them and align more with our work. Sustainability-Focused Business Model Innovation: Description: This module focuses …"/>
      </t:Event>
      <t:Event id="{448D5A87-24DE-4C4A-802D-04AA8C533056}" time="2025-06-30T10:09:09.938Z">
        <t:Attribution userId="S::aditi.soni@undp.org::00a39f3a-3aad-4064-a375-ed7666de3211" userProvider="AD" userName="Aditi Soni"/>
        <t:Progress percentComplete="100"/>
      </t:Event>
    </t:History>
  </t:Task>
  <t:Task id="{A975BBDC-8310-47FC-B896-97B65C15FDE1}">
    <t:Anchor>
      <t:Comment id="50517176"/>
    </t:Anchor>
    <t:History>
      <t:Event id="{397A3F71-6581-42D4-8852-758F5C122125}" time="2025-07-07T08:37:23.091Z">
        <t:Attribution userId="S::monica.borrero@undp.org::424bdbd4-af3b-4b07-9bb9-0ada0097233c" userProvider="AD" userName="Monica Borrero"/>
        <t:Anchor>
          <t:Comment id="106058895"/>
        </t:Anchor>
        <t:Create/>
      </t:Event>
      <t:Event id="{0F2485E2-892B-465E-8BFD-6488597806F5}" time="2025-07-07T08:37:23.091Z">
        <t:Attribution userId="S::monica.borrero@undp.org::424bdbd4-af3b-4b07-9bb9-0ada0097233c" userProvider="AD" userName="Monica Borrero"/>
        <t:Anchor>
          <t:Comment id="106058895"/>
        </t:Anchor>
        <t:Assign userId="S::tina.stoum@undp.org::a07af5b3-f0c2-4afd-9295-ae29e48db074" userProvider="AD" userName="Tina Stoum"/>
      </t:Event>
      <t:Event id="{4A6D5A19-6446-4D6F-96A6-FA7EC7B97E32}" time="2025-07-07T08:37:23.091Z">
        <t:Attribution userId="S::monica.borrero@undp.org::424bdbd4-af3b-4b07-9bb9-0ada0097233c" userProvider="AD" userName="Monica Borrero"/>
        <t:Anchor>
          <t:Comment id="106058895"/>
        </t:Anchor>
        <t:SetTitle title="@Tina Stoum we can delete this format from this part of the proposal, and refer the reader to Annex 1 (signed LOEs)"/>
      </t:Event>
    </t:History>
  </t:Task>
  <t:Task id="{540A52E2-5482-4D90-BEFD-91A7C528D210}">
    <t:Anchor>
      <t:Comment id="1108450806"/>
    </t:Anchor>
    <t:History>
      <t:Event id="{81040C95-AFDB-4CD6-A257-C8B924929165}" time="2025-07-07T08:39:04.766Z">
        <t:Attribution userId="S::monica.borrero@undp.org::424bdbd4-af3b-4b07-9bb9-0ada0097233c" userProvider="AD" userName="Monica Borrero"/>
        <t:Anchor>
          <t:Comment id="230502935"/>
        </t:Anchor>
        <t:Create/>
      </t:Event>
      <t:Event id="{E5135893-0449-41C3-997C-CE9B6DCF655A}" time="2025-07-07T08:39:04.766Z">
        <t:Attribution userId="S::monica.borrero@undp.org::424bdbd4-af3b-4b07-9bb9-0ada0097233c" userProvider="AD" userName="Monica Borrero"/>
        <t:Anchor>
          <t:Comment id="230502935"/>
        </t:Anchor>
        <t:Assign userId="S::ekin.celikyay@undp.org::7e8b8efd-dc5a-4120-8736-4d6f5312c3da" userProvider="AD" userName="Ekin Celikyay"/>
      </t:Event>
      <t:Event id="{AEEA66E6-9E36-47A1-A5EE-DB1846B43B85}" time="2025-07-07T08:39:04.766Z">
        <t:Attribution userId="S::monica.borrero@undp.org::424bdbd4-af3b-4b07-9bb9-0ada0097233c" userProvider="AD" userName="Monica Borrero"/>
        <t:Anchor>
          <t:Comment id="230502935"/>
        </t:Anchor>
        <t:SetTitle title="@Ekin Celikyay as agreed, please summarize the consultations (1 paragraph each) and mention briefly some of the stakeholders consulted in each country,."/>
      </t:Event>
      <t:Event id="{817B4858-9420-4D36-B343-00AD56C2EA73}" time="2025-07-08T11:24:50.387Z">
        <t:Attribution userId="S::ekin.celikyay@undp.org::7e8b8efd-dc5a-4120-8736-4d6f5312c3da" userProvider="AD" userName="Ekin Celikyay"/>
        <t:Progress percentComplete="100"/>
      </t:Event>
    </t:History>
  </t:Task>
  <t:Task id="{3E7C7499-0078-4848-9946-0318A7DEDB5F}">
    <t:Anchor>
      <t:Comment id="1014240928"/>
    </t:Anchor>
    <t:History>
      <t:Event id="{C1C3C8A0-8D7A-6B40-B63D-8AC988A76387}" time="2025-06-29T20:57:18.404Z">
        <t:Attribution userId="S::ekin.celikyay@undp.org::7e8b8efd-dc5a-4120-8736-4d6f5312c3da" userProvider="AD" userName="Ekin Celikyay"/>
        <t:Anchor>
          <t:Comment id="1014240928"/>
        </t:Anchor>
        <t:Create/>
      </t:Event>
      <t:Event id="{986A1E4B-19AE-AD4D-84C9-DD1BC005CDBC}" time="2025-06-29T20:57:18.404Z">
        <t:Attribution userId="S::ekin.celikyay@undp.org::7e8b8efd-dc5a-4120-8736-4d6f5312c3da" userProvider="AD" userName="Ekin Celikyay"/>
        <t:Anchor>
          <t:Comment id="1014240928"/>
        </t:Anchor>
        <t:Assign userId="S::jeffrey.major@undp.org::27d024e3-d988-470d-85c0-91a42c8dd132" userProvider="AD" userName="Jeffrey Major"/>
      </t:Event>
      <t:Event id="{2A974A36-C48F-074A-AA84-BD0621AAA46D}" time="2025-06-29T20:57:18.404Z">
        <t:Attribution userId="S::ekin.celikyay@undp.org::7e8b8efd-dc5a-4120-8736-4d6f5312c3da" userProvider="AD" userName="Ekin Celikyay"/>
        <t:Anchor>
          <t:Comment id="1014240928"/>
        </t:Anchor>
        <t:SetTitle title="@Jeffrey Major jack can you please add the amount as it seems missing"/>
      </t:Event>
      <t:Event id="{A358A705-61D4-49D9-BA3C-15A2BF61FD71}" time="2025-06-30T00:25:19.305Z">
        <t:Attribution userId="S::jeffrey.major@undp.org::27d024e3-d988-470d-85c0-91a42c8dd132" userProvider="AD" userName="Jeffrey Major"/>
        <t:Progress percentComplete="100"/>
      </t:Event>
    </t:History>
  </t:Task>
  <t:Task id="{E306DB22-0DE1-48A1-956D-ACFCBE6C349F}">
    <t:Anchor>
      <t:Comment id="1066479581"/>
    </t:Anchor>
    <t:History>
      <t:Event id="{AC691402-25BC-419A-87D3-753684424E59}" time="2025-07-01T06:46:56.087Z">
        <t:Attribution userId="S::monica.borrero@undp.org::424bdbd4-af3b-4b07-9bb9-0ada0097233c" userProvider="AD" userName="Monica Borrero"/>
        <t:Anchor>
          <t:Comment id="1066479581"/>
        </t:Anchor>
        <t:Create/>
      </t:Event>
      <t:Event id="{1B7AA4B2-29F2-4D26-BE04-47911FCF1F12}" time="2025-07-01T06:46:56.087Z">
        <t:Attribution userId="S::monica.borrero@undp.org::424bdbd4-af3b-4b07-9bb9-0ada0097233c" userProvider="AD" userName="Monica Borrero"/>
        <t:Anchor>
          <t:Comment id="1066479581"/>
        </t:Anchor>
        <t:Assign userId="S::tina.stoum@undp.org::a07af5b3-f0c2-4afd-9295-ae29e48db074" userProvider="AD" userName="Tina Stoum"/>
      </t:Event>
      <t:Event id="{1BF8DE86-282D-47EB-A849-CAFFC2DC4CFD}" time="2025-07-01T06:46:56.087Z">
        <t:Attribution userId="S::monica.borrero@undp.org::424bdbd4-af3b-4b07-9bb9-0ada0097233c" userProvider="AD" userName="Monica Borrero"/>
        <t:Anchor>
          <t:Comment id="1066479581"/>
        </t:Anchor>
        <t:SetTitle title="@Tina Stoum maybe you can also add other comms products from tadamon, BOOst programe, or from the COs here in this list. We left some examples from AFCIA as a bas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e02667f-0271-471b-bd6e-11a2e16def1d">
      <Value>5</Value>
    </TaxCatchAll>
    <o1cb080a3dca4eb8a0fd03c7cc8bf8f7 xmlns="3e02667f-0271-471b-bd6e-11a2e16def1d">
      <Terms xmlns="http://schemas.microsoft.com/office/infopath/2007/PartnerControls"/>
    </o1cb080a3dca4eb8a0fd03c7cc8bf8f7>
    <Abstract xmlns="3e02667f-0271-471b-bd6e-11a2e16def1d" xsi:nil="true"/>
    <WBDocs_Access_To_Info_Exception xmlns="3e02667f-0271-471b-bd6e-11a2e16def1d">12. Not Assessed</WBDocs_Access_To_Info_Exception>
    <WBDocs_Document_Date xmlns="3e02667f-0271-471b-bd6e-11a2e16def1d">2025-09-11T15:35:19+00:00</WBDocs_Document_Date>
    <OneCMS_Subcategory xmlns="3e02667f-0271-471b-bd6e-11a2e16def1d" xsi:nil="true"/>
    <i008215bacac45029ee8cafff4c8e93b xmlns="3e02667f-0271-471b-bd6e-11a2e16def1d">
      <Terms xmlns="http://schemas.microsoft.com/office/infopath/2007/PartnerControls">
        <TermInfo xmlns="http://schemas.microsoft.com/office/infopath/2007/PartnerControls">
          <TermName xmlns="http://schemas.microsoft.com/office/infopath/2007/PartnerControls">GEF - Global Environment Facility</TermName>
          <TermId xmlns="http://schemas.microsoft.com/office/infopath/2007/PartnerControls">9f323ca6-1e1c-45a7-a1ba-5f59196854eb</TermId>
        </TermInfo>
      </Terms>
    </i008215bacac45029ee8cafff4c8e93b>
    <WBDocs_Information_Classification xmlns="3e02667f-0271-471b-bd6e-11a2e16def1d">Official Use Only</WBDocs_Information_Classification>
    <OneCMS_Category xmlns="3e02667f-0271-471b-bd6e-11a2e16def1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WBDocument" ma:contentTypeID="0x010100F4C63C3BD852AE468EAEFD0E6C57C64F0200F6BB69EE57CB454DB48205F49CB29C50" ma:contentTypeVersion="16" ma:contentTypeDescription="" ma:contentTypeScope="" ma:versionID="59016f951ae137cc4812a57ace9867e4">
  <xsd:schema xmlns:xsd="http://www.w3.org/2001/XMLSchema" xmlns:xs="http://www.w3.org/2001/XMLSchema" xmlns:p="http://schemas.microsoft.com/office/2006/metadata/properties" xmlns:ns3="3e02667f-0271-471b-bd6e-11a2e16def1d" targetNamespace="http://schemas.microsoft.com/office/2006/metadata/properties" ma:root="true" ma:fieldsID="b02382423e783a5e02581fd8d619098a" ns3:_="">
    <xsd:import namespace="3e02667f-0271-471b-bd6e-11a2e16def1d"/>
    <xsd:element name="properties">
      <xsd:complexType>
        <xsd:sequence>
          <xsd:element name="documentManagement">
            <xsd:complexType>
              <xsd:all>
                <xsd:element ref="ns3:WBDocs_Document_Date" minOccurs="0"/>
                <xsd:element ref="ns3:WBDocs_Information_Classification"/>
                <xsd:element ref="ns3:TaxCatchAll" minOccurs="0"/>
                <xsd:element ref="ns3:TaxCatchAllLabel" minOccurs="0"/>
                <xsd:element ref="ns3:_dlc_DocId" minOccurs="0"/>
                <xsd:element ref="ns3:_dlc_DocIdUrl" minOccurs="0"/>
                <xsd:element ref="ns3:_dlc_DocIdPersistId" minOccurs="0"/>
                <xsd:element ref="ns3:WBDocs_Access_To_Info_Exception" minOccurs="0"/>
                <xsd:element ref="ns3:o1cb080a3dca4eb8a0fd03c7cc8bf8f7" minOccurs="0"/>
                <xsd:element ref="ns3:i008215bacac45029ee8cafff4c8e93b" minOccurs="0"/>
                <xsd:element ref="ns3:OneCMS_Subcategory" minOccurs="0"/>
                <xsd:element ref="ns3:OneCMS_Category" minOccurs="0"/>
                <xsd:element ref="ns3:Abstrac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WBDocs_Document_Date" ma:index="3" nillable="true" ma:displayName="Document Date" ma:default="[today]" ma:format="DateTime" ma:internalName="WBDocs_Document_Date" ma:readOnly="false">
      <xsd:simpleType>
        <xsd:restriction base="dms:DateTime"/>
      </xsd:simpleType>
    </xsd:element>
    <xsd:element name="WBDocs_Information_Classification" ma:index="4" ma:displayName="Information Classification" ma:default="Official Use Only" ma:format="Dropdown" ma:internalName="WBDocs_Information_Classification" ma:readOnly="false">
      <xsd:simpleType>
        <xsd:restriction base="dms:Choice">
          <xsd:enumeration value="Public"/>
          <xsd:enumeration value="Official Use Only"/>
          <xsd:enumeration value="Confidential"/>
          <xsd:enumeration value="Strictly Confidential"/>
        </xsd:restriction>
      </xsd:simpleType>
    </xsd:element>
    <xsd:element name="TaxCatchAll" ma:index="6" nillable="true" ma:displayName="Taxonomy Catch All Column" ma:hidden="true" ma:list="{52a9afb7-7b6a-44ed-a0ea-db681bed9442}" ma:internalName="TaxCatchAll" ma:showField="CatchAllData" ma:web="2162f347-cf1b-4bed-ad36-8fa5f60395a9">
      <xsd:complexType>
        <xsd:complexContent>
          <xsd:extension base="dms:MultiChoiceLookup">
            <xsd:sequence>
              <xsd:element name="Value" type="dms:Lookup" maxOccurs="unbounded" minOccurs="0" nillable="true"/>
            </xsd:sequence>
          </xsd:extension>
        </xsd:complexContent>
      </xsd:complexType>
    </xsd:element>
    <xsd:element name="TaxCatchAllLabel" ma:index="7" nillable="true" ma:displayName="Taxonomy Catch All Column1" ma:hidden="true" ma:list="{52a9afb7-7b6a-44ed-a0ea-db681bed9442}" ma:internalName="TaxCatchAllLabel" ma:readOnly="true" ma:showField="CatchAllDataLabel" ma:web="2162f347-cf1b-4bed-ad36-8fa5f60395a9">
      <xsd:complexType>
        <xsd:complexContent>
          <xsd:extension base="dms:MultiChoiceLookup">
            <xsd:sequence>
              <xsd:element name="Value" type="dms:Lookup" maxOccurs="unbounded" minOccurs="0" nillable="true"/>
            </xsd:sequence>
          </xsd:extension>
        </xsd:complexContent>
      </xsd:complexType>
    </xsd:element>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WBDocs_Access_To_Info_Exception" ma:index="13" nillable="true" ma:displayName="Access to Info Exception" ma:default="12. Not Assessed" ma:format="Dropdown" ma:internalName="WBDocs_Access_To_Info_Exception">
      <xsd:simpleType>
        <xsd:restriction base="dms:Choice">
          <xsd:enumeration value="1. Personal"/>
          <xsd:enumeration value="2. Executive Director's Communications"/>
          <xsd:enumeration value="3. Board Ethics Committee"/>
          <xsd:enumeration value="4. Attorney-Client Privilege"/>
          <xsd:enumeration value="5. Security &amp; Safety"/>
          <xsd:enumeration value="6. Other Disclosure Regimes"/>
          <xsd:enumeration value="7. Client / Third Party Confidence"/>
          <xsd:enumeration value="8. Corporate/Administrative"/>
          <xsd:enumeration value="9. Deliberative"/>
          <xsd:enumeration value="10a-c. Financial - Forecast/Analysis/Transactions"/>
          <xsd:enumeration value="10d. Financial - Banking &amp; Billing"/>
          <xsd:enumeration value="11. Bank's Prerogative to Restrict"/>
          <xsd:enumeration value="12. Not Assessed"/>
          <xsd:enumeration value="13. Not Applicable"/>
          <xsd:enumeration value="Unknown Policy Restriction"/>
        </xsd:restriction>
      </xsd:simpleType>
    </xsd:element>
    <xsd:element name="o1cb080a3dca4eb8a0fd03c7cc8bf8f7" ma:index="15" nillable="true" ma:taxonomy="true" ma:internalName="o1cb080a3dca4eb8a0fd03c7cc8bf8f7" ma:taxonomyFieldName="WBDocs_Local_Document_Type" ma:displayName="Local Document Type" ma:readOnly="false" ma:default="" ma:fieldId="{81cb080a-3dca-4eb8-a0fd-03c7cc8bf8f7}" ma:taxonomyMulti="true" ma:sspId="2a6c10d7-b926-4fc0-945e-3cbf5049f6bd" ma:termSetId="ec380048-e675-43f7-9194-41567bcb0af6" ma:anchorId="00000000-0000-0000-0000-000000000000" ma:open="false" ma:isKeyword="false">
      <xsd:complexType>
        <xsd:sequence>
          <xsd:element ref="pc:Terms" minOccurs="0" maxOccurs="1"/>
        </xsd:sequence>
      </xsd:complexType>
    </xsd:element>
    <xsd:element name="i008215bacac45029ee8cafff4c8e93b" ma:index="17" nillable="true" ma:taxonomy="true" ma:internalName="i008215bacac45029ee8cafff4c8e93b" ma:taxonomyFieldName="WBDocs_Originating_Unit" ma:displayName="Originating unit" ma:readOnly="false" ma:default="5;#GEF - Global Environment Facility|9f323ca6-1e1c-45a7-a1ba-5f59196854eb" ma:fieldId="{2008215b-acac-4502-9ee8-cafff4c8e93b}" ma:taxonomyMulti="true" ma:sspId="2a6c10d7-b926-4fc0-945e-3cbf5049f6bd" ma:termSetId="806c0147-d557-463e-8bb0-983f4f318bd5" ma:anchorId="00000000-0000-0000-0000-000000000000" ma:open="false" ma:isKeyword="false">
      <xsd:complexType>
        <xsd:sequence>
          <xsd:element ref="pc:Terms" minOccurs="0" maxOccurs="1"/>
        </xsd:sequence>
      </xsd:complexType>
    </xsd:element>
    <xsd:element name="OneCMS_Subcategory" ma:index="21" nillable="true" ma:displayName="Subcategory" ma:hidden="true" ma:internalName="OneCMS_Subcategory" ma:readOnly="false">
      <xsd:simpleType>
        <xsd:restriction base="dms:Text"/>
      </xsd:simpleType>
    </xsd:element>
    <xsd:element name="OneCMS_Category" ma:index="22" nillable="true" ma:displayName="Category" ma:hidden="true" ma:internalName="OneCMS_Category" ma:readOnly="false">
      <xsd:simpleType>
        <xsd:restriction base="dms:Text"/>
      </xsd:simpleType>
    </xsd:element>
    <xsd:element name="Abstract" ma:index="23" nillable="true" ma:displayName="Abstract" ma:hidden="true" ma:internalName="Abstract"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1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2a6c10d7-b926-4fc0-945e-3cbf5049f6bd" ContentTypeId="0x010100F4C63C3BD852AE468EAEFD0E6C57C64F02" PreviousValue="false"/>
</file>

<file path=customXml/item6.xml><?xml version="1.0" encoding="utf-8"?>
<?mso-contentType ?>
<spe:Receivers xmlns:spe="http://schemas.microsoft.com/sharepoint/events"/>
</file>

<file path=customXml/itemProps1.xml><?xml version="1.0" encoding="utf-8"?>
<ds:datastoreItem xmlns:ds="http://schemas.openxmlformats.org/officeDocument/2006/customXml" ds:itemID="{8A4FD9E2-65CF-4176-A6B7-178F7D9AEAC1}">
  <ds:schemaRefs>
    <ds:schemaRef ds:uri="http://schemas.microsoft.com/office/2006/metadata/properties"/>
    <ds:schemaRef ds:uri="http://schemas.microsoft.com/office/infopath/2007/PartnerControls"/>
    <ds:schemaRef ds:uri="405e8c43-69f9-454a-8e02-ec6c0c706e73"/>
    <ds:schemaRef ds:uri="c59f1259-a169-4ead-bafc-533399af7a79"/>
  </ds:schemaRefs>
</ds:datastoreItem>
</file>

<file path=customXml/itemProps2.xml><?xml version="1.0" encoding="utf-8"?>
<ds:datastoreItem xmlns:ds="http://schemas.openxmlformats.org/officeDocument/2006/customXml" ds:itemID="{C5ABF3D2-72A8-4DF0-8B9F-AE2B4E7DB4D8}"/>
</file>

<file path=customXml/itemProps3.xml><?xml version="1.0" encoding="utf-8"?>
<ds:datastoreItem xmlns:ds="http://schemas.openxmlformats.org/officeDocument/2006/customXml" ds:itemID="{8DAB47A9-3631-4C47-AA85-06992536D43E}">
  <ds:schemaRefs>
    <ds:schemaRef ds:uri="http://schemas.microsoft.com/sharepoint/v3/contenttype/forms"/>
  </ds:schemaRefs>
</ds:datastoreItem>
</file>

<file path=customXml/itemProps4.xml><?xml version="1.0" encoding="utf-8"?>
<ds:datastoreItem xmlns:ds="http://schemas.openxmlformats.org/officeDocument/2006/customXml" ds:itemID="{936A1049-D2F2-4FF2-B65E-BCE49DA22F50}">
  <ds:schemaRefs>
    <ds:schemaRef ds:uri="http://schemas.openxmlformats.org/officeDocument/2006/bibliography"/>
  </ds:schemaRefs>
</ds:datastoreItem>
</file>

<file path=customXml/itemProps5.xml><?xml version="1.0" encoding="utf-8"?>
<ds:datastoreItem xmlns:ds="http://schemas.openxmlformats.org/officeDocument/2006/customXml" ds:itemID="{D8E3E928-4A56-46FB-ABE3-EA945A51316F}"/>
</file>

<file path=customXml/itemProps6.xml><?xml version="1.0" encoding="utf-8"?>
<ds:datastoreItem xmlns:ds="http://schemas.openxmlformats.org/officeDocument/2006/customXml" ds:itemID="{7EBE201E-3C5F-4ED6-85FF-3F21F6C57055}"/>
</file>

<file path=docProps/app.xml><?xml version="1.0" encoding="utf-8"?>
<Properties xmlns="http://schemas.openxmlformats.org/officeDocument/2006/extended-properties" xmlns:vt="http://schemas.openxmlformats.org/officeDocument/2006/docPropsVTypes">
  <Template>Normal</Template>
  <TotalTime>578</TotalTime>
  <Pages>120</Pages>
  <Words>52860</Words>
  <Characters>301302</Characters>
  <Application>Microsoft Office Word</Application>
  <DocSecurity>0</DocSecurity>
  <Lines>2510</Lines>
  <Paragraphs>706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353456</CharactersWithSpaces>
  <SharedDoc>false</SharedDoc>
  <HLinks>
    <vt:vector size="654" baseType="variant">
      <vt:variant>
        <vt:i4>1704036</vt:i4>
      </vt:variant>
      <vt:variant>
        <vt:i4>369</vt:i4>
      </vt:variant>
      <vt:variant>
        <vt:i4>0</vt:i4>
      </vt:variant>
      <vt:variant>
        <vt:i4>5</vt:i4>
      </vt:variant>
      <vt:variant>
        <vt:lpwstr>mailto:nataly.olofinskaya@undp.org</vt:lpwstr>
      </vt:variant>
      <vt:variant>
        <vt:lpwstr/>
      </vt:variant>
      <vt:variant>
        <vt:i4>1703981</vt:i4>
      </vt:variant>
      <vt:variant>
        <vt:i4>363</vt:i4>
      </vt:variant>
      <vt:variant>
        <vt:i4>0</vt:i4>
      </vt:variant>
      <vt:variant>
        <vt:i4>5</vt:i4>
      </vt:variant>
      <vt:variant>
        <vt:lpwstr>mailto:i.mexhiti@moepp.gov.mk</vt:lpwstr>
      </vt:variant>
      <vt:variant>
        <vt:lpwstr/>
      </vt:variant>
      <vt:variant>
        <vt:i4>45</vt:i4>
      </vt:variant>
      <vt:variant>
        <vt:i4>360</vt:i4>
      </vt:variant>
      <vt:variant>
        <vt:i4>0</vt:i4>
      </vt:variant>
      <vt:variant>
        <vt:i4>5</vt:i4>
      </vt:variant>
      <vt:variant>
        <vt:lpwstr>mailto:zoran.dabetic@mers.gov.me</vt:lpwstr>
      </vt:variant>
      <vt:variant>
        <vt:lpwstr/>
      </vt:variant>
      <vt:variant>
        <vt:i4>8126480</vt:i4>
      </vt:variant>
      <vt:variant>
        <vt:i4>357</vt:i4>
      </vt:variant>
      <vt:variant>
        <vt:i4>0</vt:i4>
      </vt:variant>
      <vt:variant>
        <vt:i4>5</vt:i4>
      </vt:variant>
      <vt:variant>
        <vt:lpwstr>mailto:trezorbih@mft.gov.ba</vt:lpwstr>
      </vt:variant>
      <vt:variant>
        <vt:lpwstr/>
      </vt:variant>
      <vt:variant>
        <vt:i4>5832726</vt:i4>
      </vt:variant>
      <vt:variant>
        <vt:i4>354</vt:i4>
      </vt:variant>
      <vt:variant>
        <vt:i4>0</vt:i4>
      </vt:variant>
      <vt:variant>
        <vt:i4>5</vt:i4>
      </vt:variant>
      <vt:variant>
        <vt:lpwstr>https://www.adaptation-fund.org/apply-funding/implementing-entities/national-implementing-entity/</vt:lpwstr>
      </vt:variant>
      <vt:variant>
        <vt:lpwstr/>
      </vt:variant>
      <vt:variant>
        <vt:i4>5701654</vt:i4>
      </vt:variant>
      <vt:variant>
        <vt:i4>351</vt:i4>
      </vt:variant>
      <vt:variant>
        <vt:i4>0</vt:i4>
      </vt:variant>
      <vt:variant>
        <vt:i4>5</vt:i4>
      </vt:variant>
      <vt:variant>
        <vt:lpwstr>https://www.adaptation-undp.org/afcia</vt:lpwstr>
      </vt:variant>
      <vt:variant>
        <vt:lpwstr/>
      </vt:variant>
      <vt:variant>
        <vt:i4>5767188</vt:i4>
      </vt:variant>
      <vt:variant>
        <vt:i4>348</vt:i4>
      </vt:variant>
      <vt:variant>
        <vt:i4>0</vt:i4>
      </vt:variant>
      <vt:variant>
        <vt:i4>5</vt:i4>
      </vt:variant>
      <vt:variant>
        <vt:lpwstr>https://www.adaptation-undp.org/</vt:lpwstr>
      </vt:variant>
      <vt:variant>
        <vt:lpwstr/>
      </vt:variant>
      <vt:variant>
        <vt:i4>7077987</vt:i4>
      </vt:variant>
      <vt:variant>
        <vt:i4>345</vt:i4>
      </vt:variant>
      <vt:variant>
        <vt:i4>0</vt:i4>
      </vt:variant>
      <vt:variant>
        <vt:i4>5</vt:i4>
      </vt:variant>
      <vt:variant>
        <vt:lpwstr>https://www.adaptation-undp.org/afcia/dashboard</vt:lpwstr>
      </vt:variant>
      <vt:variant>
        <vt:lpwstr/>
      </vt:variant>
      <vt:variant>
        <vt:i4>1114177</vt:i4>
      </vt:variant>
      <vt:variant>
        <vt:i4>342</vt:i4>
      </vt:variant>
      <vt:variant>
        <vt:i4>0</vt:i4>
      </vt:variant>
      <vt:variant>
        <vt:i4>5</vt:i4>
      </vt:variant>
      <vt:variant>
        <vt:lpwstr>https://innovation.eurasia.undp.org/</vt:lpwstr>
      </vt:variant>
      <vt:variant>
        <vt:lpwstr/>
      </vt:variant>
      <vt:variant>
        <vt:i4>7667815</vt:i4>
      </vt:variant>
      <vt:variant>
        <vt:i4>339</vt:i4>
      </vt:variant>
      <vt:variant>
        <vt:i4>0</vt:i4>
      </vt:variant>
      <vt:variant>
        <vt:i4>5</vt:i4>
      </vt:variant>
      <vt:variant>
        <vt:lpwstr>https://www.flickr.com/photos/undpclimatechangeadaptation/albums/72177720309844931/</vt:lpwstr>
      </vt:variant>
      <vt:variant>
        <vt:lpwstr/>
      </vt:variant>
      <vt:variant>
        <vt:i4>7864334</vt:i4>
      </vt:variant>
      <vt:variant>
        <vt:i4>336</vt:i4>
      </vt:variant>
      <vt:variant>
        <vt:i4>0</vt:i4>
      </vt:variant>
      <vt:variant>
        <vt:i4>5</vt:i4>
      </vt:variant>
      <vt:variant>
        <vt:lpwstr>https://www.youtube.com/playlist?list=PLyBRsrYRs7YfF7_Lbc6TQfzxBbvVSZFFD</vt:lpwstr>
      </vt:variant>
      <vt:variant>
        <vt:lpwstr/>
      </vt:variant>
      <vt:variant>
        <vt:i4>5373980</vt:i4>
      </vt:variant>
      <vt:variant>
        <vt:i4>333</vt:i4>
      </vt:variant>
      <vt:variant>
        <vt:i4>0</vt:i4>
      </vt:variant>
      <vt:variant>
        <vt:i4>5</vt:i4>
      </vt:variant>
      <vt:variant>
        <vt:lpwstr>https://www.adaptation-undp.org/afcia/solutions-catalogue</vt:lpwstr>
      </vt:variant>
      <vt:variant>
        <vt:lpwstr/>
      </vt:variant>
      <vt:variant>
        <vt:i4>7209070</vt:i4>
      </vt:variant>
      <vt:variant>
        <vt:i4>330</vt:i4>
      </vt:variant>
      <vt:variant>
        <vt:i4>0</vt:i4>
      </vt:variant>
      <vt:variant>
        <vt:i4>5</vt:i4>
      </vt:variant>
      <vt:variant>
        <vt:lpwstr>https://www.adaptation-undp.org/afcia/news</vt:lpwstr>
      </vt:variant>
      <vt:variant>
        <vt:lpwstr/>
      </vt:variant>
      <vt:variant>
        <vt:i4>8061047</vt:i4>
      </vt:variant>
      <vt:variant>
        <vt:i4>327</vt:i4>
      </vt:variant>
      <vt:variant>
        <vt:i4>0</vt:i4>
      </vt:variant>
      <vt:variant>
        <vt:i4>5</vt:i4>
      </vt:variant>
      <vt:variant>
        <vt:lpwstr>https://climatepromise.undp.org/what-we-do/flagship-initiatives</vt:lpwstr>
      </vt:variant>
      <vt:variant>
        <vt:lpwstr/>
      </vt:variant>
      <vt:variant>
        <vt:i4>2555965</vt:i4>
      </vt:variant>
      <vt:variant>
        <vt:i4>324</vt:i4>
      </vt:variant>
      <vt:variant>
        <vt:i4>0</vt:i4>
      </vt:variant>
      <vt:variant>
        <vt:i4>5</vt:i4>
      </vt:variant>
      <vt:variant>
        <vt:lpwstr>https://latimpacto.org/en/</vt:lpwstr>
      </vt:variant>
      <vt:variant>
        <vt:lpwstr/>
      </vt:variant>
      <vt:variant>
        <vt:i4>17</vt:i4>
      </vt:variant>
      <vt:variant>
        <vt:i4>321</vt:i4>
      </vt:variant>
      <vt:variant>
        <vt:i4>0</vt:i4>
      </vt:variant>
      <vt:variant>
        <vt:i4>5</vt:i4>
      </vt:variant>
      <vt:variant>
        <vt:lpwstr>https://www.avpa.africa/</vt:lpwstr>
      </vt:variant>
      <vt:variant>
        <vt:lpwstr/>
      </vt:variant>
      <vt:variant>
        <vt:i4>3014765</vt:i4>
      </vt:variant>
      <vt:variant>
        <vt:i4>318</vt:i4>
      </vt:variant>
      <vt:variant>
        <vt:i4>0</vt:i4>
      </vt:variant>
      <vt:variant>
        <vt:i4>5</vt:i4>
      </vt:variant>
      <vt:variant>
        <vt:lpwstr>https://avpn.asia/</vt:lpwstr>
      </vt:variant>
      <vt:variant>
        <vt:lpwstr/>
      </vt:variant>
      <vt:variant>
        <vt:i4>3211320</vt:i4>
      </vt:variant>
      <vt:variant>
        <vt:i4>315</vt:i4>
      </vt:variant>
      <vt:variant>
        <vt:i4>0</vt:i4>
      </vt:variant>
      <vt:variant>
        <vt:i4>5</vt:i4>
      </vt:variant>
      <vt:variant>
        <vt:lpwstr>https://www.uncdf.org/</vt:lpwstr>
      </vt:variant>
      <vt:variant>
        <vt:lpwstr/>
      </vt:variant>
      <vt:variant>
        <vt:i4>2555951</vt:i4>
      </vt:variant>
      <vt:variant>
        <vt:i4>312</vt:i4>
      </vt:variant>
      <vt:variant>
        <vt:i4>0</vt:i4>
      </vt:variant>
      <vt:variant>
        <vt:i4>5</vt:i4>
      </vt:variant>
      <vt:variant>
        <vt:lpwstr>https://climate-kic.org.au/</vt:lpwstr>
      </vt:variant>
      <vt:variant>
        <vt:lpwstr/>
      </vt:variant>
      <vt:variant>
        <vt:i4>6094924</vt:i4>
      </vt:variant>
      <vt:variant>
        <vt:i4>309</vt:i4>
      </vt:variant>
      <vt:variant>
        <vt:i4>0</vt:i4>
      </vt:variant>
      <vt:variant>
        <vt:i4>5</vt:i4>
      </vt:variant>
      <vt:variant>
        <vt:lpwstr>https://www.globalresiliencepartnership.org/</vt:lpwstr>
      </vt:variant>
      <vt:variant>
        <vt:lpwstr/>
      </vt:variant>
      <vt:variant>
        <vt:i4>5177370</vt:i4>
      </vt:variant>
      <vt:variant>
        <vt:i4>306</vt:i4>
      </vt:variant>
      <vt:variant>
        <vt:i4>0</vt:i4>
      </vt:variant>
      <vt:variant>
        <vt:i4>5</vt:i4>
      </vt:variant>
      <vt:variant>
        <vt:lpwstr>http://www.luccc.org/</vt:lpwstr>
      </vt:variant>
      <vt:variant>
        <vt:lpwstr/>
      </vt:variant>
      <vt:variant>
        <vt:i4>1245204</vt:i4>
      </vt:variant>
      <vt:variant>
        <vt:i4>303</vt:i4>
      </vt:variant>
      <vt:variant>
        <vt:i4>0</vt:i4>
      </vt:variant>
      <vt:variant>
        <vt:i4>5</vt:i4>
      </vt:variant>
      <vt:variant>
        <vt:lpwstr>https://cdkn.org/</vt:lpwstr>
      </vt:variant>
      <vt:variant>
        <vt:lpwstr/>
      </vt:variant>
      <vt:variant>
        <vt:i4>2359342</vt:i4>
      </vt:variant>
      <vt:variant>
        <vt:i4>300</vt:i4>
      </vt:variant>
      <vt:variant>
        <vt:i4>0</vt:i4>
      </vt:variant>
      <vt:variant>
        <vt:i4>5</vt:i4>
      </vt:variant>
      <vt:variant>
        <vt:lpwstr>http://www.icccad.net/</vt:lpwstr>
      </vt:variant>
      <vt:variant>
        <vt:lpwstr/>
      </vt:variant>
      <vt:variant>
        <vt:i4>5374046</vt:i4>
      </vt:variant>
      <vt:variant>
        <vt:i4>297</vt:i4>
      </vt:variant>
      <vt:variant>
        <vt:i4>0</vt:i4>
      </vt:variant>
      <vt:variant>
        <vt:i4>5</vt:i4>
      </vt:variant>
      <vt:variant>
        <vt:lpwstr>https://globalnetwork.io/</vt:lpwstr>
      </vt:variant>
      <vt:variant>
        <vt:lpwstr/>
      </vt:variant>
      <vt:variant>
        <vt:i4>4063284</vt:i4>
      </vt:variant>
      <vt:variant>
        <vt:i4>294</vt:i4>
      </vt:variant>
      <vt:variant>
        <vt:i4>0</vt:i4>
      </vt:variant>
      <vt:variant>
        <vt:i4>5</vt:i4>
      </vt:variant>
      <vt:variant>
        <vt:lpwstr>https://climatepromise.undp.org/news-and-stories/global-south-have-mastered-locally-led-climate-adaptation-solutions-its-time-scale</vt:lpwstr>
      </vt:variant>
      <vt:variant>
        <vt:lpwstr/>
      </vt:variant>
      <vt:variant>
        <vt:i4>3866662</vt:i4>
      </vt:variant>
      <vt:variant>
        <vt:i4>291</vt:i4>
      </vt:variant>
      <vt:variant>
        <vt:i4>0</vt:i4>
      </vt:variant>
      <vt:variant>
        <vt:i4>5</vt:i4>
      </vt:variant>
      <vt:variant>
        <vt:lpwstr>https://boostimpact.org/bridging-the-urban-finance-gap-innovative-solutions-for-western-balkan-cities/</vt:lpwstr>
      </vt:variant>
      <vt:variant>
        <vt:lpwstr/>
      </vt:variant>
      <vt:variant>
        <vt:i4>262217</vt:i4>
      </vt:variant>
      <vt:variant>
        <vt:i4>288</vt:i4>
      </vt:variant>
      <vt:variant>
        <vt:i4>0</vt:i4>
      </vt:variant>
      <vt:variant>
        <vt:i4>5</vt:i4>
      </vt:variant>
      <vt:variant>
        <vt:lpwstr>https://boostimpact.org/</vt:lpwstr>
      </vt:variant>
      <vt:variant>
        <vt:lpwstr/>
      </vt:variant>
      <vt:variant>
        <vt:i4>5373980</vt:i4>
      </vt:variant>
      <vt:variant>
        <vt:i4>285</vt:i4>
      </vt:variant>
      <vt:variant>
        <vt:i4>0</vt:i4>
      </vt:variant>
      <vt:variant>
        <vt:i4>5</vt:i4>
      </vt:variant>
      <vt:variant>
        <vt:lpwstr>https://www.adaptation-undp.org/afcia/solutions-catalogue</vt:lpwstr>
      </vt:variant>
      <vt:variant>
        <vt:lpwstr/>
      </vt:variant>
      <vt:variant>
        <vt:i4>5701654</vt:i4>
      </vt:variant>
      <vt:variant>
        <vt:i4>282</vt:i4>
      </vt:variant>
      <vt:variant>
        <vt:i4>0</vt:i4>
      </vt:variant>
      <vt:variant>
        <vt:i4>5</vt:i4>
      </vt:variant>
      <vt:variant>
        <vt:lpwstr>https://www.adaptation-undp.org/afcia</vt:lpwstr>
      </vt:variant>
      <vt:variant>
        <vt:lpwstr/>
      </vt:variant>
      <vt:variant>
        <vt:i4>1048650</vt:i4>
      </vt:variant>
      <vt:variant>
        <vt:i4>276</vt:i4>
      </vt:variant>
      <vt:variant>
        <vt:i4>0</vt:i4>
      </vt:variant>
      <vt:variant>
        <vt:i4>5</vt:i4>
      </vt:variant>
      <vt:variant>
        <vt:lpwstr>https://climatepromise.undp.org/what-we-do/flagship-initiatives/adaptation-innovation-marketplace</vt:lpwstr>
      </vt:variant>
      <vt:variant>
        <vt:lpwstr/>
      </vt:variant>
      <vt:variant>
        <vt:i4>1048650</vt:i4>
      </vt:variant>
      <vt:variant>
        <vt:i4>273</vt:i4>
      </vt:variant>
      <vt:variant>
        <vt:i4>0</vt:i4>
      </vt:variant>
      <vt:variant>
        <vt:i4>5</vt:i4>
      </vt:variant>
      <vt:variant>
        <vt:lpwstr>https://climatepromise.undp.org/what-we-do/flagship-initiatives/adaptation-innovation-marketplace</vt:lpwstr>
      </vt:variant>
      <vt:variant>
        <vt:lpwstr/>
      </vt:variant>
      <vt:variant>
        <vt:i4>1703998</vt:i4>
      </vt:variant>
      <vt:variant>
        <vt:i4>236</vt:i4>
      </vt:variant>
      <vt:variant>
        <vt:i4>0</vt:i4>
      </vt:variant>
      <vt:variant>
        <vt:i4>5</vt:i4>
      </vt:variant>
      <vt:variant>
        <vt:lpwstr/>
      </vt:variant>
      <vt:variant>
        <vt:lpwstr>_Toc202893763</vt:lpwstr>
      </vt:variant>
      <vt:variant>
        <vt:i4>1703998</vt:i4>
      </vt:variant>
      <vt:variant>
        <vt:i4>230</vt:i4>
      </vt:variant>
      <vt:variant>
        <vt:i4>0</vt:i4>
      </vt:variant>
      <vt:variant>
        <vt:i4>5</vt:i4>
      </vt:variant>
      <vt:variant>
        <vt:lpwstr/>
      </vt:variant>
      <vt:variant>
        <vt:lpwstr>_Toc202893762</vt:lpwstr>
      </vt:variant>
      <vt:variant>
        <vt:i4>1703998</vt:i4>
      </vt:variant>
      <vt:variant>
        <vt:i4>224</vt:i4>
      </vt:variant>
      <vt:variant>
        <vt:i4>0</vt:i4>
      </vt:variant>
      <vt:variant>
        <vt:i4>5</vt:i4>
      </vt:variant>
      <vt:variant>
        <vt:lpwstr/>
      </vt:variant>
      <vt:variant>
        <vt:lpwstr>_Toc202893761</vt:lpwstr>
      </vt:variant>
      <vt:variant>
        <vt:i4>1703998</vt:i4>
      </vt:variant>
      <vt:variant>
        <vt:i4>218</vt:i4>
      </vt:variant>
      <vt:variant>
        <vt:i4>0</vt:i4>
      </vt:variant>
      <vt:variant>
        <vt:i4>5</vt:i4>
      </vt:variant>
      <vt:variant>
        <vt:lpwstr/>
      </vt:variant>
      <vt:variant>
        <vt:lpwstr>_Toc202893760</vt:lpwstr>
      </vt:variant>
      <vt:variant>
        <vt:i4>1638462</vt:i4>
      </vt:variant>
      <vt:variant>
        <vt:i4>212</vt:i4>
      </vt:variant>
      <vt:variant>
        <vt:i4>0</vt:i4>
      </vt:variant>
      <vt:variant>
        <vt:i4>5</vt:i4>
      </vt:variant>
      <vt:variant>
        <vt:lpwstr/>
      </vt:variant>
      <vt:variant>
        <vt:lpwstr>_Toc202893759</vt:lpwstr>
      </vt:variant>
      <vt:variant>
        <vt:i4>1638462</vt:i4>
      </vt:variant>
      <vt:variant>
        <vt:i4>206</vt:i4>
      </vt:variant>
      <vt:variant>
        <vt:i4>0</vt:i4>
      </vt:variant>
      <vt:variant>
        <vt:i4>5</vt:i4>
      </vt:variant>
      <vt:variant>
        <vt:lpwstr/>
      </vt:variant>
      <vt:variant>
        <vt:lpwstr>_Toc202893758</vt:lpwstr>
      </vt:variant>
      <vt:variant>
        <vt:i4>1638462</vt:i4>
      </vt:variant>
      <vt:variant>
        <vt:i4>200</vt:i4>
      </vt:variant>
      <vt:variant>
        <vt:i4>0</vt:i4>
      </vt:variant>
      <vt:variant>
        <vt:i4>5</vt:i4>
      </vt:variant>
      <vt:variant>
        <vt:lpwstr/>
      </vt:variant>
      <vt:variant>
        <vt:lpwstr>_Toc202893757</vt:lpwstr>
      </vt:variant>
      <vt:variant>
        <vt:i4>1638462</vt:i4>
      </vt:variant>
      <vt:variant>
        <vt:i4>194</vt:i4>
      </vt:variant>
      <vt:variant>
        <vt:i4>0</vt:i4>
      </vt:variant>
      <vt:variant>
        <vt:i4>5</vt:i4>
      </vt:variant>
      <vt:variant>
        <vt:lpwstr/>
      </vt:variant>
      <vt:variant>
        <vt:lpwstr>_Toc202893756</vt:lpwstr>
      </vt:variant>
      <vt:variant>
        <vt:i4>1638462</vt:i4>
      </vt:variant>
      <vt:variant>
        <vt:i4>188</vt:i4>
      </vt:variant>
      <vt:variant>
        <vt:i4>0</vt:i4>
      </vt:variant>
      <vt:variant>
        <vt:i4>5</vt:i4>
      </vt:variant>
      <vt:variant>
        <vt:lpwstr/>
      </vt:variant>
      <vt:variant>
        <vt:lpwstr>_Toc202893755</vt:lpwstr>
      </vt:variant>
      <vt:variant>
        <vt:i4>1638462</vt:i4>
      </vt:variant>
      <vt:variant>
        <vt:i4>182</vt:i4>
      </vt:variant>
      <vt:variant>
        <vt:i4>0</vt:i4>
      </vt:variant>
      <vt:variant>
        <vt:i4>5</vt:i4>
      </vt:variant>
      <vt:variant>
        <vt:lpwstr/>
      </vt:variant>
      <vt:variant>
        <vt:lpwstr>_Toc202893754</vt:lpwstr>
      </vt:variant>
      <vt:variant>
        <vt:i4>1638462</vt:i4>
      </vt:variant>
      <vt:variant>
        <vt:i4>176</vt:i4>
      </vt:variant>
      <vt:variant>
        <vt:i4>0</vt:i4>
      </vt:variant>
      <vt:variant>
        <vt:i4>5</vt:i4>
      </vt:variant>
      <vt:variant>
        <vt:lpwstr/>
      </vt:variant>
      <vt:variant>
        <vt:lpwstr>_Toc202893753</vt:lpwstr>
      </vt:variant>
      <vt:variant>
        <vt:i4>1638462</vt:i4>
      </vt:variant>
      <vt:variant>
        <vt:i4>170</vt:i4>
      </vt:variant>
      <vt:variant>
        <vt:i4>0</vt:i4>
      </vt:variant>
      <vt:variant>
        <vt:i4>5</vt:i4>
      </vt:variant>
      <vt:variant>
        <vt:lpwstr/>
      </vt:variant>
      <vt:variant>
        <vt:lpwstr>_Toc202893752</vt:lpwstr>
      </vt:variant>
      <vt:variant>
        <vt:i4>1638462</vt:i4>
      </vt:variant>
      <vt:variant>
        <vt:i4>164</vt:i4>
      </vt:variant>
      <vt:variant>
        <vt:i4>0</vt:i4>
      </vt:variant>
      <vt:variant>
        <vt:i4>5</vt:i4>
      </vt:variant>
      <vt:variant>
        <vt:lpwstr/>
      </vt:variant>
      <vt:variant>
        <vt:lpwstr>_Toc202893751</vt:lpwstr>
      </vt:variant>
      <vt:variant>
        <vt:i4>1638462</vt:i4>
      </vt:variant>
      <vt:variant>
        <vt:i4>158</vt:i4>
      </vt:variant>
      <vt:variant>
        <vt:i4>0</vt:i4>
      </vt:variant>
      <vt:variant>
        <vt:i4>5</vt:i4>
      </vt:variant>
      <vt:variant>
        <vt:lpwstr/>
      </vt:variant>
      <vt:variant>
        <vt:lpwstr>_Toc202893750</vt:lpwstr>
      </vt:variant>
      <vt:variant>
        <vt:i4>1572926</vt:i4>
      </vt:variant>
      <vt:variant>
        <vt:i4>152</vt:i4>
      </vt:variant>
      <vt:variant>
        <vt:i4>0</vt:i4>
      </vt:variant>
      <vt:variant>
        <vt:i4>5</vt:i4>
      </vt:variant>
      <vt:variant>
        <vt:lpwstr/>
      </vt:variant>
      <vt:variant>
        <vt:lpwstr>_Toc202893749</vt:lpwstr>
      </vt:variant>
      <vt:variant>
        <vt:i4>1572926</vt:i4>
      </vt:variant>
      <vt:variant>
        <vt:i4>146</vt:i4>
      </vt:variant>
      <vt:variant>
        <vt:i4>0</vt:i4>
      </vt:variant>
      <vt:variant>
        <vt:i4>5</vt:i4>
      </vt:variant>
      <vt:variant>
        <vt:lpwstr/>
      </vt:variant>
      <vt:variant>
        <vt:lpwstr>_Toc202893748</vt:lpwstr>
      </vt:variant>
      <vt:variant>
        <vt:i4>1572926</vt:i4>
      </vt:variant>
      <vt:variant>
        <vt:i4>140</vt:i4>
      </vt:variant>
      <vt:variant>
        <vt:i4>0</vt:i4>
      </vt:variant>
      <vt:variant>
        <vt:i4>5</vt:i4>
      </vt:variant>
      <vt:variant>
        <vt:lpwstr/>
      </vt:variant>
      <vt:variant>
        <vt:lpwstr>_Toc202893747</vt:lpwstr>
      </vt:variant>
      <vt:variant>
        <vt:i4>1572926</vt:i4>
      </vt:variant>
      <vt:variant>
        <vt:i4>134</vt:i4>
      </vt:variant>
      <vt:variant>
        <vt:i4>0</vt:i4>
      </vt:variant>
      <vt:variant>
        <vt:i4>5</vt:i4>
      </vt:variant>
      <vt:variant>
        <vt:lpwstr/>
      </vt:variant>
      <vt:variant>
        <vt:lpwstr>_Toc202893746</vt:lpwstr>
      </vt:variant>
      <vt:variant>
        <vt:i4>1572926</vt:i4>
      </vt:variant>
      <vt:variant>
        <vt:i4>128</vt:i4>
      </vt:variant>
      <vt:variant>
        <vt:i4>0</vt:i4>
      </vt:variant>
      <vt:variant>
        <vt:i4>5</vt:i4>
      </vt:variant>
      <vt:variant>
        <vt:lpwstr/>
      </vt:variant>
      <vt:variant>
        <vt:lpwstr>_Toc202893745</vt:lpwstr>
      </vt:variant>
      <vt:variant>
        <vt:i4>1572926</vt:i4>
      </vt:variant>
      <vt:variant>
        <vt:i4>122</vt:i4>
      </vt:variant>
      <vt:variant>
        <vt:i4>0</vt:i4>
      </vt:variant>
      <vt:variant>
        <vt:i4>5</vt:i4>
      </vt:variant>
      <vt:variant>
        <vt:lpwstr/>
      </vt:variant>
      <vt:variant>
        <vt:lpwstr>_Toc202893744</vt:lpwstr>
      </vt:variant>
      <vt:variant>
        <vt:i4>1572926</vt:i4>
      </vt:variant>
      <vt:variant>
        <vt:i4>116</vt:i4>
      </vt:variant>
      <vt:variant>
        <vt:i4>0</vt:i4>
      </vt:variant>
      <vt:variant>
        <vt:i4>5</vt:i4>
      </vt:variant>
      <vt:variant>
        <vt:lpwstr/>
      </vt:variant>
      <vt:variant>
        <vt:lpwstr>_Toc202893743</vt:lpwstr>
      </vt:variant>
      <vt:variant>
        <vt:i4>1572926</vt:i4>
      </vt:variant>
      <vt:variant>
        <vt:i4>110</vt:i4>
      </vt:variant>
      <vt:variant>
        <vt:i4>0</vt:i4>
      </vt:variant>
      <vt:variant>
        <vt:i4>5</vt:i4>
      </vt:variant>
      <vt:variant>
        <vt:lpwstr/>
      </vt:variant>
      <vt:variant>
        <vt:lpwstr>_Toc202893742</vt:lpwstr>
      </vt:variant>
      <vt:variant>
        <vt:i4>1572926</vt:i4>
      </vt:variant>
      <vt:variant>
        <vt:i4>104</vt:i4>
      </vt:variant>
      <vt:variant>
        <vt:i4>0</vt:i4>
      </vt:variant>
      <vt:variant>
        <vt:i4>5</vt:i4>
      </vt:variant>
      <vt:variant>
        <vt:lpwstr/>
      </vt:variant>
      <vt:variant>
        <vt:lpwstr>_Toc202893741</vt:lpwstr>
      </vt:variant>
      <vt:variant>
        <vt:i4>1572926</vt:i4>
      </vt:variant>
      <vt:variant>
        <vt:i4>98</vt:i4>
      </vt:variant>
      <vt:variant>
        <vt:i4>0</vt:i4>
      </vt:variant>
      <vt:variant>
        <vt:i4>5</vt:i4>
      </vt:variant>
      <vt:variant>
        <vt:lpwstr/>
      </vt:variant>
      <vt:variant>
        <vt:lpwstr>_Toc202893740</vt:lpwstr>
      </vt:variant>
      <vt:variant>
        <vt:i4>2031678</vt:i4>
      </vt:variant>
      <vt:variant>
        <vt:i4>92</vt:i4>
      </vt:variant>
      <vt:variant>
        <vt:i4>0</vt:i4>
      </vt:variant>
      <vt:variant>
        <vt:i4>5</vt:i4>
      </vt:variant>
      <vt:variant>
        <vt:lpwstr/>
      </vt:variant>
      <vt:variant>
        <vt:lpwstr>_Toc202893739</vt:lpwstr>
      </vt:variant>
      <vt:variant>
        <vt:i4>2031678</vt:i4>
      </vt:variant>
      <vt:variant>
        <vt:i4>86</vt:i4>
      </vt:variant>
      <vt:variant>
        <vt:i4>0</vt:i4>
      </vt:variant>
      <vt:variant>
        <vt:i4>5</vt:i4>
      </vt:variant>
      <vt:variant>
        <vt:lpwstr/>
      </vt:variant>
      <vt:variant>
        <vt:lpwstr>_Toc202893738</vt:lpwstr>
      </vt:variant>
      <vt:variant>
        <vt:i4>2031678</vt:i4>
      </vt:variant>
      <vt:variant>
        <vt:i4>80</vt:i4>
      </vt:variant>
      <vt:variant>
        <vt:i4>0</vt:i4>
      </vt:variant>
      <vt:variant>
        <vt:i4>5</vt:i4>
      </vt:variant>
      <vt:variant>
        <vt:lpwstr/>
      </vt:variant>
      <vt:variant>
        <vt:lpwstr>_Toc202893737</vt:lpwstr>
      </vt:variant>
      <vt:variant>
        <vt:i4>2031678</vt:i4>
      </vt:variant>
      <vt:variant>
        <vt:i4>74</vt:i4>
      </vt:variant>
      <vt:variant>
        <vt:i4>0</vt:i4>
      </vt:variant>
      <vt:variant>
        <vt:i4>5</vt:i4>
      </vt:variant>
      <vt:variant>
        <vt:lpwstr/>
      </vt:variant>
      <vt:variant>
        <vt:lpwstr>_Toc202893736</vt:lpwstr>
      </vt:variant>
      <vt:variant>
        <vt:i4>2031678</vt:i4>
      </vt:variant>
      <vt:variant>
        <vt:i4>68</vt:i4>
      </vt:variant>
      <vt:variant>
        <vt:i4>0</vt:i4>
      </vt:variant>
      <vt:variant>
        <vt:i4>5</vt:i4>
      </vt:variant>
      <vt:variant>
        <vt:lpwstr/>
      </vt:variant>
      <vt:variant>
        <vt:lpwstr>_Toc202893735</vt:lpwstr>
      </vt:variant>
      <vt:variant>
        <vt:i4>2031678</vt:i4>
      </vt:variant>
      <vt:variant>
        <vt:i4>62</vt:i4>
      </vt:variant>
      <vt:variant>
        <vt:i4>0</vt:i4>
      </vt:variant>
      <vt:variant>
        <vt:i4>5</vt:i4>
      </vt:variant>
      <vt:variant>
        <vt:lpwstr/>
      </vt:variant>
      <vt:variant>
        <vt:lpwstr>_Toc202893734</vt:lpwstr>
      </vt:variant>
      <vt:variant>
        <vt:i4>2031678</vt:i4>
      </vt:variant>
      <vt:variant>
        <vt:i4>56</vt:i4>
      </vt:variant>
      <vt:variant>
        <vt:i4>0</vt:i4>
      </vt:variant>
      <vt:variant>
        <vt:i4>5</vt:i4>
      </vt:variant>
      <vt:variant>
        <vt:lpwstr/>
      </vt:variant>
      <vt:variant>
        <vt:lpwstr>_Toc202893733</vt:lpwstr>
      </vt:variant>
      <vt:variant>
        <vt:i4>2031678</vt:i4>
      </vt:variant>
      <vt:variant>
        <vt:i4>50</vt:i4>
      </vt:variant>
      <vt:variant>
        <vt:i4>0</vt:i4>
      </vt:variant>
      <vt:variant>
        <vt:i4>5</vt:i4>
      </vt:variant>
      <vt:variant>
        <vt:lpwstr/>
      </vt:variant>
      <vt:variant>
        <vt:lpwstr>_Toc202893732</vt:lpwstr>
      </vt:variant>
      <vt:variant>
        <vt:i4>2031678</vt:i4>
      </vt:variant>
      <vt:variant>
        <vt:i4>44</vt:i4>
      </vt:variant>
      <vt:variant>
        <vt:i4>0</vt:i4>
      </vt:variant>
      <vt:variant>
        <vt:i4>5</vt:i4>
      </vt:variant>
      <vt:variant>
        <vt:lpwstr/>
      </vt:variant>
      <vt:variant>
        <vt:lpwstr>_Toc202893731</vt:lpwstr>
      </vt:variant>
      <vt:variant>
        <vt:i4>2031678</vt:i4>
      </vt:variant>
      <vt:variant>
        <vt:i4>38</vt:i4>
      </vt:variant>
      <vt:variant>
        <vt:i4>0</vt:i4>
      </vt:variant>
      <vt:variant>
        <vt:i4>5</vt:i4>
      </vt:variant>
      <vt:variant>
        <vt:lpwstr/>
      </vt:variant>
      <vt:variant>
        <vt:lpwstr>_Toc202893730</vt:lpwstr>
      </vt:variant>
      <vt:variant>
        <vt:i4>1966142</vt:i4>
      </vt:variant>
      <vt:variant>
        <vt:i4>32</vt:i4>
      </vt:variant>
      <vt:variant>
        <vt:i4>0</vt:i4>
      </vt:variant>
      <vt:variant>
        <vt:i4>5</vt:i4>
      </vt:variant>
      <vt:variant>
        <vt:lpwstr/>
      </vt:variant>
      <vt:variant>
        <vt:lpwstr>_Toc202893729</vt:lpwstr>
      </vt:variant>
      <vt:variant>
        <vt:i4>1966142</vt:i4>
      </vt:variant>
      <vt:variant>
        <vt:i4>26</vt:i4>
      </vt:variant>
      <vt:variant>
        <vt:i4>0</vt:i4>
      </vt:variant>
      <vt:variant>
        <vt:i4>5</vt:i4>
      </vt:variant>
      <vt:variant>
        <vt:lpwstr/>
      </vt:variant>
      <vt:variant>
        <vt:lpwstr>_Toc202893728</vt:lpwstr>
      </vt:variant>
      <vt:variant>
        <vt:i4>1966142</vt:i4>
      </vt:variant>
      <vt:variant>
        <vt:i4>20</vt:i4>
      </vt:variant>
      <vt:variant>
        <vt:i4>0</vt:i4>
      </vt:variant>
      <vt:variant>
        <vt:i4>5</vt:i4>
      </vt:variant>
      <vt:variant>
        <vt:lpwstr/>
      </vt:variant>
      <vt:variant>
        <vt:lpwstr>_Toc202893727</vt:lpwstr>
      </vt:variant>
      <vt:variant>
        <vt:i4>1966142</vt:i4>
      </vt:variant>
      <vt:variant>
        <vt:i4>14</vt:i4>
      </vt:variant>
      <vt:variant>
        <vt:i4>0</vt:i4>
      </vt:variant>
      <vt:variant>
        <vt:i4>5</vt:i4>
      </vt:variant>
      <vt:variant>
        <vt:lpwstr/>
      </vt:variant>
      <vt:variant>
        <vt:lpwstr>_Toc202893726</vt:lpwstr>
      </vt:variant>
      <vt:variant>
        <vt:i4>1966142</vt:i4>
      </vt:variant>
      <vt:variant>
        <vt:i4>8</vt:i4>
      </vt:variant>
      <vt:variant>
        <vt:i4>0</vt:i4>
      </vt:variant>
      <vt:variant>
        <vt:i4>5</vt:i4>
      </vt:variant>
      <vt:variant>
        <vt:lpwstr/>
      </vt:variant>
      <vt:variant>
        <vt:lpwstr>_Toc202893725</vt:lpwstr>
      </vt:variant>
      <vt:variant>
        <vt:i4>1966142</vt:i4>
      </vt:variant>
      <vt:variant>
        <vt:i4>2</vt:i4>
      </vt:variant>
      <vt:variant>
        <vt:i4>0</vt:i4>
      </vt:variant>
      <vt:variant>
        <vt:i4>5</vt:i4>
      </vt:variant>
      <vt:variant>
        <vt:lpwstr/>
      </vt:variant>
      <vt:variant>
        <vt:lpwstr>_Toc202893724</vt:lpwstr>
      </vt:variant>
      <vt:variant>
        <vt:i4>5963847</vt:i4>
      </vt:variant>
      <vt:variant>
        <vt:i4>111</vt:i4>
      </vt:variant>
      <vt:variant>
        <vt:i4>0</vt:i4>
      </vt:variant>
      <vt:variant>
        <vt:i4>5</vt:i4>
      </vt:variant>
      <vt:variant>
        <vt:lpwstr>https://www.climatepolicyinitiative.org/publication/global-landscape-of-climate-finance-2024/</vt:lpwstr>
      </vt:variant>
      <vt:variant>
        <vt:lpwstr/>
      </vt:variant>
      <vt:variant>
        <vt:i4>6094862</vt:i4>
      </vt:variant>
      <vt:variant>
        <vt:i4>108</vt:i4>
      </vt:variant>
      <vt:variant>
        <vt:i4>0</vt:i4>
      </vt:variant>
      <vt:variant>
        <vt:i4>5</vt:i4>
      </vt:variant>
      <vt:variant>
        <vt:lpwstr>https://www.gov.me/dokumenta/caefb6fa-762c-4e3b-9b11-7f15a6944254</vt:lpwstr>
      </vt:variant>
      <vt:variant>
        <vt:lpwstr/>
      </vt:variant>
      <vt:variant>
        <vt:i4>3538952</vt:i4>
      </vt:variant>
      <vt:variant>
        <vt:i4>105</vt:i4>
      </vt:variant>
      <vt:variant>
        <vt:i4>0</vt:i4>
      </vt:variant>
      <vt:variant>
        <vt:i4>5</vt:i4>
      </vt:variant>
      <vt:variant>
        <vt:lpwstr>https://unfccc.int/ttclear/TNA/MKD-TNA-TNA_2004.pdf</vt:lpwstr>
      </vt:variant>
      <vt:variant>
        <vt:lpwstr/>
      </vt:variant>
      <vt:variant>
        <vt:i4>4259952</vt:i4>
      </vt:variant>
      <vt:variant>
        <vt:i4>102</vt:i4>
      </vt:variant>
      <vt:variant>
        <vt:i4>0</vt:i4>
      </vt:variant>
      <vt:variant>
        <vt:i4>5</vt:i4>
      </vt:variant>
      <vt:variant>
        <vt:lpwstr>https://unfccc.int/sites/default/files/resource/FNC BiH_ENG fin.pdf</vt:lpwstr>
      </vt:variant>
      <vt:variant>
        <vt:lpwstr/>
      </vt:variant>
      <vt:variant>
        <vt:i4>3080250</vt:i4>
      </vt:variant>
      <vt:variant>
        <vt:i4>99</vt:i4>
      </vt:variant>
      <vt:variant>
        <vt:i4>0</vt:i4>
      </vt:variant>
      <vt:variant>
        <vt:i4>5</vt:i4>
      </vt:variant>
      <vt:variant>
        <vt:lpwstr>https://tadamon.community/cfa.</vt:lpwstr>
      </vt:variant>
      <vt:variant>
        <vt:lpwstr/>
      </vt:variant>
      <vt:variant>
        <vt:i4>4390978</vt:i4>
      </vt:variant>
      <vt:variant>
        <vt:i4>96</vt:i4>
      </vt:variant>
      <vt:variant>
        <vt:i4>0</vt:i4>
      </vt:variant>
      <vt:variant>
        <vt:i4>5</vt:i4>
      </vt:variant>
      <vt:variant>
        <vt:lpwstr>https://doi.org/10.1002/wat2.1726</vt:lpwstr>
      </vt:variant>
      <vt:variant>
        <vt:lpwstr/>
      </vt:variant>
      <vt:variant>
        <vt:i4>4325446</vt:i4>
      </vt:variant>
      <vt:variant>
        <vt:i4>93</vt:i4>
      </vt:variant>
      <vt:variant>
        <vt:i4>0</vt:i4>
      </vt:variant>
      <vt:variant>
        <vt:i4>5</vt:i4>
      </vt:variant>
      <vt:variant>
        <vt:lpwstr>https://openknowledge.worldbank.org/entities/publication/2919885d-84a9-40e6-ab2a-aab21a5c1fcf</vt:lpwstr>
      </vt:variant>
      <vt:variant>
        <vt:lpwstr/>
      </vt:variant>
      <vt:variant>
        <vt:i4>1245290</vt:i4>
      </vt:variant>
      <vt:variant>
        <vt:i4>90</vt:i4>
      </vt:variant>
      <vt:variant>
        <vt:i4>0</vt:i4>
      </vt:variant>
      <vt:variant>
        <vt:i4>5</vt:i4>
      </vt:variant>
      <vt:variant>
        <vt:lpwstr>https://climate.ec.europa.eu/climate-change/consequences-climate-change_en</vt:lpwstr>
      </vt:variant>
      <vt:variant>
        <vt:lpwstr/>
      </vt:variant>
      <vt:variant>
        <vt:i4>2490398</vt:i4>
      </vt:variant>
      <vt:variant>
        <vt:i4>87</vt:i4>
      </vt:variant>
      <vt:variant>
        <vt:i4>0</vt:i4>
      </vt:variant>
      <vt:variant>
        <vt:i4>5</vt:i4>
      </vt:variant>
      <vt:variant>
        <vt:lpwstr>https://www.adaptation-fund.org/wp-content/uploads/2020/10/AFB.PPRC_.26.b.17-Options-for-further-defining-innovation-in-adaptation-1.pdf</vt:lpwstr>
      </vt:variant>
      <vt:variant>
        <vt:lpwstr/>
      </vt:variant>
      <vt:variant>
        <vt:i4>3538992</vt:i4>
      </vt:variant>
      <vt:variant>
        <vt:i4>84</vt:i4>
      </vt:variant>
      <vt:variant>
        <vt:i4>0</vt:i4>
      </vt:variant>
      <vt:variant>
        <vt:i4>5</vt:i4>
      </vt:variant>
      <vt:variant>
        <vt:lpwstr>https://www.worldbank.org/en/region/eca/publication/western-balkans-6-ccdr</vt:lpwstr>
      </vt:variant>
      <vt:variant>
        <vt:lpwstr/>
      </vt:variant>
      <vt:variant>
        <vt:i4>3538992</vt:i4>
      </vt:variant>
      <vt:variant>
        <vt:i4>81</vt:i4>
      </vt:variant>
      <vt:variant>
        <vt:i4>0</vt:i4>
      </vt:variant>
      <vt:variant>
        <vt:i4>5</vt:i4>
      </vt:variant>
      <vt:variant>
        <vt:lpwstr>https://www.worldbank.org/en/region/eca/publication/western-balkans-6-ccdr</vt:lpwstr>
      </vt:variant>
      <vt:variant>
        <vt:lpwstr/>
      </vt:variant>
      <vt:variant>
        <vt:i4>3276846</vt:i4>
      </vt:variant>
      <vt:variant>
        <vt:i4>78</vt:i4>
      </vt:variant>
      <vt:variant>
        <vt:i4>0</vt:i4>
      </vt:variant>
      <vt:variant>
        <vt:i4>5</vt:i4>
      </vt:variant>
      <vt:variant>
        <vt:lpwstr>https://www.hidmet.gov.rs/eng/meteorologija/klimatologija_temp_rezim.php</vt:lpwstr>
      </vt:variant>
      <vt:variant>
        <vt:lpwstr/>
      </vt:variant>
      <vt:variant>
        <vt:i4>851995</vt:i4>
      </vt:variant>
      <vt:variant>
        <vt:i4>75</vt:i4>
      </vt:variant>
      <vt:variant>
        <vt:i4>0</vt:i4>
      </vt:variant>
      <vt:variant>
        <vt:i4>5</vt:i4>
      </vt:variant>
      <vt:variant>
        <vt:lpwstr>https://doi.org/10.1007/s10584-012-0418-4</vt:lpwstr>
      </vt:variant>
      <vt:variant>
        <vt:lpwstr/>
      </vt:variant>
      <vt:variant>
        <vt:i4>3473508</vt:i4>
      </vt:variant>
      <vt:variant>
        <vt:i4>72</vt:i4>
      </vt:variant>
      <vt:variant>
        <vt:i4>0</vt:i4>
      </vt:variant>
      <vt:variant>
        <vt:i4>5</vt:i4>
      </vt:variant>
      <vt:variant>
        <vt:lpwstr>http://dx.doi.org/10.2298/IJGI2101029M</vt:lpwstr>
      </vt:variant>
      <vt:variant>
        <vt:lpwstr/>
      </vt:variant>
      <vt:variant>
        <vt:i4>3473508</vt:i4>
      </vt:variant>
      <vt:variant>
        <vt:i4>69</vt:i4>
      </vt:variant>
      <vt:variant>
        <vt:i4>0</vt:i4>
      </vt:variant>
      <vt:variant>
        <vt:i4>5</vt:i4>
      </vt:variant>
      <vt:variant>
        <vt:lpwstr>http://dx.doi.org/10.2298/IJGI2101029M</vt:lpwstr>
      </vt:variant>
      <vt:variant>
        <vt:lpwstr/>
      </vt:variant>
      <vt:variant>
        <vt:i4>458843</vt:i4>
      </vt:variant>
      <vt:variant>
        <vt:i4>66</vt:i4>
      </vt:variant>
      <vt:variant>
        <vt:i4>0</vt:i4>
      </vt:variant>
      <vt:variant>
        <vt:i4>5</vt:i4>
      </vt:variant>
      <vt:variant>
        <vt:lpwstr>https://www.rcc.int/download/docs/2018-05-Study-on-Climate-Change-in-WB-2a-lowres.pdf</vt:lpwstr>
      </vt:variant>
      <vt:variant>
        <vt:lpwstr/>
      </vt:variant>
      <vt:variant>
        <vt:i4>1310742</vt:i4>
      </vt:variant>
      <vt:variant>
        <vt:i4>63</vt:i4>
      </vt:variant>
      <vt:variant>
        <vt:i4>0</vt:i4>
      </vt:variant>
      <vt:variant>
        <vt:i4>5</vt:i4>
      </vt:variant>
      <vt:variant>
        <vt:lpwstr>https://doi.org/10.3390/foods11223672</vt:lpwstr>
      </vt:variant>
      <vt:variant>
        <vt:lpwstr/>
      </vt:variant>
      <vt:variant>
        <vt:i4>5701709</vt:i4>
      </vt:variant>
      <vt:variant>
        <vt:i4>60</vt:i4>
      </vt:variant>
      <vt:variant>
        <vt:i4>0</vt:i4>
      </vt:variant>
      <vt:variant>
        <vt:i4>5</vt:i4>
      </vt:variant>
      <vt:variant>
        <vt:lpwstr>https://www.ifastat.org/databases/plant-nutrition</vt:lpwstr>
      </vt:variant>
      <vt:variant>
        <vt:lpwstr/>
      </vt:variant>
      <vt:variant>
        <vt:i4>1703962</vt:i4>
      </vt:variant>
      <vt:variant>
        <vt:i4>57</vt:i4>
      </vt:variant>
      <vt:variant>
        <vt:i4>0</vt:i4>
      </vt:variant>
      <vt:variant>
        <vt:i4>5</vt:i4>
      </vt:variant>
      <vt:variant>
        <vt:lpwstr>https://openknowledge.worldbank.org/bitstream/handle/10986/38189/P17947818ec26c8c17fe014901194ac104a1b5d70a2a.pdf?sequence=1&amp;isAllowed=y</vt:lpwstr>
      </vt:variant>
      <vt:variant>
        <vt:lpwstr/>
      </vt:variant>
      <vt:variant>
        <vt:i4>2031686</vt:i4>
      </vt:variant>
      <vt:variant>
        <vt:i4>54</vt:i4>
      </vt:variant>
      <vt:variant>
        <vt:i4>0</vt:i4>
      </vt:variant>
      <vt:variant>
        <vt:i4>5</vt:i4>
      </vt:variant>
      <vt:variant>
        <vt:lpwstr>https://ec.europa.eu/eurostat/web/products-eurostat-news/-/ddn-20201228-1</vt:lpwstr>
      </vt:variant>
      <vt:variant>
        <vt:lpwstr/>
      </vt:variant>
      <vt:variant>
        <vt:i4>5242903</vt:i4>
      </vt:variant>
      <vt:variant>
        <vt:i4>51</vt:i4>
      </vt:variant>
      <vt:variant>
        <vt:i4>0</vt:i4>
      </vt:variant>
      <vt:variant>
        <vt:i4>5</vt:i4>
      </vt:variant>
      <vt:variant>
        <vt:lpwstr>https://openknowledge.worldbank.org/bitstream/handle/10986/37368/P17720607706c30e90841607b7d53ee8106.pdf</vt:lpwstr>
      </vt:variant>
      <vt:variant>
        <vt:lpwstr/>
      </vt:variant>
      <vt:variant>
        <vt:i4>1310742</vt:i4>
      </vt:variant>
      <vt:variant>
        <vt:i4>48</vt:i4>
      </vt:variant>
      <vt:variant>
        <vt:i4>0</vt:i4>
      </vt:variant>
      <vt:variant>
        <vt:i4>5</vt:i4>
      </vt:variant>
      <vt:variant>
        <vt:lpwstr>https://doi.org/10.3390/foods11223672</vt:lpwstr>
      </vt:variant>
      <vt:variant>
        <vt:lpwstr/>
      </vt:variant>
      <vt:variant>
        <vt:i4>6684726</vt:i4>
      </vt:variant>
      <vt:variant>
        <vt:i4>45</vt:i4>
      </vt:variant>
      <vt:variant>
        <vt:i4>0</vt:i4>
      </vt:variant>
      <vt:variant>
        <vt:i4>5</vt:i4>
      </vt:variant>
      <vt:variant>
        <vt:lpwstr>https://doi.org/10.1186/s40066-024-00514-z</vt:lpwstr>
      </vt:variant>
      <vt:variant>
        <vt:lpwstr/>
      </vt:variant>
      <vt:variant>
        <vt:i4>7798844</vt:i4>
      </vt:variant>
      <vt:variant>
        <vt:i4>42</vt:i4>
      </vt:variant>
      <vt:variant>
        <vt:i4>0</vt:i4>
      </vt:variant>
      <vt:variant>
        <vt:i4>5</vt:i4>
      </vt:variant>
      <vt:variant>
        <vt:lpwstr>https://contaminated-sites.sazp.sk/wp-content/uploads/2020/11/12_ICCS_2015_Dragana_Vidojevic.pdf</vt:lpwstr>
      </vt:variant>
      <vt:variant>
        <vt:lpwstr/>
      </vt:variant>
      <vt:variant>
        <vt:i4>4522040</vt:i4>
      </vt:variant>
      <vt:variant>
        <vt:i4>39</vt:i4>
      </vt:variant>
      <vt:variant>
        <vt:i4>0</vt:i4>
      </vt:variant>
      <vt:variant>
        <vt:i4>5</vt:i4>
      </vt:variant>
      <vt:variant>
        <vt:lpwstr>https://climate-adapt.eea.europa.eu/en/metadata/case-studies/toolbox-for-transboundary-water-contingency-management-in-the-sava-river-basin/</vt:lpwstr>
      </vt:variant>
      <vt:variant>
        <vt:lpwstr>_ftn1</vt:lpwstr>
      </vt:variant>
      <vt:variant>
        <vt:i4>7012417</vt:i4>
      </vt:variant>
      <vt:variant>
        <vt:i4>36</vt:i4>
      </vt:variant>
      <vt:variant>
        <vt:i4>0</vt:i4>
      </vt:variant>
      <vt:variant>
        <vt:i4>5</vt:i4>
      </vt:variant>
      <vt:variant>
        <vt:lpwstr>https://fpi.ec.europa.eu/system/files/2021-05/pdna_-_serbia_2014_-_report.pdf</vt:lpwstr>
      </vt:variant>
      <vt:variant>
        <vt:lpwstr/>
      </vt:variant>
      <vt:variant>
        <vt:i4>524388</vt:i4>
      </vt:variant>
      <vt:variant>
        <vt:i4>33</vt:i4>
      </vt:variant>
      <vt:variant>
        <vt:i4>0</vt:i4>
      </vt:variant>
      <vt:variant>
        <vt:i4>5</vt:i4>
      </vt:variant>
      <vt:variant>
        <vt:lpwstr>https://www.savacommission.org/UserDocsImages/05_documents_publications/water_management/eng/SavaRBMPlan//sava_booklet_eng.pdf</vt:lpwstr>
      </vt:variant>
      <vt:variant>
        <vt:lpwstr/>
      </vt:variant>
      <vt:variant>
        <vt:i4>852057</vt:i4>
      </vt:variant>
      <vt:variant>
        <vt:i4>30</vt:i4>
      </vt:variant>
      <vt:variant>
        <vt:i4>0</vt:i4>
      </vt:variant>
      <vt:variant>
        <vt:i4>5</vt:i4>
      </vt:variant>
      <vt:variant>
        <vt:lpwstr>https://riverwatch.eu/en/balkanrivers/background</vt:lpwstr>
      </vt:variant>
      <vt:variant>
        <vt:lpwstr/>
      </vt:variant>
      <vt:variant>
        <vt:i4>1376347</vt:i4>
      </vt:variant>
      <vt:variant>
        <vt:i4>27</vt:i4>
      </vt:variant>
      <vt:variant>
        <vt:i4>0</vt:i4>
      </vt:variant>
      <vt:variant>
        <vt:i4>5</vt:i4>
      </vt:variant>
      <vt:variant>
        <vt:lpwstr>https://www.balkanrivers.net/en/campaign</vt:lpwstr>
      </vt:variant>
      <vt:variant>
        <vt:lpwstr/>
      </vt:variant>
      <vt:variant>
        <vt:i4>2031681</vt:i4>
      </vt:variant>
      <vt:variant>
        <vt:i4>24</vt:i4>
      </vt:variant>
      <vt:variant>
        <vt:i4>0</vt:i4>
      </vt:variant>
      <vt:variant>
        <vt:i4>5</vt:i4>
      </vt:variant>
      <vt:variant>
        <vt:lpwstr>https://www.grida.no/</vt:lpwstr>
      </vt:variant>
      <vt:variant>
        <vt:lpwstr/>
      </vt:variant>
      <vt:variant>
        <vt:i4>7929981</vt:i4>
      </vt:variant>
      <vt:variant>
        <vt:i4>21</vt:i4>
      </vt:variant>
      <vt:variant>
        <vt:i4>0</vt:i4>
      </vt:variant>
      <vt:variant>
        <vt:i4>5</vt:i4>
      </vt:variant>
      <vt:variant>
        <vt:lpwstr>https://www.sarmountain.org.mk/en/park/general-information</vt:lpwstr>
      </vt:variant>
      <vt:variant>
        <vt:lpwstr/>
      </vt:variant>
      <vt:variant>
        <vt:i4>8192100</vt:i4>
      </vt:variant>
      <vt:variant>
        <vt:i4>18</vt:i4>
      </vt:variant>
      <vt:variant>
        <vt:i4>0</vt:i4>
      </vt:variant>
      <vt:variant>
        <vt:i4>5</vt:i4>
      </vt:variant>
      <vt:variant>
        <vt:lpwstr>https://hdr.undp.org/content/human-development-report-2025</vt:lpwstr>
      </vt:variant>
      <vt:variant>
        <vt:lpwstr/>
      </vt:variant>
      <vt:variant>
        <vt:i4>4128892</vt:i4>
      </vt:variant>
      <vt:variant>
        <vt:i4>15</vt:i4>
      </vt:variant>
      <vt:variant>
        <vt:i4>0</vt:i4>
      </vt:variant>
      <vt:variant>
        <vt:i4>5</vt:i4>
      </vt:variant>
      <vt:variant>
        <vt:lpwstr>https://www.statista.com/statistics/1331455/western-balkans-gdp-growth-by-country/</vt:lpwstr>
      </vt:variant>
      <vt:variant>
        <vt:lpwstr/>
      </vt:variant>
      <vt:variant>
        <vt:i4>3080245</vt:i4>
      </vt:variant>
      <vt:variant>
        <vt:i4>12</vt:i4>
      </vt:variant>
      <vt:variant>
        <vt:i4>0</vt:i4>
      </vt:variant>
      <vt:variant>
        <vt:i4>5</vt:i4>
      </vt:variant>
      <vt:variant>
        <vt:lpwstr>https://www.statista.com/statistics/1337205/western-balkans-gdp-growth/</vt:lpwstr>
      </vt:variant>
      <vt:variant>
        <vt:lpwstr/>
      </vt:variant>
      <vt:variant>
        <vt:i4>1835085</vt:i4>
      </vt:variant>
      <vt:variant>
        <vt:i4>9</vt:i4>
      </vt:variant>
      <vt:variant>
        <vt:i4>0</vt:i4>
      </vt:variant>
      <vt:variant>
        <vt:i4>5</vt:i4>
      </vt:variant>
      <vt:variant>
        <vt:lpwstr>https://www.worldometers.info/world-population/serbia-population/</vt:lpwstr>
      </vt:variant>
      <vt:variant>
        <vt:lpwstr/>
      </vt:variant>
      <vt:variant>
        <vt:i4>131158</vt:i4>
      </vt:variant>
      <vt:variant>
        <vt:i4>6</vt:i4>
      </vt:variant>
      <vt:variant>
        <vt:i4>0</vt:i4>
      </vt:variant>
      <vt:variant>
        <vt:i4>5</vt:i4>
      </vt:variant>
      <vt:variant>
        <vt:lpwstr>https://www.worldometers.info/world-population/bosnia-and-herzegovina-population/</vt:lpwstr>
      </vt:variant>
      <vt:variant>
        <vt:lpwstr/>
      </vt:variant>
      <vt:variant>
        <vt:i4>2555955</vt:i4>
      </vt:variant>
      <vt:variant>
        <vt:i4>3</vt:i4>
      </vt:variant>
      <vt:variant>
        <vt:i4>0</vt:i4>
      </vt:variant>
      <vt:variant>
        <vt:i4>5</vt:i4>
      </vt:variant>
      <vt:variant>
        <vt:lpwstr>https://www.worldometers.info/world-population/north-macedonia-population/</vt:lpwstr>
      </vt:variant>
      <vt:variant>
        <vt:lpwstr>:~:text=The%20current%20population%20of%20the%20Republic%20of,elaboration%20of%20the%20latest%20United%20Nations%20data1</vt:lpwstr>
      </vt:variant>
      <vt:variant>
        <vt:i4>327766</vt:i4>
      </vt:variant>
      <vt:variant>
        <vt:i4>0</vt:i4>
      </vt:variant>
      <vt:variant>
        <vt:i4>0</vt:i4>
      </vt:variant>
      <vt:variant>
        <vt:i4>5</vt:i4>
      </vt:variant>
      <vt:variant>
        <vt:lpwstr>https://www.worldometers.info/world-population/montenegro-population/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Hugo Remaury</dc:creator>
  <cp:keywords/>
  <cp:lastModifiedBy>Gulsah Isik</cp:lastModifiedBy>
  <cp:revision>155</cp:revision>
  <cp:lastPrinted>2021-04-15T00:48:00Z</cp:lastPrinted>
  <dcterms:created xsi:type="dcterms:W3CDTF">2025-08-23T06:19:00Z</dcterms:created>
  <dcterms:modified xsi:type="dcterms:W3CDTF">2025-09-11T08:55:00Z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0x010100F4C63C3BD852AE468EAEFD0E6C57C64F0200F6BB69EE57CB454DB48205F49CB29C50</vt:lpwstr>
  </property>
  <property fmtid="{D5CDD505-2E9C-101B-9397-08002B2CF9AE}" pid="3" name="Order">
    <vt:r8>7900</vt:r8>
  </property>
  <property fmtid="{D5CDD505-2E9C-101B-9397-08002B2CF9AE}" pid="4" name="WBDocs_Originating_Unit">
    <vt:lpwstr>5;#GEF - Global Environment Facility|9f323ca6-1e1c-45a7-a1ba-5f59196854eb</vt:lpwstr>
  </property>
  <property fmtid="{D5CDD505-2E9C-101B-9397-08002B2CF9AE}" pid="5" name="WBDocs_Local_Document_Type">
    <vt:lpwstr/>
  </property>
  <property fmtid="{D5CDD505-2E9C-101B-9397-08002B2CF9AE}" pid="6" name="MediaServiceImageTags">
    <vt:lpwstr/>
  </property>
</Properties>
</file>