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8B7C" w14:textId="77777777" w:rsidR="004A1E91" w:rsidRDefault="003719CD" w:rsidP="00C43647">
      <w:pPr>
        <w:spacing w:line="276" w:lineRule="auto"/>
        <w:jc w:val="center"/>
        <w:rPr>
          <w:rFonts w:ascii="Arial" w:hAnsi="Arial"/>
          <w:b/>
          <w:spacing w:val="54"/>
          <w:sz w:val="36"/>
        </w:rPr>
      </w:pPr>
      <w:r>
        <w:rPr>
          <w:noProof/>
        </w:rPr>
        <w:drawing>
          <wp:inline distT="0" distB="1905" distL="0" distR="0" wp14:anchorId="13F80E9D" wp14:editId="2E554BB8">
            <wp:extent cx="1586230" cy="951230"/>
            <wp:effectExtent l="0" t="0" r="0" b="0"/>
            <wp:docPr id="1" name="Picture 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Adaptation Fund\Marketing\Logo\AF_logo.jpg"/>
                    <pic:cNvPicPr>
                      <a:picLocks noChangeAspect="1" noChangeArrowheads="1"/>
                    </pic:cNvPicPr>
                  </pic:nvPicPr>
                  <pic:blipFill>
                    <a:blip r:embed="rId9"/>
                    <a:srcRect l="24263" t="22355" r="32886" b="41691"/>
                    <a:stretch>
                      <a:fillRect/>
                    </a:stretch>
                  </pic:blipFill>
                  <pic:spPr bwMode="auto">
                    <a:xfrm>
                      <a:off x="0" y="0"/>
                      <a:ext cx="1586230" cy="951230"/>
                    </a:xfrm>
                    <a:prstGeom prst="rect">
                      <a:avLst/>
                    </a:prstGeom>
                  </pic:spPr>
                </pic:pic>
              </a:graphicData>
            </a:graphic>
          </wp:inline>
        </w:drawing>
      </w:r>
    </w:p>
    <w:p w14:paraId="19DEF12F" w14:textId="77777777" w:rsidR="004A1E91" w:rsidRDefault="004A1E91" w:rsidP="00C43647">
      <w:pPr>
        <w:spacing w:line="276" w:lineRule="auto"/>
        <w:jc w:val="center"/>
        <w:rPr>
          <w:rFonts w:ascii="Arial" w:hAnsi="Arial"/>
          <w:b/>
          <w:spacing w:val="54"/>
          <w:sz w:val="36"/>
        </w:rPr>
      </w:pPr>
    </w:p>
    <w:tbl>
      <w:tblPr>
        <w:tblW w:w="8730" w:type="dxa"/>
        <w:tblBorders>
          <w:bottom w:val="single" w:sz="18" w:space="0" w:color="00000A"/>
          <w:insideH w:val="single" w:sz="18" w:space="0" w:color="00000A"/>
        </w:tblBorders>
        <w:tblLook w:val="04A0" w:firstRow="1" w:lastRow="0" w:firstColumn="1" w:lastColumn="0" w:noHBand="0" w:noVBand="1"/>
      </w:tblPr>
      <w:tblGrid>
        <w:gridCol w:w="8730"/>
      </w:tblGrid>
      <w:tr w:rsidR="004A1E91" w:rsidRPr="00E729D9" w14:paraId="489801F5" w14:textId="77777777" w:rsidTr="00D45CE4">
        <w:tc>
          <w:tcPr>
            <w:tcW w:w="8730" w:type="dxa"/>
            <w:tcBorders>
              <w:bottom w:val="single" w:sz="18" w:space="0" w:color="00000A"/>
            </w:tcBorders>
            <w:shd w:val="clear" w:color="auto" w:fill="auto"/>
          </w:tcPr>
          <w:p w14:paraId="18D76973" w14:textId="2FD296BE" w:rsidR="004A1E91" w:rsidRPr="007B00D6" w:rsidRDefault="00551A05" w:rsidP="00C43647">
            <w:pPr>
              <w:spacing w:line="276" w:lineRule="auto"/>
              <w:jc w:val="right"/>
              <w:rPr>
                <w:rFonts w:ascii="Arial" w:hAnsi="Arial"/>
              </w:rPr>
            </w:pPr>
            <w:r w:rsidRPr="007B00D6">
              <w:rPr>
                <w:rFonts w:ascii="Arial" w:hAnsi="Arial"/>
                <w:sz w:val="22"/>
              </w:rPr>
              <w:t>AFB/B.32</w:t>
            </w:r>
            <w:r w:rsidR="009153EC" w:rsidRPr="007B00D6">
              <w:rPr>
                <w:rFonts w:ascii="Arial" w:hAnsi="Arial"/>
                <w:sz w:val="22"/>
              </w:rPr>
              <w:t>/</w:t>
            </w:r>
            <w:r w:rsidR="00DD7336" w:rsidRPr="007B00D6">
              <w:rPr>
                <w:rFonts w:ascii="Arial" w:hAnsi="Arial"/>
                <w:sz w:val="22"/>
              </w:rPr>
              <w:t>6</w:t>
            </w:r>
          </w:p>
          <w:p w14:paraId="1AF51E4C" w14:textId="57287165" w:rsidR="004A1E91" w:rsidRPr="00E729D9" w:rsidRDefault="00A33254" w:rsidP="009B68F5">
            <w:pPr>
              <w:pStyle w:val="Header"/>
              <w:spacing w:line="276" w:lineRule="auto"/>
              <w:jc w:val="right"/>
              <w:rPr>
                <w:rFonts w:ascii="Arial" w:hAnsi="Arial"/>
              </w:rPr>
            </w:pPr>
            <w:r w:rsidRPr="007B00D6">
              <w:rPr>
                <w:rFonts w:ascii="Arial" w:hAnsi="Arial"/>
                <w:sz w:val="22"/>
              </w:rPr>
              <w:t>1</w:t>
            </w:r>
            <w:r w:rsidR="0037782A" w:rsidRPr="007B00D6">
              <w:rPr>
                <w:rFonts w:ascii="Arial" w:hAnsi="Arial"/>
                <w:sz w:val="22"/>
              </w:rPr>
              <w:t>7</w:t>
            </w:r>
            <w:r w:rsidR="007B2921" w:rsidRPr="007B00D6">
              <w:rPr>
                <w:rFonts w:ascii="Arial" w:hAnsi="Arial"/>
                <w:sz w:val="22"/>
              </w:rPr>
              <w:t xml:space="preserve"> September</w:t>
            </w:r>
            <w:r w:rsidR="00AF5D7E" w:rsidRPr="007B00D6">
              <w:rPr>
                <w:rFonts w:ascii="Arial" w:hAnsi="Arial"/>
                <w:sz w:val="22"/>
              </w:rPr>
              <w:t xml:space="preserve"> 2018</w:t>
            </w:r>
          </w:p>
        </w:tc>
      </w:tr>
    </w:tbl>
    <w:p w14:paraId="0A8FDE43" w14:textId="77777777" w:rsidR="004A1E91" w:rsidRDefault="003719CD" w:rsidP="00C43647">
      <w:pPr>
        <w:spacing w:line="276" w:lineRule="auto"/>
        <w:rPr>
          <w:rFonts w:ascii="Arial" w:hAnsi="Arial"/>
          <w:sz w:val="22"/>
        </w:rPr>
      </w:pPr>
      <w:r>
        <w:rPr>
          <w:rFonts w:ascii="Arial" w:hAnsi="Arial"/>
          <w:sz w:val="22"/>
        </w:rPr>
        <w:t>Adaptation Fund Board</w:t>
      </w:r>
    </w:p>
    <w:p w14:paraId="4C4E640A" w14:textId="64A9D62D" w:rsidR="004A1E91" w:rsidRDefault="00AF5D7E" w:rsidP="00C43647">
      <w:pPr>
        <w:spacing w:line="276" w:lineRule="auto"/>
        <w:rPr>
          <w:rFonts w:ascii="Arial" w:hAnsi="Arial"/>
          <w:sz w:val="22"/>
        </w:rPr>
      </w:pPr>
      <w:r>
        <w:rPr>
          <w:rFonts w:ascii="Arial" w:hAnsi="Arial"/>
          <w:sz w:val="22"/>
        </w:rPr>
        <w:t>Thirty-</w:t>
      </w:r>
      <w:r w:rsidR="00551A05">
        <w:rPr>
          <w:rFonts w:ascii="Arial" w:hAnsi="Arial"/>
          <w:sz w:val="22"/>
        </w:rPr>
        <w:t>second</w:t>
      </w:r>
      <w:r w:rsidR="003719CD">
        <w:rPr>
          <w:rFonts w:ascii="Arial" w:hAnsi="Arial"/>
          <w:sz w:val="22"/>
        </w:rPr>
        <w:t xml:space="preserve"> meeting</w:t>
      </w:r>
    </w:p>
    <w:p w14:paraId="7660BA35" w14:textId="6669CD4E" w:rsidR="004A1E91" w:rsidRDefault="003719CD" w:rsidP="00C43647">
      <w:pPr>
        <w:spacing w:line="276" w:lineRule="auto"/>
        <w:rPr>
          <w:rFonts w:ascii="Arial" w:hAnsi="Arial"/>
          <w:sz w:val="22"/>
        </w:rPr>
      </w:pPr>
      <w:r>
        <w:rPr>
          <w:rFonts w:ascii="Arial" w:hAnsi="Arial"/>
          <w:sz w:val="22"/>
        </w:rPr>
        <w:t xml:space="preserve">Bonn, Germany, </w:t>
      </w:r>
      <w:r w:rsidR="00551A05">
        <w:rPr>
          <w:rFonts w:ascii="Arial" w:hAnsi="Arial"/>
          <w:sz w:val="22"/>
        </w:rPr>
        <w:t>11-12 October</w:t>
      </w:r>
      <w:r w:rsidR="00AF5D7E">
        <w:rPr>
          <w:rFonts w:ascii="Arial" w:hAnsi="Arial"/>
          <w:sz w:val="22"/>
        </w:rPr>
        <w:t xml:space="preserve"> 2018</w:t>
      </w:r>
    </w:p>
    <w:p w14:paraId="77D476A4" w14:textId="77777777" w:rsidR="004A1E91" w:rsidRDefault="004A1E91" w:rsidP="00C43647">
      <w:pPr>
        <w:spacing w:line="276" w:lineRule="auto"/>
        <w:rPr>
          <w:rFonts w:ascii="Arial" w:hAnsi="Arial"/>
          <w:sz w:val="22"/>
        </w:rPr>
      </w:pPr>
    </w:p>
    <w:p w14:paraId="2CD8674B" w14:textId="62120232" w:rsidR="004A1E91" w:rsidRDefault="003719CD" w:rsidP="00C43647">
      <w:pPr>
        <w:spacing w:line="276" w:lineRule="auto"/>
        <w:rPr>
          <w:rFonts w:ascii="Arial" w:hAnsi="Arial"/>
          <w:sz w:val="22"/>
        </w:rPr>
      </w:pPr>
      <w:r>
        <w:rPr>
          <w:rFonts w:ascii="Arial" w:hAnsi="Arial"/>
          <w:sz w:val="22"/>
        </w:rPr>
        <w:t xml:space="preserve">Agenda </w:t>
      </w:r>
      <w:r w:rsidRPr="007B00D6">
        <w:rPr>
          <w:rFonts w:ascii="Arial" w:hAnsi="Arial"/>
          <w:sz w:val="22"/>
        </w:rPr>
        <w:t xml:space="preserve">item </w:t>
      </w:r>
      <w:r w:rsidR="00476236" w:rsidRPr="007B00D6">
        <w:rPr>
          <w:rFonts w:ascii="Arial" w:hAnsi="Arial"/>
          <w:sz w:val="22"/>
        </w:rPr>
        <w:t>11</w:t>
      </w:r>
      <w:r w:rsidR="0037782A" w:rsidRPr="007B00D6">
        <w:rPr>
          <w:rFonts w:ascii="Arial" w:hAnsi="Arial"/>
          <w:sz w:val="22"/>
        </w:rPr>
        <w:t xml:space="preserve"> a)</w:t>
      </w:r>
    </w:p>
    <w:p w14:paraId="04FF6983" w14:textId="77777777" w:rsidR="004A1E91" w:rsidRDefault="003719CD" w:rsidP="00C43647">
      <w:pPr>
        <w:spacing w:line="276" w:lineRule="auto"/>
        <w:rPr>
          <w:rFonts w:ascii="Arial" w:hAnsi="Arial"/>
        </w:rPr>
      </w:pPr>
      <w:r>
        <w:rPr>
          <w:rFonts w:ascii="Arial" w:hAnsi="Arial"/>
        </w:rPr>
        <w:t xml:space="preserve"> </w:t>
      </w:r>
    </w:p>
    <w:p w14:paraId="557F8215" w14:textId="77777777" w:rsidR="004A1E91" w:rsidRDefault="004A1E91" w:rsidP="00C43647">
      <w:pPr>
        <w:spacing w:line="276" w:lineRule="auto"/>
        <w:rPr>
          <w:rFonts w:ascii="Arial" w:hAnsi="Arial"/>
        </w:rPr>
      </w:pPr>
    </w:p>
    <w:p w14:paraId="17AE4203" w14:textId="77777777" w:rsidR="004A1E91" w:rsidRDefault="004A1E91" w:rsidP="00C43647">
      <w:pPr>
        <w:spacing w:line="276" w:lineRule="auto"/>
        <w:rPr>
          <w:rFonts w:ascii="Arial" w:hAnsi="Arial"/>
        </w:rPr>
      </w:pPr>
    </w:p>
    <w:p w14:paraId="13273387" w14:textId="77777777" w:rsidR="004A1E91" w:rsidRDefault="004A1E91" w:rsidP="00C43647">
      <w:pPr>
        <w:spacing w:line="276" w:lineRule="auto"/>
        <w:rPr>
          <w:rFonts w:ascii="Arial" w:hAnsi="Arial"/>
        </w:rPr>
      </w:pPr>
    </w:p>
    <w:p w14:paraId="61F06BA0" w14:textId="77777777" w:rsidR="004A1E91" w:rsidRDefault="004A1E91" w:rsidP="00C43647">
      <w:pPr>
        <w:spacing w:line="276" w:lineRule="auto"/>
        <w:rPr>
          <w:rFonts w:ascii="Arial" w:hAnsi="Arial"/>
        </w:rPr>
      </w:pPr>
    </w:p>
    <w:p w14:paraId="5F5DD20F" w14:textId="77777777" w:rsidR="004A1E91" w:rsidRDefault="004A1E91" w:rsidP="00C43647">
      <w:pPr>
        <w:spacing w:line="276" w:lineRule="auto"/>
        <w:rPr>
          <w:rFonts w:ascii="Arial" w:hAnsi="Arial"/>
        </w:rPr>
      </w:pPr>
    </w:p>
    <w:p w14:paraId="2D5069BC" w14:textId="77777777" w:rsidR="004A1E91" w:rsidRDefault="004A1E91" w:rsidP="00C43647">
      <w:pPr>
        <w:spacing w:line="276" w:lineRule="auto"/>
        <w:rPr>
          <w:rFonts w:ascii="Arial" w:hAnsi="Arial"/>
        </w:rPr>
      </w:pPr>
    </w:p>
    <w:p w14:paraId="00F51470" w14:textId="77777777" w:rsidR="004A1E91" w:rsidRDefault="004A1E91" w:rsidP="00C43647">
      <w:pPr>
        <w:spacing w:line="276" w:lineRule="auto"/>
        <w:rPr>
          <w:rFonts w:ascii="Arial" w:hAnsi="Arial"/>
        </w:rPr>
      </w:pPr>
    </w:p>
    <w:p w14:paraId="551DB692" w14:textId="77777777" w:rsidR="004A1E91" w:rsidRDefault="004A1E91" w:rsidP="00476236">
      <w:pPr>
        <w:spacing w:line="276" w:lineRule="auto"/>
        <w:jc w:val="center"/>
        <w:rPr>
          <w:rFonts w:ascii="Arial" w:hAnsi="Arial"/>
        </w:rPr>
      </w:pPr>
    </w:p>
    <w:p w14:paraId="7FAA72DC" w14:textId="7812F9D0" w:rsidR="0037782A" w:rsidRPr="0037782A" w:rsidRDefault="0037782A" w:rsidP="00476236">
      <w:pPr>
        <w:pStyle w:val="Heading1"/>
        <w:numPr>
          <w:ilvl w:val="0"/>
          <w:numId w:val="0"/>
        </w:numPr>
        <w:spacing w:before="0" w:after="0" w:line="276" w:lineRule="auto"/>
        <w:rPr>
          <w:rFonts w:ascii="Arial" w:hAnsi="Arial"/>
        </w:rPr>
      </w:pPr>
      <w:r w:rsidDel="00313A6D">
        <w:rPr>
          <w:rFonts w:ascii="Arial" w:hAnsi="Arial"/>
        </w:rPr>
        <w:t>StraTEGIC DISCUSSION ON OBJECTIVES AND FURTHER STEPS OF THE FUND</w:t>
      </w:r>
      <w:r w:rsidR="00CE6626">
        <w:rPr>
          <w:rFonts w:ascii="Arial" w:hAnsi="Arial"/>
        </w:rPr>
        <w:t>:</w:t>
      </w:r>
      <w:r w:rsidR="00CE6626" w:rsidDel="00313A6D">
        <w:rPr>
          <w:rFonts w:ascii="Arial" w:hAnsi="Arial"/>
        </w:rPr>
        <w:t xml:space="preserve"> </w:t>
      </w:r>
      <w:r>
        <w:rPr>
          <w:rFonts w:ascii="Arial" w:hAnsi="Arial"/>
        </w:rPr>
        <w:t>POTENTIAL LINKAGES BETWEEN THE FUND AND THE GREEN CLIMATE FUND</w:t>
      </w:r>
    </w:p>
    <w:p w14:paraId="6FF1ED7B" w14:textId="726102D2" w:rsidR="0037782A" w:rsidRPr="0037782A" w:rsidRDefault="0037782A" w:rsidP="0037782A">
      <w:pPr>
        <w:sectPr w:rsidR="0037782A" w:rsidRPr="0037782A" w:rsidSect="00406EA7">
          <w:footerReference w:type="default" r:id="rId10"/>
          <w:pgSz w:w="12240" w:h="15840"/>
          <w:pgMar w:top="1440" w:right="1728" w:bottom="1152" w:left="1728" w:header="0" w:footer="720" w:gutter="0"/>
          <w:cols w:space="720"/>
          <w:formProt w:val="0"/>
          <w:docGrid w:linePitch="360" w:charSpace="-6145"/>
        </w:sectPr>
      </w:pPr>
    </w:p>
    <w:p w14:paraId="2F308950" w14:textId="74E9000B" w:rsidR="004A1E91" w:rsidRDefault="003719CD" w:rsidP="00C43647">
      <w:pPr>
        <w:spacing w:line="276" w:lineRule="auto"/>
        <w:rPr>
          <w:rFonts w:ascii="Arial" w:hAnsi="Arial"/>
          <w:b/>
          <w:sz w:val="22"/>
        </w:rPr>
      </w:pPr>
      <w:r>
        <w:rPr>
          <w:rFonts w:ascii="Arial" w:hAnsi="Arial"/>
          <w:b/>
          <w:sz w:val="22"/>
        </w:rPr>
        <w:lastRenderedPageBreak/>
        <w:t>Background</w:t>
      </w:r>
    </w:p>
    <w:p w14:paraId="29B38F59" w14:textId="77777777" w:rsidR="00127945" w:rsidRPr="00DD7336" w:rsidRDefault="00127945" w:rsidP="00C43647">
      <w:pPr>
        <w:spacing w:line="276" w:lineRule="auto"/>
        <w:rPr>
          <w:rFonts w:ascii="Arial" w:hAnsi="Arial" w:cs="Arial"/>
          <w:b/>
          <w:sz w:val="22"/>
        </w:rPr>
      </w:pPr>
    </w:p>
    <w:p w14:paraId="632945CE" w14:textId="4A5AA1E2" w:rsidR="008915A0" w:rsidRPr="00DD7336" w:rsidRDefault="00892AA3" w:rsidP="00DD7336">
      <w:pPr>
        <w:autoSpaceDE w:val="0"/>
        <w:autoSpaceDN w:val="0"/>
        <w:adjustRightInd w:val="0"/>
        <w:spacing w:line="276" w:lineRule="auto"/>
        <w:jc w:val="both"/>
        <w:rPr>
          <w:rFonts w:ascii="Arial" w:eastAsiaTheme="minorHAnsi" w:hAnsi="Arial" w:cs="Arial"/>
          <w:sz w:val="22"/>
          <w:szCs w:val="22"/>
        </w:rPr>
      </w:pPr>
      <w:r w:rsidRPr="00DD7336">
        <w:rPr>
          <w:rFonts w:ascii="Arial" w:eastAsiaTheme="minorHAnsi" w:hAnsi="Arial" w:cs="Arial"/>
          <w:sz w:val="22"/>
          <w:szCs w:val="22"/>
        </w:rPr>
        <w:t>1.</w:t>
      </w:r>
      <w:r w:rsidRPr="00DD7336">
        <w:rPr>
          <w:rFonts w:ascii="Arial" w:eastAsiaTheme="minorHAnsi" w:hAnsi="Arial" w:cs="Arial"/>
          <w:sz w:val="22"/>
          <w:szCs w:val="22"/>
        </w:rPr>
        <w:tab/>
      </w:r>
      <w:r w:rsidR="002357A2" w:rsidRPr="00DD7336">
        <w:rPr>
          <w:rFonts w:ascii="Arial" w:eastAsiaTheme="minorHAnsi" w:hAnsi="Arial" w:cs="Arial"/>
          <w:sz w:val="22"/>
          <w:szCs w:val="22"/>
        </w:rPr>
        <w:t xml:space="preserve">The Adaptation Fund Board (the Board), at its thirty-first meeting, </w:t>
      </w:r>
      <w:r w:rsidR="00E21286" w:rsidRPr="00DD7336">
        <w:rPr>
          <w:rFonts w:ascii="Arial" w:eastAsiaTheme="minorHAnsi" w:hAnsi="Arial" w:cs="Arial"/>
          <w:sz w:val="22"/>
          <w:szCs w:val="22"/>
        </w:rPr>
        <w:t>held a</w:t>
      </w:r>
      <w:r w:rsidR="008915A0" w:rsidRPr="00DD7336">
        <w:rPr>
          <w:rFonts w:ascii="Arial" w:eastAsiaTheme="minorHAnsi" w:hAnsi="Arial" w:cs="Arial"/>
          <w:sz w:val="22"/>
          <w:szCs w:val="22"/>
        </w:rPr>
        <w:t xml:space="preserve"> discussion on the topic of the potential linkages between the Adaptation Fund (</w:t>
      </w:r>
      <w:r w:rsidR="00693996">
        <w:rPr>
          <w:rFonts w:ascii="Arial" w:eastAsiaTheme="minorHAnsi" w:hAnsi="Arial" w:cs="Arial"/>
          <w:sz w:val="22"/>
          <w:szCs w:val="22"/>
        </w:rPr>
        <w:t>the Fund</w:t>
      </w:r>
      <w:r w:rsidR="008915A0" w:rsidRPr="00DD7336">
        <w:rPr>
          <w:rFonts w:ascii="Arial" w:eastAsiaTheme="minorHAnsi" w:hAnsi="Arial" w:cs="Arial"/>
          <w:sz w:val="22"/>
          <w:szCs w:val="22"/>
        </w:rPr>
        <w:t>) and the Green Climate Fund (GCF)</w:t>
      </w:r>
      <w:r w:rsidR="00E21286" w:rsidRPr="00DD7336">
        <w:rPr>
          <w:rFonts w:ascii="Arial" w:eastAsiaTheme="minorHAnsi" w:hAnsi="Arial" w:cs="Arial"/>
          <w:sz w:val="22"/>
          <w:szCs w:val="22"/>
        </w:rPr>
        <w:t xml:space="preserve">, as part of a series of </w:t>
      </w:r>
      <w:r w:rsidR="008915A0" w:rsidRPr="00DD7336">
        <w:rPr>
          <w:rFonts w:ascii="Arial" w:eastAsiaTheme="minorHAnsi" w:hAnsi="Arial" w:cs="Arial"/>
          <w:sz w:val="22"/>
          <w:szCs w:val="22"/>
        </w:rPr>
        <w:t xml:space="preserve">discussions </w:t>
      </w:r>
      <w:r w:rsidR="00E21286" w:rsidRPr="00DD7336">
        <w:rPr>
          <w:rFonts w:ascii="Arial" w:eastAsiaTheme="minorHAnsi" w:hAnsi="Arial" w:cs="Arial"/>
          <w:sz w:val="22"/>
          <w:szCs w:val="22"/>
        </w:rPr>
        <w:t xml:space="preserve">that </w:t>
      </w:r>
      <w:r w:rsidR="008915A0" w:rsidRPr="00DD7336">
        <w:rPr>
          <w:rFonts w:ascii="Arial" w:eastAsiaTheme="minorHAnsi" w:hAnsi="Arial" w:cs="Arial"/>
          <w:sz w:val="22"/>
          <w:szCs w:val="22"/>
        </w:rPr>
        <w:t>have been taking place</w:t>
      </w:r>
      <w:r w:rsidR="00E21286" w:rsidRPr="00DD7336">
        <w:rPr>
          <w:rFonts w:ascii="Arial" w:eastAsiaTheme="minorHAnsi" w:hAnsi="Arial" w:cs="Arial"/>
          <w:sz w:val="22"/>
          <w:szCs w:val="22"/>
        </w:rPr>
        <w:t xml:space="preserve"> </w:t>
      </w:r>
      <w:r w:rsidR="008915A0" w:rsidRPr="00DD7336">
        <w:rPr>
          <w:rFonts w:ascii="Arial" w:eastAsiaTheme="minorHAnsi" w:hAnsi="Arial" w:cs="Arial"/>
          <w:sz w:val="22"/>
          <w:szCs w:val="22"/>
        </w:rPr>
        <w:t xml:space="preserve">at two levels: </w:t>
      </w:r>
      <w:r w:rsidR="00F3001E">
        <w:rPr>
          <w:rFonts w:ascii="Arial" w:eastAsiaTheme="minorHAnsi" w:hAnsi="Arial" w:cs="Arial"/>
          <w:sz w:val="22"/>
          <w:szCs w:val="22"/>
        </w:rPr>
        <w:t xml:space="preserve">(i) </w:t>
      </w:r>
      <w:r w:rsidR="008915A0" w:rsidRPr="00DD7336">
        <w:rPr>
          <w:rFonts w:ascii="Arial" w:eastAsiaTheme="minorHAnsi" w:hAnsi="Arial" w:cs="Arial"/>
          <w:sz w:val="22"/>
          <w:szCs w:val="22"/>
        </w:rPr>
        <w:t>through dialogue between the AFB Chair and Vice-Chair with the Co-Chairs of the GCF Board</w:t>
      </w:r>
      <w:r w:rsidR="00E21286" w:rsidRPr="00DD7336">
        <w:rPr>
          <w:rFonts w:ascii="Arial" w:eastAsiaTheme="minorHAnsi" w:hAnsi="Arial" w:cs="Arial"/>
          <w:sz w:val="22"/>
          <w:szCs w:val="22"/>
        </w:rPr>
        <w:t>,</w:t>
      </w:r>
      <w:r w:rsidR="008915A0" w:rsidRPr="00DD7336">
        <w:rPr>
          <w:rFonts w:ascii="Arial" w:eastAsiaTheme="minorHAnsi" w:hAnsi="Arial" w:cs="Arial"/>
          <w:sz w:val="22"/>
          <w:szCs w:val="22"/>
        </w:rPr>
        <w:t xml:space="preserve"> both exclusively and in the context of the annual dialogue among a larger group of climate funds</w:t>
      </w:r>
      <w:r w:rsidR="00F3001E">
        <w:rPr>
          <w:rFonts w:ascii="Arial" w:eastAsiaTheme="minorHAnsi" w:hAnsi="Arial" w:cs="Arial"/>
          <w:sz w:val="22"/>
          <w:szCs w:val="22"/>
        </w:rPr>
        <w:t>; (ii)</w:t>
      </w:r>
      <w:r w:rsidR="008915A0" w:rsidRPr="00DD7336">
        <w:rPr>
          <w:rFonts w:ascii="Arial" w:eastAsiaTheme="minorHAnsi" w:hAnsi="Arial" w:cs="Arial"/>
          <w:sz w:val="22"/>
          <w:szCs w:val="22"/>
        </w:rPr>
        <w:t xml:space="preserve"> and through ongoing discussions between the secretariats of the </w:t>
      </w:r>
      <w:r w:rsidR="00693996">
        <w:rPr>
          <w:rFonts w:ascii="Arial" w:eastAsiaTheme="minorHAnsi" w:hAnsi="Arial" w:cs="Arial"/>
          <w:sz w:val="22"/>
          <w:szCs w:val="22"/>
        </w:rPr>
        <w:t>Fund</w:t>
      </w:r>
      <w:r w:rsidR="00693996" w:rsidRPr="00DD7336">
        <w:rPr>
          <w:rFonts w:ascii="Arial" w:eastAsiaTheme="minorHAnsi" w:hAnsi="Arial" w:cs="Arial"/>
          <w:sz w:val="22"/>
          <w:szCs w:val="22"/>
        </w:rPr>
        <w:t xml:space="preserve"> </w:t>
      </w:r>
      <w:r w:rsidR="008915A0" w:rsidRPr="00DD7336">
        <w:rPr>
          <w:rFonts w:ascii="Arial" w:eastAsiaTheme="minorHAnsi" w:hAnsi="Arial" w:cs="Arial"/>
          <w:sz w:val="22"/>
          <w:szCs w:val="22"/>
        </w:rPr>
        <w:t>and the GCF on concrete activities in the area</w:t>
      </w:r>
      <w:r w:rsidR="00313A6D" w:rsidRPr="00DD7336">
        <w:rPr>
          <w:rFonts w:ascii="Arial" w:eastAsiaTheme="minorHAnsi" w:hAnsi="Arial" w:cs="Arial"/>
          <w:sz w:val="22"/>
          <w:szCs w:val="22"/>
        </w:rPr>
        <w:t>s</w:t>
      </w:r>
      <w:r w:rsidR="008915A0" w:rsidRPr="00DD7336">
        <w:rPr>
          <w:rFonts w:ascii="Arial" w:eastAsiaTheme="minorHAnsi" w:hAnsi="Arial" w:cs="Arial"/>
          <w:sz w:val="22"/>
          <w:szCs w:val="22"/>
        </w:rPr>
        <w:t xml:space="preserve"> of complementarity and coherence. </w:t>
      </w:r>
      <w:r w:rsidR="001F452D" w:rsidRPr="00DD7336">
        <w:rPr>
          <w:rFonts w:ascii="Arial" w:eastAsiaTheme="minorHAnsi" w:hAnsi="Arial" w:cs="Arial"/>
          <w:sz w:val="22"/>
          <w:szCs w:val="22"/>
        </w:rPr>
        <w:t xml:space="preserve">Specifically, </w:t>
      </w:r>
      <w:r w:rsidR="0009585A" w:rsidRPr="00DD7336">
        <w:rPr>
          <w:rFonts w:ascii="Arial" w:eastAsiaTheme="minorHAnsi" w:hAnsi="Arial" w:cs="Arial"/>
          <w:sz w:val="22"/>
          <w:szCs w:val="22"/>
        </w:rPr>
        <w:t xml:space="preserve">at the thirty-first meeting, the Board </w:t>
      </w:r>
      <w:r w:rsidR="001F452D" w:rsidRPr="00DD7336">
        <w:rPr>
          <w:rFonts w:ascii="Arial" w:eastAsiaTheme="minorHAnsi" w:hAnsi="Arial" w:cs="Arial"/>
          <w:sz w:val="22"/>
          <w:szCs w:val="22"/>
        </w:rPr>
        <w:t>decided:</w:t>
      </w:r>
    </w:p>
    <w:p w14:paraId="4EB56AB8" w14:textId="77777777" w:rsidR="008915A0" w:rsidRPr="00DD7336" w:rsidRDefault="008915A0" w:rsidP="00DD7336">
      <w:pPr>
        <w:pStyle w:val="ListParagraph"/>
        <w:spacing w:after="160" w:line="276" w:lineRule="auto"/>
        <w:ind w:left="0"/>
        <w:jc w:val="both"/>
        <w:rPr>
          <w:rFonts w:ascii="Arial" w:eastAsiaTheme="minorHAnsi" w:hAnsi="Arial" w:cs="Arial"/>
          <w:sz w:val="22"/>
          <w:szCs w:val="22"/>
        </w:rPr>
      </w:pPr>
    </w:p>
    <w:p w14:paraId="1D7085EF" w14:textId="3A2E2037" w:rsidR="0037782A" w:rsidRPr="00DD7336" w:rsidRDefault="0037782A" w:rsidP="00DD7336">
      <w:pPr>
        <w:pStyle w:val="ListParagraph"/>
        <w:numPr>
          <w:ilvl w:val="0"/>
          <w:numId w:val="17"/>
        </w:numPr>
        <w:spacing w:after="160" w:line="276" w:lineRule="auto"/>
        <w:jc w:val="both"/>
        <w:rPr>
          <w:rFonts w:ascii="Arial" w:eastAsiaTheme="minorHAnsi" w:hAnsi="Arial" w:cs="Arial"/>
          <w:i/>
          <w:sz w:val="22"/>
          <w:szCs w:val="22"/>
        </w:rPr>
      </w:pPr>
      <w:r w:rsidRPr="00DD7336">
        <w:rPr>
          <w:rFonts w:ascii="Arial" w:eastAsiaTheme="minorHAnsi" w:hAnsi="Arial" w:cs="Arial"/>
          <w:i/>
          <w:sz w:val="22"/>
          <w:szCs w:val="22"/>
        </w:rPr>
        <w:t>To request the Chair and Vice-Chair, assisted by the secretariat to continue pursuing active engagement with the Green Climate Fund (GCF) Board through its co-chairs, with a view to exploring concrete steps to enhance complementarity and coherence, including at the forty-eighth sessions of the subsidiary bodies to the United Nations Framework Convention on Climate Change, in May 2018, in Bonn, Germany;</w:t>
      </w:r>
    </w:p>
    <w:p w14:paraId="00CED47B" w14:textId="77777777" w:rsidR="0037782A" w:rsidRPr="00DD7336" w:rsidRDefault="0037782A" w:rsidP="00DD7336">
      <w:pPr>
        <w:pStyle w:val="Sub-Para1underX"/>
        <w:numPr>
          <w:ilvl w:val="0"/>
          <w:numId w:val="17"/>
        </w:numPr>
        <w:tabs>
          <w:tab w:val="left" w:pos="1276"/>
        </w:tabs>
        <w:spacing w:line="276" w:lineRule="auto"/>
        <w:jc w:val="both"/>
        <w:rPr>
          <w:rFonts w:ascii="Arial" w:eastAsiaTheme="minorHAnsi" w:hAnsi="Arial" w:cs="Arial"/>
          <w:i/>
          <w:sz w:val="22"/>
          <w:szCs w:val="22"/>
        </w:rPr>
      </w:pPr>
      <w:r w:rsidRPr="00DD7336">
        <w:rPr>
          <w:rFonts w:ascii="Arial" w:eastAsiaTheme="minorHAnsi" w:hAnsi="Arial" w:cs="Arial"/>
          <w:i/>
          <w:sz w:val="22"/>
          <w:szCs w:val="22"/>
        </w:rPr>
        <w:t xml:space="preserve">To request the secretariat: </w:t>
      </w:r>
    </w:p>
    <w:p w14:paraId="19BA2C75" w14:textId="77777777" w:rsidR="0037782A" w:rsidRPr="00DD7336" w:rsidRDefault="0037782A" w:rsidP="00DD7336">
      <w:pPr>
        <w:pStyle w:val="Sub-Para2underX"/>
        <w:numPr>
          <w:ilvl w:val="3"/>
          <w:numId w:val="20"/>
        </w:numPr>
        <w:tabs>
          <w:tab w:val="num" w:pos="1843"/>
          <w:tab w:val="num" w:pos="2070"/>
        </w:tabs>
        <w:spacing w:line="276" w:lineRule="auto"/>
        <w:ind w:left="1800" w:hanging="540"/>
        <w:jc w:val="both"/>
        <w:rPr>
          <w:rFonts w:ascii="Arial" w:eastAsiaTheme="minorHAnsi" w:hAnsi="Arial" w:cs="Arial"/>
          <w:i/>
          <w:sz w:val="22"/>
          <w:szCs w:val="22"/>
        </w:rPr>
      </w:pPr>
      <w:r w:rsidRPr="00DD7336">
        <w:rPr>
          <w:rFonts w:ascii="Arial" w:eastAsiaTheme="minorHAnsi" w:hAnsi="Arial" w:cs="Arial"/>
          <w:i/>
          <w:sz w:val="22"/>
          <w:szCs w:val="22"/>
        </w:rPr>
        <w:t>To continue discussions with the GCF secretariat to advance the collaborative activities identified at the Annual Dialogue in November 2017 and the Technical Workshop in February 2018 in order to enhance complementarity between the two Funds; and</w:t>
      </w:r>
    </w:p>
    <w:p w14:paraId="164839B5" w14:textId="77777777" w:rsidR="0037782A" w:rsidRPr="00DD7336" w:rsidRDefault="0037782A" w:rsidP="00DD7336">
      <w:pPr>
        <w:pStyle w:val="Sub-Para2underX"/>
        <w:numPr>
          <w:ilvl w:val="3"/>
          <w:numId w:val="20"/>
        </w:numPr>
        <w:tabs>
          <w:tab w:val="num" w:pos="1843"/>
          <w:tab w:val="num" w:pos="2070"/>
        </w:tabs>
        <w:spacing w:line="276" w:lineRule="auto"/>
        <w:ind w:left="1800" w:hanging="540"/>
        <w:jc w:val="both"/>
        <w:rPr>
          <w:rFonts w:ascii="Arial" w:eastAsiaTheme="minorHAnsi" w:hAnsi="Arial" w:cs="Arial"/>
          <w:i/>
          <w:sz w:val="22"/>
          <w:szCs w:val="22"/>
        </w:rPr>
      </w:pPr>
      <w:r w:rsidRPr="00DD7336">
        <w:rPr>
          <w:rFonts w:ascii="Arial" w:eastAsiaTheme="minorHAnsi" w:hAnsi="Arial" w:cs="Arial"/>
          <w:i/>
          <w:sz w:val="22"/>
          <w:szCs w:val="22"/>
        </w:rPr>
        <w:t>To continue the process toward accreditation with the GCF, including by seeking further information from the GCF on options for fund-to-fund arrangements, as described in pillar 1 in the GCF operational framework for complementarity and coherence, as contained in document GCF/B.17/08; and</w:t>
      </w:r>
    </w:p>
    <w:p w14:paraId="6BDA9261" w14:textId="77777777" w:rsidR="0037782A" w:rsidRPr="00DD7336" w:rsidRDefault="0037782A" w:rsidP="00DD7336">
      <w:pPr>
        <w:pStyle w:val="Sub-Para1underX"/>
        <w:numPr>
          <w:ilvl w:val="0"/>
          <w:numId w:val="17"/>
        </w:numPr>
        <w:tabs>
          <w:tab w:val="left" w:pos="1276"/>
        </w:tabs>
        <w:spacing w:line="276" w:lineRule="auto"/>
        <w:ind w:left="709" w:firstLine="0"/>
        <w:jc w:val="both"/>
        <w:rPr>
          <w:rFonts w:ascii="Arial" w:eastAsiaTheme="minorHAnsi" w:hAnsi="Arial" w:cs="Arial"/>
          <w:i/>
          <w:sz w:val="22"/>
          <w:szCs w:val="22"/>
        </w:rPr>
      </w:pPr>
      <w:r w:rsidRPr="00DD7336">
        <w:rPr>
          <w:rFonts w:ascii="Arial" w:eastAsiaTheme="minorHAnsi" w:hAnsi="Arial" w:cs="Arial"/>
          <w:i/>
          <w:sz w:val="22"/>
          <w:szCs w:val="22"/>
        </w:rPr>
        <w:t xml:space="preserve">To request the Chair and secretariat to report to the Board at its thirty-second meeting on the progress made in the activities described in subparagraphs (a) and (b). </w:t>
      </w:r>
    </w:p>
    <w:p w14:paraId="3B2E8F95" w14:textId="18AFD9A0" w:rsidR="0037782A" w:rsidRPr="00DD7336" w:rsidRDefault="0037782A" w:rsidP="00DD7336">
      <w:pPr>
        <w:pStyle w:val="ListParagraph"/>
        <w:pBdr>
          <w:top w:val="nil"/>
          <w:left w:val="nil"/>
          <w:bottom w:val="nil"/>
          <w:right w:val="nil"/>
          <w:between w:val="nil"/>
          <w:bar w:val="nil"/>
        </w:pBdr>
        <w:spacing w:after="200" w:line="276" w:lineRule="auto"/>
        <w:ind w:left="0"/>
        <w:contextualSpacing w:val="0"/>
        <w:jc w:val="right"/>
        <w:rPr>
          <w:rFonts w:ascii="Arial" w:eastAsiaTheme="minorHAnsi" w:hAnsi="Arial" w:cs="Arial"/>
          <w:b/>
          <w:sz w:val="22"/>
          <w:szCs w:val="22"/>
        </w:rPr>
      </w:pPr>
      <w:r w:rsidRPr="00DD7336">
        <w:rPr>
          <w:rFonts w:ascii="Arial" w:eastAsiaTheme="minorHAnsi" w:hAnsi="Arial" w:cs="Arial"/>
          <w:b/>
          <w:sz w:val="22"/>
          <w:szCs w:val="22"/>
        </w:rPr>
        <w:t>(Decision B.31/33)</w:t>
      </w:r>
    </w:p>
    <w:p w14:paraId="2E95DA6F" w14:textId="55E9723D" w:rsidR="00F50F06" w:rsidRPr="00DD7336" w:rsidRDefault="00DB7305" w:rsidP="00DD7336">
      <w:pPr>
        <w:spacing w:line="276" w:lineRule="auto"/>
        <w:jc w:val="both"/>
        <w:rPr>
          <w:rFonts w:ascii="Arial" w:eastAsiaTheme="minorHAnsi" w:hAnsi="Arial" w:cs="Arial"/>
          <w:sz w:val="22"/>
          <w:szCs w:val="22"/>
          <w:lang w:val="en-GB"/>
        </w:rPr>
      </w:pPr>
      <w:r w:rsidRPr="00DD7336">
        <w:rPr>
          <w:rFonts w:ascii="Arial" w:hAnsi="Arial" w:cs="Arial"/>
          <w:sz w:val="22"/>
        </w:rPr>
        <w:t>2.</w:t>
      </w:r>
      <w:r w:rsidRPr="00DD7336">
        <w:rPr>
          <w:rFonts w:ascii="Arial" w:hAnsi="Arial" w:cs="Arial"/>
          <w:b/>
          <w:sz w:val="22"/>
        </w:rPr>
        <w:tab/>
      </w:r>
      <w:r w:rsidR="00F50F06" w:rsidRPr="00DD7336">
        <w:rPr>
          <w:rFonts w:ascii="Arial" w:eastAsiaTheme="minorHAnsi" w:hAnsi="Arial" w:cs="Arial"/>
          <w:sz w:val="22"/>
          <w:szCs w:val="22"/>
          <w:lang w:val="en-GB"/>
        </w:rPr>
        <w:t>Th</w:t>
      </w:r>
      <w:r w:rsidRPr="00DD7336">
        <w:rPr>
          <w:rFonts w:ascii="Arial" w:eastAsiaTheme="minorHAnsi" w:hAnsi="Arial" w:cs="Arial"/>
          <w:sz w:val="22"/>
          <w:szCs w:val="22"/>
          <w:lang w:val="en-GB"/>
        </w:rPr>
        <w:t>is</w:t>
      </w:r>
      <w:r w:rsidR="00F50F06" w:rsidRPr="00DD7336">
        <w:rPr>
          <w:rFonts w:ascii="Arial" w:eastAsiaTheme="minorHAnsi" w:hAnsi="Arial" w:cs="Arial"/>
          <w:sz w:val="22"/>
          <w:szCs w:val="22"/>
          <w:lang w:val="en-GB"/>
        </w:rPr>
        <w:t xml:space="preserve"> </w:t>
      </w:r>
      <w:r w:rsidRPr="00DD7336">
        <w:rPr>
          <w:rFonts w:ascii="Arial" w:eastAsiaTheme="minorHAnsi" w:hAnsi="Arial" w:cs="Arial"/>
          <w:sz w:val="22"/>
          <w:szCs w:val="22"/>
          <w:lang w:val="en-GB"/>
        </w:rPr>
        <w:t>document</w:t>
      </w:r>
      <w:r w:rsidR="00F50F06" w:rsidRPr="00DD7336">
        <w:rPr>
          <w:rFonts w:ascii="Arial" w:eastAsiaTheme="minorHAnsi" w:hAnsi="Arial" w:cs="Arial"/>
          <w:sz w:val="22"/>
          <w:szCs w:val="22"/>
          <w:lang w:val="en-GB"/>
        </w:rPr>
        <w:t xml:space="preserve"> is </w:t>
      </w:r>
      <w:r w:rsidRPr="00DD7336">
        <w:rPr>
          <w:rFonts w:ascii="Arial" w:eastAsiaTheme="minorHAnsi" w:hAnsi="Arial" w:cs="Arial"/>
          <w:sz w:val="22"/>
          <w:szCs w:val="22"/>
          <w:lang w:val="en-GB"/>
        </w:rPr>
        <w:t xml:space="preserve">prepared in line with Decision B.31/33 </w:t>
      </w:r>
      <w:r w:rsidR="00F50F06" w:rsidRPr="00DD7336">
        <w:rPr>
          <w:rFonts w:ascii="Arial" w:eastAsiaTheme="minorHAnsi" w:hAnsi="Arial" w:cs="Arial"/>
          <w:sz w:val="22"/>
          <w:szCs w:val="22"/>
          <w:lang w:val="en-GB"/>
        </w:rPr>
        <w:t>to report on the actions taken and progress made</w:t>
      </w:r>
      <w:r w:rsidR="001A508B" w:rsidRPr="00DD7336">
        <w:rPr>
          <w:rFonts w:ascii="Arial" w:eastAsiaTheme="minorHAnsi" w:hAnsi="Arial" w:cs="Arial"/>
          <w:sz w:val="22"/>
          <w:szCs w:val="22"/>
          <w:lang w:val="en-GB"/>
        </w:rPr>
        <w:t xml:space="preserve"> and </w:t>
      </w:r>
      <w:r w:rsidR="00D91CC1" w:rsidRPr="00DD7336">
        <w:rPr>
          <w:rFonts w:ascii="Arial" w:eastAsiaTheme="minorHAnsi" w:hAnsi="Arial" w:cs="Arial"/>
          <w:sz w:val="22"/>
          <w:szCs w:val="22"/>
          <w:lang w:val="en-GB"/>
        </w:rPr>
        <w:t>serve as</w:t>
      </w:r>
      <w:r w:rsidR="001A508B" w:rsidRPr="00DD7336">
        <w:rPr>
          <w:rFonts w:ascii="Arial" w:eastAsiaTheme="minorHAnsi" w:hAnsi="Arial" w:cs="Arial"/>
          <w:sz w:val="22"/>
          <w:szCs w:val="22"/>
          <w:lang w:val="en-GB"/>
        </w:rPr>
        <w:t xml:space="preserve"> background information </w:t>
      </w:r>
      <w:r w:rsidR="00D91CC1" w:rsidRPr="00DD7336">
        <w:rPr>
          <w:rFonts w:ascii="Arial" w:eastAsiaTheme="minorHAnsi" w:hAnsi="Arial" w:cs="Arial"/>
          <w:sz w:val="22"/>
          <w:szCs w:val="22"/>
          <w:lang w:val="en-GB"/>
        </w:rPr>
        <w:t>for further discussions and decisions by the Board</w:t>
      </w:r>
      <w:r w:rsidR="00F50F06" w:rsidRPr="00DD7336">
        <w:rPr>
          <w:rFonts w:ascii="Arial" w:eastAsiaTheme="minorHAnsi" w:hAnsi="Arial" w:cs="Arial"/>
          <w:sz w:val="22"/>
          <w:szCs w:val="22"/>
          <w:lang w:val="en-GB"/>
        </w:rPr>
        <w:t>.</w:t>
      </w:r>
    </w:p>
    <w:p w14:paraId="4F3EF065" w14:textId="77777777" w:rsidR="0009585A" w:rsidRPr="00F3001E" w:rsidRDefault="0009585A" w:rsidP="00F3001E">
      <w:pPr>
        <w:autoSpaceDE w:val="0"/>
        <w:autoSpaceDN w:val="0"/>
        <w:adjustRightInd w:val="0"/>
        <w:spacing w:line="276" w:lineRule="auto"/>
        <w:contextualSpacing/>
        <w:jc w:val="both"/>
        <w:rPr>
          <w:rFonts w:ascii="Arial" w:eastAsiaTheme="minorHAnsi" w:hAnsi="Arial" w:cs="Arial"/>
          <w:sz w:val="22"/>
          <w:szCs w:val="22"/>
          <w:lang w:val="en-GB"/>
        </w:rPr>
      </w:pPr>
    </w:p>
    <w:p w14:paraId="398A9A38" w14:textId="4B3666B1" w:rsidR="0037782A" w:rsidRPr="00F3001E" w:rsidRDefault="0014672B" w:rsidP="00F3001E">
      <w:pPr>
        <w:autoSpaceDE w:val="0"/>
        <w:autoSpaceDN w:val="0"/>
        <w:adjustRightInd w:val="0"/>
        <w:spacing w:line="276" w:lineRule="auto"/>
        <w:contextualSpacing/>
        <w:jc w:val="both"/>
        <w:rPr>
          <w:rFonts w:ascii="Arial" w:eastAsiaTheme="minorHAnsi" w:hAnsi="Arial" w:cs="Arial"/>
          <w:sz w:val="22"/>
          <w:szCs w:val="22"/>
        </w:rPr>
      </w:pPr>
      <w:r w:rsidRPr="00F3001E">
        <w:rPr>
          <w:rFonts w:ascii="Arial" w:eastAsiaTheme="minorHAnsi" w:hAnsi="Arial" w:cs="Arial"/>
          <w:sz w:val="22"/>
          <w:szCs w:val="22"/>
          <w:lang w:val="en-GB"/>
        </w:rPr>
        <w:t>3.</w:t>
      </w:r>
      <w:r w:rsidRPr="00F3001E">
        <w:rPr>
          <w:rFonts w:ascii="Arial" w:eastAsiaTheme="minorHAnsi" w:hAnsi="Arial" w:cs="Arial"/>
          <w:sz w:val="22"/>
          <w:szCs w:val="22"/>
          <w:lang w:val="en-GB"/>
        </w:rPr>
        <w:tab/>
      </w:r>
      <w:r w:rsidR="0037782A" w:rsidRPr="00F3001E">
        <w:rPr>
          <w:rFonts w:ascii="Arial" w:eastAsiaTheme="minorHAnsi" w:hAnsi="Arial" w:cs="Arial"/>
          <w:sz w:val="22"/>
          <w:szCs w:val="22"/>
          <w:lang w:val="en-GB"/>
        </w:rPr>
        <w:t>At its thirtieth</w:t>
      </w:r>
      <w:r w:rsidR="0037782A" w:rsidRPr="00F3001E">
        <w:rPr>
          <w:rFonts w:ascii="Arial" w:eastAsiaTheme="minorHAnsi" w:hAnsi="Arial" w:cs="Arial"/>
          <w:sz w:val="22"/>
          <w:szCs w:val="22"/>
        </w:rPr>
        <w:t xml:space="preserve"> meeting</w:t>
      </w:r>
      <w:r w:rsidR="00F35D2A" w:rsidRPr="00F3001E">
        <w:rPr>
          <w:rFonts w:ascii="Arial" w:eastAsiaTheme="minorHAnsi" w:hAnsi="Arial" w:cs="Arial"/>
          <w:sz w:val="22"/>
          <w:szCs w:val="22"/>
        </w:rPr>
        <w:t>,</w:t>
      </w:r>
      <w:r w:rsidR="0037782A" w:rsidRPr="00F3001E">
        <w:rPr>
          <w:rFonts w:ascii="Arial" w:eastAsiaTheme="minorHAnsi" w:hAnsi="Arial" w:cs="Arial"/>
          <w:sz w:val="22"/>
          <w:szCs w:val="22"/>
        </w:rPr>
        <w:t xml:space="preserve"> the </w:t>
      </w:r>
      <w:r w:rsidR="00E559D2" w:rsidRPr="00F3001E">
        <w:rPr>
          <w:rFonts w:ascii="Arial" w:eastAsiaTheme="minorHAnsi" w:hAnsi="Arial" w:cs="Arial"/>
          <w:sz w:val="22"/>
          <w:szCs w:val="22"/>
        </w:rPr>
        <w:t xml:space="preserve">Board </w:t>
      </w:r>
      <w:r w:rsidR="0037782A" w:rsidRPr="00F3001E">
        <w:rPr>
          <w:rFonts w:ascii="Arial" w:eastAsiaTheme="minorHAnsi" w:hAnsi="Arial" w:cs="Arial"/>
          <w:sz w:val="22"/>
          <w:szCs w:val="22"/>
        </w:rPr>
        <w:t xml:space="preserve">discussed </w:t>
      </w:r>
      <w:r w:rsidR="00265D24" w:rsidRPr="00F3001E">
        <w:rPr>
          <w:rFonts w:ascii="Arial" w:eastAsiaTheme="minorHAnsi" w:hAnsi="Arial" w:cs="Arial"/>
          <w:sz w:val="22"/>
          <w:szCs w:val="22"/>
        </w:rPr>
        <w:t xml:space="preserve">the issue of </w:t>
      </w:r>
      <w:r w:rsidR="00265D24" w:rsidRPr="00F3001E">
        <w:rPr>
          <w:rFonts w:ascii="Arial" w:eastAsiaTheme="minorHAnsi" w:hAnsi="Arial" w:cs="Arial"/>
          <w:i/>
          <w:sz w:val="22"/>
          <w:szCs w:val="22"/>
        </w:rPr>
        <w:t xml:space="preserve">Potential linkages between the Fund and the Green Climate Fund </w:t>
      </w:r>
      <w:r w:rsidR="00D91CC1" w:rsidRPr="00F3001E">
        <w:rPr>
          <w:rFonts w:ascii="Arial" w:eastAsiaTheme="minorHAnsi" w:hAnsi="Arial" w:cs="Arial"/>
          <w:sz w:val="22"/>
          <w:szCs w:val="22"/>
        </w:rPr>
        <w:t xml:space="preserve">based on </w:t>
      </w:r>
      <w:r w:rsidR="0037782A" w:rsidRPr="00F3001E">
        <w:rPr>
          <w:rFonts w:ascii="Arial" w:eastAsiaTheme="minorHAnsi" w:hAnsi="Arial" w:cs="Arial"/>
          <w:sz w:val="22"/>
          <w:szCs w:val="22"/>
        </w:rPr>
        <w:t xml:space="preserve">document AFB/B.30/6 </w:t>
      </w:r>
      <w:r w:rsidR="00E559D2" w:rsidRPr="00F3001E">
        <w:rPr>
          <w:rFonts w:ascii="Arial" w:eastAsiaTheme="minorHAnsi" w:hAnsi="Arial" w:cs="Arial"/>
          <w:sz w:val="22"/>
          <w:szCs w:val="22"/>
        </w:rPr>
        <w:t xml:space="preserve">which </w:t>
      </w:r>
      <w:r w:rsidR="00693996">
        <w:rPr>
          <w:rFonts w:ascii="Arial" w:eastAsiaTheme="minorHAnsi" w:hAnsi="Arial" w:cs="Arial"/>
          <w:sz w:val="22"/>
          <w:szCs w:val="22"/>
        </w:rPr>
        <w:t>includes the information on</w:t>
      </w:r>
      <w:r w:rsidR="0037782A" w:rsidRPr="00F3001E">
        <w:rPr>
          <w:rFonts w:ascii="Arial" w:eastAsiaTheme="minorHAnsi" w:hAnsi="Arial" w:cs="Arial"/>
          <w:sz w:val="22"/>
          <w:szCs w:val="22"/>
        </w:rPr>
        <w:t xml:space="preserve"> the GCF</w:t>
      </w:r>
      <w:r w:rsidR="00E559D2" w:rsidRPr="00F3001E">
        <w:rPr>
          <w:rFonts w:ascii="Arial" w:eastAsiaTheme="minorHAnsi" w:hAnsi="Arial" w:cs="Arial"/>
          <w:sz w:val="22"/>
          <w:szCs w:val="22"/>
        </w:rPr>
        <w:t>’s</w:t>
      </w:r>
      <w:r w:rsidR="0037782A" w:rsidRPr="00F3001E">
        <w:rPr>
          <w:rFonts w:ascii="Arial" w:eastAsiaTheme="minorHAnsi" w:hAnsi="Arial" w:cs="Arial"/>
          <w:sz w:val="22"/>
          <w:szCs w:val="22"/>
        </w:rPr>
        <w:t xml:space="preserve"> adoption of an operational framework on complementarity and coherence with other funds</w:t>
      </w:r>
      <w:r w:rsidR="00265D24" w:rsidRPr="00F3001E">
        <w:rPr>
          <w:rFonts w:ascii="Arial" w:eastAsiaTheme="minorHAnsi" w:hAnsi="Arial" w:cs="Arial"/>
          <w:sz w:val="22"/>
          <w:szCs w:val="22"/>
        </w:rPr>
        <w:t>.</w:t>
      </w:r>
      <w:r w:rsidR="00F40C2F" w:rsidRPr="00F3001E">
        <w:rPr>
          <w:rStyle w:val="FootnoteReference"/>
          <w:rFonts w:ascii="Arial" w:eastAsiaTheme="minorHAnsi" w:hAnsi="Arial" w:cs="Arial"/>
          <w:sz w:val="22"/>
          <w:szCs w:val="22"/>
        </w:rPr>
        <w:footnoteReference w:id="1"/>
      </w:r>
      <w:r w:rsidR="00CC2512" w:rsidRPr="00F3001E">
        <w:rPr>
          <w:rFonts w:ascii="Arial" w:eastAsiaTheme="minorHAnsi" w:hAnsi="Arial" w:cs="Arial"/>
          <w:sz w:val="22"/>
          <w:szCs w:val="22"/>
        </w:rPr>
        <w:t xml:space="preserve"> </w:t>
      </w:r>
      <w:r w:rsidR="0037782A" w:rsidRPr="00F3001E">
        <w:rPr>
          <w:rFonts w:ascii="Arial" w:eastAsiaTheme="minorHAnsi" w:hAnsi="Arial" w:cs="Arial"/>
          <w:sz w:val="22"/>
          <w:szCs w:val="22"/>
        </w:rPr>
        <w:t xml:space="preserve">The GCF framework consists of four operational pillars, one of which is board-level </w:t>
      </w:r>
      <w:r w:rsidR="0037782A" w:rsidRPr="00F3001E">
        <w:rPr>
          <w:rFonts w:ascii="Arial" w:eastAsiaTheme="minorHAnsi" w:hAnsi="Arial" w:cs="Arial"/>
          <w:sz w:val="22"/>
          <w:szCs w:val="22"/>
        </w:rPr>
        <w:lastRenderedPageBreak/>
        <w:t>discussions on fund-to-fund arrangements</w:t>
      </w:r>
      <w:r w:rsidR="00693996">
        <w:rPr>
          <w:rFonts w:ascii="Arial" w:eastAsiaTheme="minorHAnsi" w:hAnsi="Arial" w:cs="Arial"/>
          <w:sz w:val="22"/>
          <w:szCs w:val="22"/>
        </w:rPr>
        <w:t>. The</w:t>
      </w:r>
      <w:r w:rsidR="0037782A" w:rsidRPr="00F3001E">
        <w:rPr>
          <w:rFonts w:ascii="Arial" w:eastAsiaTheme="minorHAnsi" w:hAnsi="Arial" w:cs="Arial"/>
          <w:sz w:val="22"/>
          <w:szCs w:val="22"/>
        </w:rPr>
        <w:t xml:space="preserve"> </w:t>
      </w:r>
      <w:r w:rsidR="00693996">
        <w:rPr>
          <w:rFonts w:ascii="Arial" w:eastAsiaTheme="minorHAnsi" w:hAnsi="Arial" w:cs="Arial"/>
          <w:sz w:val="22"/>
          <w:szCs w:val="22"/>
        </w:rPr>
        <w:t>document AFB/B.30/6 also indicated that ways of</w:t>
      </w:r>
      <w:r w:rsidR="0037782A" w:rsidRPr="00F3001E">
        <w:rPr>
          <w:rFonts w:ascii="Arial" w:eastAsiaTheme="minorHAnsi" w:hAnsi="Arial" w:cs="Arial"/>
          <w:sz w:val="22"/>
          <w:szCs w:val="22"/>
        </w:rPr>
        <w:t xml:space="preserve"> engaging</w:t>
      </w:r>
      <w:r w:rsidR="0037782A" w:rsidRPr="00F3001E" w:rsidDel="00507369">
        <w:rPr>
          <w:rFonts w:ascii="Arial" w:eastAsiaTheme="minorHAnsi" w:hAnsi="Arial" w:cs="Arial"/>
          <w:sz w:val="22"/>
          <w:szCs w:val="22"/>
        </w:rPr>
        <w:t xml:space="preserve"> </w:t>
      </w:r>
      <w:r w:rsidR="0037782A" w:rsidRPr="00F3001E">
        <w:rPr>
          <w:rFonts w:ascii="Arial" w:eastAsiaTheme="minorHAnsi" w:hAnsi="Arial" w:cs="Arial"/>
          <w:sz w:val="22"/>
          <w:szCs w:val="22"/>
        </w:rPr>
        <w:t xml:space="preserve">with the GCF could include a memorandum of understanding (MOU), accreditation with the GCF, co-financing of projects or joint activities, such as for capacity building. </w:t>
      </w:r>
    </w:p>
    <w:p w14:paraId="3D7281D3" w14:textId="77777777" w:rsidR="00361194" w:rsidRPr="00F3001E" w:rsidRDefault="00361194" w:rsidP="00F3001E">
      <w:pPr>
        <w:autoSpaceDE w:val="0"/>
        <w:autoSpaceDN w:val="0"/>
        <w:adjustRightInd w:val="0"/>
        <w:spacing w:line="276" w:lineRule="auto"/>
        <w:contextualSpacing/>
        <w:jc w:val="both"/>
        <w:rPr>
          <w:rFonts w:ascii="Arial" w:eastAsiaTheme="minorHAnsi" w:hAnsi="Arial" w:cs="Arial"/>
          <w:sz w:val="22"/>
          <w:szCs w:val="22"/>
        </w:rPr>
      </w:pPr>
    </w:p>
    <w:p w14:paraId="0696650C" w14:textId="113E6DC2" w:rsidR="00693996" w:rsidRPr="004C4A04" w:rsidRDefault="0014672B" w:rsidP="004C4A04">
      <w:pPr>
        <w:autoSpaceDE w:val="0"/>
        <w:autoSpaceDN w:val="0"/>
        <w:adjustRightInd w:val="0"/>
        <w:spacing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4.</w:t>
      </w:r>
      <w:r w:rsidRPr="00F3001E">
        <w:rPr>
          <w:rFonts w:ascii="Arial" w:eastAsiaTheme="minorHAnsi" w:hAnsi="Arial" w:cs="Arial"/>
          <w:sz w:val="22"/>
          <w:szCs w:val="22"/>
        </w:rPr>
        <w:tab/>
      </w:r>
      <w:r w:rsidR="00693996">
        <w:rPr>
          <w:rFonts w:ascii="Arial" w:eastAsiaTheme="minorHAnsi" w:hAnsi="Arial" w:cs="Arial"/>
          <w:sz w:val="22"/>
          <w:szCs w:val="22"/>
        </w:rPr>
        <w:t>At its thirtieth meeting, t</w:t>
      </w:r>
      <w:r w:rsidR="0037782A" w:rsidRPr="00F3001E">
        <w:rPr>
          <w:rFonts w:ascii="Arial" w:eastAsiaTheme="minorHAnsi" w:hAnsi="Arial" w:cs="Arial"/>
          <w:sz w:val="22"/>
          <w:szCs w:val="22"/>
        </w:rPr>
        <w:t xml:space="preserve">he </w:t>
      </w:r>
      <w:r w:rsidR="00E559D2" w:rsidRPr="00F3001E">
        <w:rPr>
          <w:rFonts w:ascii="Arial" w:eastAsiaTheme="minorHAnsi" w:hAnsi="Arial" w:cs="Arial"/>
          <w:sz w:val="22"/>
          <w:szCs w:val="22"/>
        </w:rPr>
        <w:t xml:space="preserve">Board </w:t>
      </w:r>
      <w:r w:rsidR="0037782A" w:rsidRPr="00F3001E">
        <w:rPr>
          <w:rFonts w:ascii="Arial" w:eastAsiaTheme="minorHAnsi" w:hAnsi="Arial" w:cs="Arial"/>
          <w:sz w:val="22"/>
          <w:szCs w:val="22"/>
        </w:rPr>
        <w:t>requested its secretariat to continue to work on a “two-track” approach vis-à-vis exploring linkages with the GCF</w:t>
      </w:r>
      <w:r w:rsidR="00693996">
        <w:rPr>
          <w:rFonts w:ascii="Arial" w:eastAsiaTheme="minorHAnsi" w:hAnsi="Arial" w:cs="Arial"/>
          <w:sz w:val="22"/>
          <w:szCs w:val="22"/>
        </w:rPr>
        <w:t xml:space="preserve">. </w:t>
      </w:r>
      <w:r w:rsidR="00693996" w:rsidRPr="004C4A04">
        <w:rPr>
          <w:rFonts w:ascii="Arial" w:eastAsiaTheme="minorHAnsi" w:hAnsi="Arial" w:cs="Arial"/>
          <w:sz w:val="22"/>
          <w:szCs w:val="22"/>
        </w:rPr>
        <w:t>Having considered documents AFB/B.30/6 and AFB/B.30/6/Add.1 and the update provided by the secretariat, the Adaptation Fund Board (the Board) decided</w:t>
      </w:r>
      <w:r w:rsidR="004C4A04" w:rsidRPr="00CD3838">
        <w:rPr>
          <w:rFonts w:ascii="Arial" w:eastAsiaTheme="minorHAnsi" w:hAnsi="Arial" w:cs="Arial"/>
          <w:sz w:val="22"/>
          <w:szCs w:val="22"/>
        </w:rPr>
        <w:t xml:space="preserve"> (decision B.30/43):</w:t>
      </w:r>
    </w:p>
    <w:p w14:paraId="31FDFB82" w14:textId="77777777" w:rsidR="00CD3838" w:rsidRDefault="00CD3838" w:rsidP="00CD3838">
      <w:pPr>
        <w:autoSpaceDE w:val="0"/>
        <w:autoSpaceDN w:val="0"/>
        <w:adjustRightInd w:val="0"/>
        <w:spacing w:line="276" w:lineRule="auto"/>
        <w:ind w:firstLine="720"/>
        <w:contextualSpacing/>
        <w:jc w:val="both"/>
        <w:rPr>
          <w:rFonts w:ascii="Arial" w:eastAsiaTheme="minorHAnsi" w:hAnsi="Arial" w:cs="Arial"/>
          <w:i/>
          <w:sz w:val="22"/>
          <w:szCs w:val="22"/>
        </w:rPr>
      </w:pPr>
    </w:p>
    <w:p w14:paraId="277841C8" w14:textId="64F54FA9" w:rsidR="00693996" w:rsidRPr="00CD3838" w:rsidRDefault="004C4A04" w:rsidP="00CD3838">
      <w:pPr>
        <w:autoSpaceDE w:val="0"/>
        <w:autoSpaceDN w:val="0"/>
        <w:adjustRightInd w:val="0"/>
        <w:spacing w:line="276" w:lineRule="auto"/>
        <w:ind w:firstLine="720"/>
        <w:contextualSpacing/>
        <w:jc w:val="both"/>
        <w:rPr>
          <w:rFonts w:ascii="Arial" w:eastAsiaTheme="minorHAnsi" w:hAnsi="Arial" w:cs="Arial"/>
          <w:i/>
          <w:sz w:val="22"/>
          <w:szCs w:val="22"/>
        </w:rPr>
      </w:pPr>
      <w:r>
        <w:rPr>
          <w:rFonts w:ascii="Arial" w:eastAsiaTheme="minorHAnsi" w:hAnsi="Arial" w:cs="Arial"/>
          <w:i/>
          <w:sz w:val="22"/>
          <w:szCs w:val="22"/>
        </w:rPr>
        <w:t>(…)</w:t>
      </w:r>
    </w:p>
    <w:p w14:paraId="48C9552F" w14:textId="1973B711" w:rsidR="00693996" w:rsidRPr="00CD3838" w:rsidRDefault="00693996" w:rsidP="00CD3838">
      <w:pPr>
        <w:autoSpaceDE w:val="0"/>
        <w:autoSpaceDN w:val="0"/>
        <w:adjustRightInd w:val="0"/>
        <w:spacing w:line="276" w:lineRule="auto"/>
        <w:ind w:firstLine="720"/>
        <w:contextualSpacing/>
        <w:jc w:val="both"/>
        <w:rPr>
          <w:rFonts w:ascii="Arial" w:eastAsiaTheme="minorHAnsi" w:hAnsi="Arial" w:cs="Arial"/>
          <w:i/>
          <w:sz w:val="22"/>
          <w:szCs w:val="22"/>
        </w:rPr>
      </w:pPr>
      <w:r w:rsidRPr="00CD3838">
        <w:rPr>
          <w:rFonts w:ascii="Arial" w:eastAsiaTheme="minorHAnsi" w:hAnsi="Arial" w:cs="Arial"/>
          <w:i/>
          <w:sz w:val="22"/>
          <w:szCs w:val="22"/>
        </w:rPr>
        <w:t>(b) To request the secretariat:</w:t>
      </w:r>
    </w:p>
    <w:p w14:paraId="45729DE0" w14:textId="77777777" w:rsidR="00693996" w:rsidRPr="00CD3838" w:rsidRDefault="00693996" w:rsidP="00CD3838">
      <w:pPr>
        <w:autoSpaceDE w:val="0"/>
        <w:autoSpaceDN w:val="0"/>
        <w:adjustRightInd w:val="0"/>
        <w:spacing w:line="276" w:lineRule="auto"/>
        <w:ind w:firstLine="720"/>
        <w:contextualSpacing/>
        <w:jc w:val="both"/>
        <w:rPr>
          <w:rFonts w:ascii="Arial" w:eastAsiaTheme="minorHAnsi" w:hAnsi="Arial" w:cs="Arial"/>
          <w:i/>
          <w:sz w:val="22"/>
          <w:szCs w:val="22"/>
        </w:rPr>
      </w:pPr>
      <w:r w:rsidRPr="00CD3838">
        <w:rPr>
          <w:rFonts w:ascii="Arial" w:eastAsiaTheme="minorHAnsi" w:hAnsi="Arial" w:cs="Arial"/>
          <w:i/>
          <w:sz w:val="22"/>
          <w:szCs w:val="22"/>
        </w:rPr>
        <w:tab/>
        <w:t>(i) To initiate the process toward accreditation; and</w:t>
      </w:r>
    </w:p>
    <w:p w14:paraId="123D1E2A" w14:textId="22013254" w:rsidR="00693996" w:rsidRPr="00CD3838" w:rsidRDefault="004C4A04" w:rsidP="00CD3838">
      <w:pPr>
        <w:autoSpaceDE w:val="0"/>
        <w:autoSpaceDN w:val="0"/>
        <w:adjustRightInd w:val="0"/>
        <w:spacing w:line="276" w:lineRule="auto"/>
        <w:ind w:firstLine="720"/>
        <w:contextualSpacing/>
        <w:jc w:val="both"/>
        <w:rPr>
          <w:rFonts w:ascii="Arial" w:eastAsiaTheme="minorHAnsi" w:hAnsi="Arial" w:cs="Arial"/>
          <w:i/>
          <w:sz w:val="22"/>
          <w:szCs w:val="22"/>
        </w:rPr>
      </w:pPr>
      <w:r>
        <w:rPr>
          <w:rFonts w:ascii="Arial" w:eastAsiaTheme="minorHAnsi" w:hAnsi="Arial" w:cs="Arial"/>
          <w:i/>
          <w:sz w:val="22"/>
          <w:szCs w:val="22"/>
        </w:rPr>
        <w:t>(…)</w:t>
      </w:r>
    </w:p>
    <w:p w14:paraId="29465FF4" w14:textId="1B3F550F" w:rsidR="004C6429" w:rsidRDefault="00693996" w:rsidP="00F3001E">
      <w:pPr>
        <w:pStyle w:val="ListParagraph"/>
        <w:autoSpaceDE w:val="0"/>
        <w:autoSpaceDN w:val="0"/>
        <w:adjustRightInd w:val="0"/>
        <w:spacing w:line="276" w:lineRule="auto"/>
        <w:jc w:val="both"/>
        <w:rPr>
          <w:rFonts w:ascii="Arial" w:eastAsiaTheme="minorHAnsi" w:hAnsi="Arial" w:cs="Arial"/>
          <w:i/>
          <w:sz w:val="22"/>
          <w:szCs w:val="22"/>
        </w:rPr>
      </w:pPr>
      <w:r w:rsidRPr="00CD3838">
        <w:rPr>
          <w:rFonts w:ascii="Arial" w:eastAsiaTheme="minorHAnsi" w:hAnsi="Arial" w:cs="Arial"/>
          <w:i/>
          <w:sz w:val="22"/>
          <w:szCs w:val="22"/>
        </w:rPr>
        <w:t xml:space="preserve">(iv) To </w:t>
      </w:r>
      <w:r w:rsidR="004C4A04">
        <w:rPr>
          <w:rFonts w:ascii="Arial" w:eastAsiaTheme="minorHAnsi" w:hAnsi="Arial" w:cs="Arial"/>
          <w:i/>
          <w:sz w:val="22"/>
          <w:szCs w:val="22"/>
        </w:rPr>
        <w:t xml:space="preserve">continue </w:t>
      </w:r>
      <w:r w:rsidRPr="00CD3838">
        <w:rPr>
          <w:rFonts w:ascii="Arial" w:eastAsiaTheme="minorHAnsi" w:hAnsi="Arial" w:cs="Arial"/>
          <w:i/>
          <w:sz w:val="22"/>
          <w:szCs w:val="22"/>
        </w:rPr>
        <w:t xml:space="preserve">discussions with the GCF secretariat on the concrete activities in the area of complementarity and coherence identified by the Board in decision </w:t>
      </w:r>
    </w:p>
    <w:p w14:paraId="67AEEBC0" w14:textId="77777777" w:rsidR="00CD3838" w:rsidRPr="00F3001E" w:rsidRDefault="00CD3838" w:rsidP="00F3001E">
      <w:pPr>
        <w:pStyle w:val="ListParagraph"/>
        <w:autoSpaceDE w:val="0"/>
        <w:autoSpaceDN w:val="0"/>
        <w:adjustRightInd w:val="0"/>
        <w:spacing w:line="276" w:lineRule="auto"/>
        <w:jc w:val="both"/>
        <w:rPr>
          <w:rFonts w:ascii="Arial" w:eastAsiaTheme="minorHAnsi" w:hAnsi="Arial" w:cs="Arial"/>
          <w:sz w:val="22"/>
          <w:szCs w:val="22"/>
        </w:rPr>
      </w:pPr>
    </w:p>
    <w:p w14:paraId="2615A9A4" w14:textId="61F8D030" w:rsidR="00E2367E" w:rsidRPr="00F3001E" w:rsidRDefault="0014672B" w:rsidP="00F3001E">
      <w:pPr>
        <w:spacing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5.</w:t>
      </w:r>
      <w:r w:rsidRPr="00F3001E">
        <w:rPr>
          <w:rFonts w:ascii="Arial" w:eastAsiaTheme="minorHAnsi" w:hAnsi="Arial" w:cs="Arial"/>
          <w:sz w:val="22"/>
          <w:szCs w:val="22"/>
        </w:rPr>
        <w:tab/>
      </w:r>
      <w:r w:rsidR="00C06D71" w:rsidRPr="00F3001E">
        <w:rPr>
          <w:rFonts w:ascii="Arial" w:eastAsiaTheme="minorHAnsi" w:hAnsi="Arial" w:cs="Arial"/>
          <w:sz w:val="22"/>
          <w:szCs w:val="22"/>
        </w:rPr>
        <w:t>At its twentieth meeting the Green Climate Fund Board, in the context of the Annual update on complementarity and coherence</w:t>
      </w:r>
      <w:r w:rsidR="00D91CC1" w:rsidRPr="00F3001E">
        <w:rPr>
          <w:rFonts w:ascii="Arial" w:eastAsiaTheme="minorHAnsi" w:hAnsi="Arial" w:cs="Arial"/>
          <w:sz w:val="22"/>
          <w:szCs w:val="22"/>
        </w:rPr>
        <w:t xml:space="preserve">, </w:t>
      </w:r>
      <w:r w:rsidRPr="00F3001E">
        <w:rPr>
          <w:rFonts w:ascii="Arial" w:eastAsiaTheme="minorHAnsi" w:hAnsi="Arial" w:cs="Arial"/>
          <w:sz w:val="22"/>
          <w:szCs w:val="22"/>
        </w:rPr>
        <w:t>r</w:t>
      </w:r>
      <w:r w:rsidR="00E2367E" w:rsidRPr="00F3001E">
        <w:rPr>
          <w:rFonts w:ascii="Arial" w:eastAsiaTheme="minorHAnsi" w:hAnsi="Arial" w:cs="Arial"/>
          <w:sz w:val="22"/>
          <w:szCs w:val="22"/>
        </w:rPr>
        <w:t>equest</w:t>
      </w:r>
      <w:r w:rsidR="004457FB" w:rsidRPr="00F3001E">
        <w:rPr>
          <w:rFonts w:ascii="Arial" w:eastAsiaTheme="minorHAnsi" w:hAnsi="Arial" w:cs="Arial"/>
          <w:sz w:val="22"/>
          <w:szCs w:val="22"/>
        </w:rPr>
        <w:t>ed</w:t>
      </w:r>
      <w:r w:rsidR="00E2367E" w:rsidRPr="00F3001E">
        <w:rPr>
          <w:rFonts w:ascii="Arial" w:eastAsiaTheme="minorHAnsi" w:hAnsi="Arial" w:cs="Arial"/>
          <w:sz w:val="22"/>
          <w:szCs w:val="22"/>
        </w:rPr>
        <w:t xml:space="preserve"> the Co-Chairs, with the support of the Secretariat, to engage with the Chair and Vice-Chair of the Adaptation Fund Board to better understand options for collaboration with the Adaptation Fund, and to report back to the Board at its twenty-first meeting</w:t>
      </w:r>
      <w:r w:rsidRPr="00F3001E">
        <w:rPr>
          <w:rFonts w:ascii="Arial" w:eastAsiaTheme="minorHAnsi" w:hAnsi="Arial" w:cs="Arial"/>
          <w:sz w:val="22"/>
          <w:szCs w:val="22"/>
        </w:rPr>
        <w:t>.</w:t>
      </w:r>
      <w:r w:rsidR="004457FB" w:rsidRPr="00F3001E">
        <w:rPr>
          <w:rStyle w:val="FootnoteReference"/>
          <w:rFonts w:ascii="Arial" w:eastAsiaTheme="minorHAnsi" w:hAnsi="Arial" w:cs="Arial"/>
          <w:sz w:val="22"/>
          <w:szCs w:val="22"/>
        </w:rPr>
        <w:footnoteReference w:id="2"/>
      </w:r>
      <w:r w:rsidR="004457FB" w:rsidRPr="00F3001E">
        <w:rPr>
          <w:rFonts w:ascii="Arial" w:eastAsiaTheme="minorHAnsi" w:hAnsi="Arial" w:cs="Arial"/>
          <w:sz w:val="22"/>
          <w:szCs w:val="22"/>
        </w:rPr>
        <w:t xml:space="preserve"> </w:t>
      </w:r>
      <w:r w:rsidR="00F84322" w:rsidRPr="00F3001E">
        <w:rPr>
          <w:rFonts w:ascii="Arial" w:eastAsiaTheme="minorHAnsi" w:hAnsi="Arial" w:cs="Arial"/>
          <w:sz w:val="22"/>
          <w:szCs w:val="22"/>
        </w:rPr>
        <w:t xml:space="preserve">The </w:t>
      </w:r>
      <w:r w:rsidRPr="00F3001E">
        <w:rPr>
          <w:rFonts w:ascii="Arial" w:eastAsiaTheme="minorHAnsi" w:hAnsi="Arial" w:cs="Arial"/>
          <w:sz w:val="22"/>
          <w:szCs w:val="22"/>
        </w:rPr>
        <w:t>document GCF/B.20/05</w:t>
      </w:r>
      <w:r w:rsidR="00F84322" w:rsidRPr="00F3001E">
        <w:rPr>
          <w:rFonts w:ascii="Arial" w:eastAsiaTheme="minorHAnsi" w:hAnsi="Arial" w:cs="Arial"/>
          <w:sz w:val="22"/>
          <w:szCs w:val="22"/>
        </w:rPr>
        <w:t xml:space="preserve"> includes the following information related to the Adaptation Fund: </w:t>
      </w:r>
    </w:p>
    <w:p w14:paraId="0715CB5E" w14:textId="77777777" w:rsidR="00C06D71" w:rsidRPr="00F3001E" w:rsidRDefault="00C06D71" w:rsidP="00F3001E">
      <w:pPr>
        <w:spacing w:line="276" w:lineRule="auto"/>
        <w:contextualSpacing/>
        <w:jc w:val="both"/>
        <w:rPr>
          <w:rFonts w:ascii="Arial" w:eastAsiaTheme="minorHAnsi" w:hAnsi="Arial" w:cs="Arial"/>
          <w:sz w:val="22"/>
          <w:szCs w:val="22"/>
        </w:rPr>
      </w:pPr>
    </w:p>
    <w:p w14:paraId="3CBA2764" w14:textId="03632C1B" w:rsidR="00F40C2F" w:rsidRPr="00F3001E" w:rsidRDefault="00F40C2F" w:rsidP="00693996">
      <w:pPr>
        <w:pStyle w:val="ListParagraph"/>
        <w:numPr>
          <w:ilvl w:val="0"/>
          <w:numId w:val="36"/>
        </w:numPr>
        <w:spacing w:after="120" w:line="276" w:lineRule="auto"/>
        <w:jc w:val="both"/>
        <w:rPr>
          <w:rFonts w:ascii="Arial" w:eastAsiaTheme="minorHAnsi" w:hAnsi="Arial" w:cs="Arial"/>
          <w:i/>
          <w:sz w:val="22"/>
          <w:szCs w:val="22"/>
        </w:rPr>
      </w:pPr>
      <w:r w:rsidRPr="00F3001E">
        <w:rPr>
          <w:rFonts w:ascii="Arial" w:eastAsiaTheme="minorHAnsi" w:hAnsi="Arial" w:cs="Arial"/>
          <w:i/>
          <w:sz w:val="22"/>
          <w:szCs w:val="22"/>
        </w:rPr>
        <w:t>In the case of AF, both secretariats are actively discussing and seeking to identify ways in which direct access entities (DAEs) to both funds can be better supported. The efforts seek to further align operations and reduce duplication of work and inefficiency in the climate finance architecture. Despite this effort, AF and GCF continue to overlap in their support for adaptation funding projects (generally in the GCF micro category/risk B-C)</w:t>
      </w:r>
      <w:r w:rsidR="00F84322" w:rsidRPr="00F3001E">
        <w:rPr>
          <w:rFonts w:ascii="Arial" w:eastAsiaTheme="minorHAnsi" w:hAnsi="Arial" w:cs="Arial"/>
          <w:i/>
          <w:sz w:val="22"/>
          <w:szCs w:val="22"/>
        </w:rPr>
        <w:t xml:space="preserve"> (para 15)</w:t>
      </w:r>
      <w:r w:rsidRPr="00F3001E">
        <w:rPr>
          <w:rFonts w:ascii="Arial" w:eastAsiaTheme="minorHAnsi" w:hAnsi="Arial" w:cs="Arial"/>
          <w:i/>
          <w:sz w:val="22"/>
          <w:szCs w:val="22"/>
        </w:rPr>
        <w:t>.</w:t>
      </w:r>
    </w:p>
    <w:p w14:paraId="4C8604B0" w14:textId="06DE508B" w:rsidR="00F40C2F" w:rsidRPr="00F3001E" w:rsidRDefault="00F40C2F" w:rsidP="00693996">
      <w:pPr>
        <w:pStyle w:val="ListParagraph"/>
        <w:numPr>
          <w:ilvl w:val="0"/>
          <w:numId w:val="36"/>
        </w:numPr>
        <w:spacing w:after="120" w:line="276" w:lineRule="auto"/>
        <w:jc w:val="both"/>
        <w:rPr>
          <w:rFonts w:ascii="Arial" w:eastAsiaTheme="minorHAnsi" w:hAnsi="Arial" w:cs="Arial"/>
          <w:i/>
          <w:sz w:val="22"/>
          <w:szCs w:val="22"/>
        </w:rPr>
      </w:pPr>
      <w:r w:rsidRPr="00F3001E">
        <w:rPr>
          <w:rFonts w:ascii="Arial" w:eastAsiaTheme="minorHAnsi" w:hAnsi="Arial" w:cs="Arial"/>
          <w:i/>
          <w:sz w:val="22"/>
          <w:szCs w:val="22"/>
        </w:rPr>
        <w:t>Additionally, the AF Board at its thirtieth meeting mandated its secretariat to initiate the process for accreditation to GCF while also encouraging it to continue to advance complementarity and coherence. To this end, the Chair and Vice-chair of AF took the initiative to meet with the Co-chairs of the Board to discuss and explore options for collaboration, as disclosed in the report on the activities of the Co-chairs</w:t>
      </w:r>
      <w:r w:rsidR="00F84322" w:rsidRPr="00F3001E">
        <w:rPr>
          <w:rFonts w:ascii="Arial" w:eastAsiaTheme="minorHAnsi" w:hAnsi="Arial" w:cs="Arial"/>
          <w:i/>
          <w:sz w:val="22"/>
          <w:szCs w:val="22"/>
        </w:rPr>
        <w:t xml:space="preserve"> (para 16)</w:t>
      </w:r>
      <w:r w:rsidRPr="00F3001E">
        <w:rPr>
          <w:rFonts w:ascii="Arial" w:eastAsiaTheme="minorHAnsi" w:hAnsi="Arial" w:cs="Arial"/>
          <w:i/>
          <w:sz w:val="22"/>
          <w:szCs w:val="22"/>
        </w:rPr>
        <w:t>.</w:t>
      </w:r>
    </w:p>
    <w:p w14:paraId="4C6EBA37" w14:textId="0E9FBE36" w:rsidR="00F40C2F" w:rsidRPr="00F3001E" w:rsidRDefault="00F40C2F" w:rsidP="00693996">
      <w:pPr>
        <w:pStyle w:val="ListParagraph"/>
        <w:numPr>
          <w:ilvl w:val="0"/>
          <w:numId w:val="36"/>
        </w:numPr>
        <w:spacing w:after="120" w:line="276" w:lineRule="auto"/>
        <w:jc w:val="both"/>
        <w:rPr>
          <w:rFonts w:ascii="Arial" w:eastAsiaTheme="minorHAnsi" w:hAnsi="Arial" w:cs="Arial"/>
          <w:sz w:val="22"/>
          <w:szCs w:val="22"/>
        </w:rPr>
      </w:pPr>
      <w:r w:rsidRPr="00F3001E">
        <w:rPr>
          <w:rFonts w:ascii="Arial" w:eastAsiaTheme="minorHAnsi" w:hAnsi="Arial" w:cs="Arial"/>
          <w:i/>
          <w:sz w:val="22"/>
          <w:szCs w:val="22"/>
        </w:rPr>
        <w:t>Considering the existing duplication of work as well as the possible advantages and challenges of having such linkages with AF, GCF may wish to have a more targeted discussion with AF to explore options for cooperation in the interest of creating a more coherent climate finance landscape to serve vulnerable countries. Additional work by the Secretariat could assist the Board in understanding options for linkages with AF, including the feasibility of accreditation or other options, in a manner that increases efficiency, reduces costs, and maximizes impact, while also considering the benefits that having multiple options in the climate finance landscape may afford countries</w:t>
      </w:r>
      <w:r w:rsidR="00F84322" w:rsidRPr="00F3001E">
        <w:rPr>
          <w:rFonts w:ascii="Arial" w:eastAsiaTheme="minorHAnsi" w:hAnsi="Arial" w:cs="Arial"/>
          <w:i/>
          <w:sz w:val="22"/>
          <w:szCs w:val="22"/>
        </w:rPr>
        <w:t xml:space="preserve"> (para 17)</w:t>
      </w:r>
      <w:r w:rsidRPr="00F3001E">
        <w:rPr>
          <w:rFonts w:ascii="Arial" w:eastAsiaTheme="minorHAnsi" w:hAnsi="Arial" w:cs="Arial"/>
          <w:i/>
          <w:sz w:val="22"/>
          <w:szCs w:val="22"/>
        </w:rPr>
        <w:t>.</w:t>
      </w:r>
    </w:p>
    <w:p w14:paraId="5DAF8F99" w14:textId="7D8F3779" w:rsidR="004C6429" w:rsidRDefault="00F50F0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lastRenderedPageBreak/>
        <w:t>6.</w:t>
      </w:r>
      <w:r w:rsidRPr="00F3001E">
        <w:rPr>
          <w:rFonts w:ascii="Arial" w:eastAsiaTheme="minorHAnsi" w:hAnsi="Arial" w:cs="Arial"/>
          <w:sz w:val="22"/>
          <w:szCs w:val="22"/>
        </w:rPr>
        <w:tab/>
      </w:r>
      <w:r w:rsidR="004C6429" w:rsidRPr="00F3001E">
        <w:rPr>
          <w:rFonts w:ascii="Arial" w:eastAsiaTheme="minorHAnsi" w:hAnsi="Arial" w:cs="Arial"/>
          <w:sz w:val="22"/>
          <w:szCs w:val="22"/>
        </w:rPr>
        <w:t>On 4 May 2018,</w:t>
      </w:r>
      <w:r w:rsidR="00E559D2" w:rsidRPr="00F3001E">
        <w:rPr>
          <w:rFonts w:ascii="Arial" w:eastAsiaTheme="minorHAnsi" w:hAnsi="Arial" w:cs="Arial"/>
          <w:sz w:val="22"/>
          <w:szCs w:val="22"/>
        </w:rPr>
        <w:t xml:space="preserve"> at the margins of the forty-eighth sessions of the subsidiary bodies to the United Nations Framework Convention on Climate Change (UNFCCC) in Bonn,</w:t>
      </w:r>
      <w:r w:rsidR="004C6429" w:rsidRPr="00F3001E">
        <w:rPr>
          <w:rFonts w:ascii="Arial" w:eastAsiaTheme="minorHAnsi" w:hAnsi="Arial" w:cs="Arial"/>
          <w:sz w:val="22"/>
          <w:szCs w:val="22"/>
        </w:rPr>
        <w:t xml:space="preserve"> the Chair and Vice-Chair of the AFB, Mr. Victor Viñas and Ms. Sylviane Bilgischer, </w:t>
      </w:r>
      <w:r w:rsidR="00E559D2" w:rsidRPr="00F3001E">
        <w:rPr>
          <w:rFonts w:ascii="Arial" w:eastAsiaTheme="minorHAnsi" w:hAnsi="Arial" w:cs="Arial"/>
          <w:sz w:val="22"/>
          <w:szCs w:val="22"/>
        </w:rPr>
        <w:t>met</w:t>
      </w:r>
      <w:r w:rsidR="004C6429" w:rsidRPr="00F3001E">
        <w:rPr>
          <w:rFonts w:ascii="Arial" w:eastAsiaTheme="minorHAnsi" w:hAnsi="Arial" w:cs="Arial"/>
          <w:sz w:val="22"/>
          <w:szCs w:val="22"/>
        </w:rPr>
        <w:t xml:space="preserve"> with the Co-Chairs of the GCF, Mr. Paul Oquist and Mr. Lennart Båge. The manager of the AFB Secretariat and the executive director of the GCF were present </w:t>
      </w:r>
      <w:r w:rsidR="005B5AE3" w:rsidRPr="00F3001E">
        <w:rPr>
          <w:rFonts w:ascii="Arial" w:eastAsiaTheme="minorHAnsi" w:hAnsi="Arial" w:cs="Arial"/>
          <w:sz w:val="22"/>
          <w:szCs w:val="22"/>
        </w:rPr>
        <w:t>at</w:t>
      </w:r>
      <w:r w:rsidR="004C6429" w:rsidRPr="00F3001E">
        <w:rPr>
          <w:rFonts w:ascii="Arial" w:eastAsiaTheme="minorHAnsi" w:hAnsi="Arial" w:cs="Arial"/>
          <w:sz w:val="22"/>
          <w:szCs w:val="22"/>
        </w:rPr>
        <w:t xml:space="preserve"> the meeting, along with representatives of their staff.</w:t>
      </w:r>
    </w:p>
    <w:p w14:paraId="7A500B06" w14:textId="77777777" w:rsidR="00693996" w:rsidRPr="00F3001E" w:rsidRDefault="0069399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p>
    <w:p w14:paraId="717FE16C" w14:textId="48992C36" w:rsidR="00F3001E" w:rsidRDefault="00F50F0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7.</w:t>
      </w:r>
      <w:r w:rsidRPr="00F3001E">
        <w:rPr>
          <w:rFonts w:ascii="Arial" w:eastAsiaTheme="minorHAnsi" w:hAnsi="Arial" w:cs="Arial"/>
          <w:sz w:val="22"/>
          <w:szCs w:val="22"/>
        </w:rPr>
        <w:tab/>
      </w:r>
      <w:r w:rsidR="004C6429" w:rsidRPr="00F3001E">
        <w:rPr>
          <w:rFonts w:ascii="Arial" w:eastAsiaTheme="minorHAnsi" w:hAnsi="Arial" w:cs="Arial"/>
          <w:sz w:val="22"/>
          <w:szCs w:val="22"/>
        </w:rPr>
        <w:t xml:space="preserve">Following the respective mandates given by the Boards of both Funds, the chairpersons discussed potential avenues for enhanced complementarity and coherence. The chairpersons, supported by their advisors and secretariats, provided brief updates on the recent developments in the respective Funds. </w:t>
      </w:r>
    </w:p>
    <w:p w14:paraId="3741E00B" w14:textId="77777777" w:rsidR="00693996" w:rsidRPr="00F3001E" w:rsidRDefault="0069399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p>
    <w:p w14:paraId="532AA766" w14:textId="5FC66969" w:rsidR="004C6429" w:rsidRDefault="00F50F0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8.</w:t>
      </w:r>
      <w:r w:rsidRPr="00F3001E">
        <w:rPr>
          <w:rFonts w:ascii="Arial" w:eastAsiaTheme="minorHAnsi" w:hAnsi="Arial" w:cs="Arial"/>
          <w:sz w:val="22"/>
          <w:szCs w:val="22"/>
        </w:rPr>
        <w:tab/>
      </w:r>
      <w:r w:rsidR="001F452D" w:rsidRPr="00F3001E">
        <w:rPr>
          <w:rFonts w:ascii="Arial" w:eastAsiaTheme="minorHAnsi" w:hAnsi="Arial" w:cs="Arial"/>
          <w:sz w:val="22"/>
          <w:szCs w:val="22"/>
        </w:rPr>
        <w:t>It was noted that the two Funds had their own distinct areas of focus. There was also difference in the scale of operations, and the size of the organizations. It was noted</w:t>
      </w:r>
      <w:r w:rsidR="005B5AE3" w:rsidRPr="00F3001E">
        <w:rPr>
          <w:rFonts w:ascii="Arial" w:eastAsiaTheme="minorHAnsi" w:hAnsi="Arial" w:cs="Arial"/>
          <w:sz w:val="22"/>
          <w:szCs w:val="22"/>
        </w:rPr>
        <w:t xml:space="preserve"> </w:t>
      </w:r>
      <w:r w:rsidR="001F452D" w:rsidRPr="00F3001E">
        <w:rPr>
          <w:rFonts w:ascii="Arial" w:eastAsiaTheme="minorHAnsi" w:hAnsi="Arial" w:cs="Arial"/>
          <w:sz w:val="22"/>
          <w:szCs w:val="22"/>
        </w:rPr>
        <w:t xml:space="preserve"> that the GCF had</w:t>
      </w:r>
      <w:r w:rsidR="00E21286" w:rsidRPr="00F3001E">
        <w:rPr>
          <w:rFonts w:ascii="Arial" w:eastAsiaTheme="minorHAnsi" w:hAnsi="Arial" w:cs="Arial"/>
          <w:sz w:val="22"/>
          <w:szCs w:val="22"/>
        </w:rPr>
        <w:t xml:space="preserve"> recently</w:t>
      </w:r>
      <w:r w:rsidR="001F452D" w:rsidRPr="00F3001E">
        <w:rPr>
          <w:rFonts w:ascii="Arial" w:eastAsiaTheme="minorHAnsi" w:hAnsi="Arial" w:cs="Arial"/>
          <w:sz w:val="22"/>
          <w:szCs w:val="22"/>
        </w:rPr>
        <w:t xml:space="preserve"> launched a Simplified Approval Process (SAP) for projects at the scale of finance resembling typical A</w:t>
      </w:r>
      <w:r w:rsidR="00693996">
        <w:rPr>
          <w:rFonts w:ascii="Arial" w:eastAsiaTheme="minorHAnsi" w:hAnsi="Arial" w:cs="Arial"/>
          <w:sz w:val="22"/>
          <w:szCs w:val="22"/>
        </w:rPr>
        <w:t xml:space="preserve">daptation </w:t>
      </w:r>
      <w:r w:rsidR="001F452D" w:rsidRPr="00F3001E">
        <w:rPr>
          <w:rFonts w:ascii="Arial" w:eastAsiaTheme="minorHAnsi" w:hAnsi="Arial" w:cs="Arial"/>
          <w:sz w:val="22"/>
          <w:szCs w:val="22"/>
        </w:rPr>
        <w:t>F</w:t>
      </w:r>
      <w:r w:rsidR="00693996">
        <w:rPr>
          <w:rFonts w:ascii="Arial" w:eastAsiaTheme="minorHAnsi" w:hAnsi="Arial" w:cs="Arial"/>
          <w:sz w:val="22"/>
          <w:szCs w:val="22"/>
        </w:rPr>
        <w:t>und</w:t>
      </w:r>
      <w:r w:rsidR="001F452D" w:rsidRPr="00F3001E">
        <w:rPr>
          <w:rFonts w:ascii="Arial" w:eastAsiaTheme="minorHAnsi" w:hAnsi="Arial" w:cs="Arial"/>
          <w:sz w:val="22"/>
          <w:szCs w:val="22"/>
        </w:rPr>
        <w:t xml:space="preserve"> projects. </w:t>
      </w:r>
    </w:p>
    <w:p w14:paraId="27818794" w14:textId="77777777" w:rsidR="00693996" w:rsidRPr="00F3001E" w:rsidRDefault="0069399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p>
    <w:p w14:paraId="31D340CE" w14:textId="73C84F84" w:rsidR="001F452D" w:rsidRDefault="00F50F0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9.</w:t>
      </w:r>
      <w:r w:rsidRPr="00F3001E">
        <w:rPr>
          <w:rFonts w:ascii="Arial" w:eastAsiaTheme="minorHAnsi" w:hAnsi="Arial" w:cs="Arial"/>
          <w:sz w:val="22"/>
          <w:szCs w:val="22"/>
        </w:rPr>
        <w:tab/>
      </w:r>
      <w:r w:rsidR="001F452D" w:rsidRPr="00F3001E">
        <w:rPr>
          <w:rFonts w:ascii="Arial" w:eastAsiaTheme="minorHAnsi" w:hAnsi="Arial" w:cs="Arial"/>
          <w:sz w:val="22"/>
          <w:szCs w:val="22"/>
        </w:rPr>
        <w:t>It was also noted that there had already been fruitful cross-learning between the two Funds, with the GCF having built on some of the earlier experiences of the A</w:t>
      </w:r>
      <w:r w:rsidR="00693996">
        <w:rPr>
          <w:rFonts w:ascii="Arial" w:eastAsiaTheme="minorHAnsi" w:hAnsi="Arial" w:cs="Arial"/>
          <w:sz w:val="22"/>
          <w:szCs w:val="22"/>
        </w:rPr>
        <w:t xml:space="preserve">daptation </w:t>
      </w:r>
      <w:r w:rsidR="001F452D" w:rsidRPr="00F3001E">
        <w:rPr>
          <w:rFonts w:ascii="Arial" w:eastAsiaTheme="minorHAnsi" w:hAnsi="Arial" w:cs="Arial"/>
          <w:sz w:val="22"/>
          <w:szCs w:val="22"/>
        </w:rPr>
        <w:t>F</w:t>
      </w:r>
      <w:r w:rsidR="00693996">
        <w:rPr>
          <w:rFonts w:ascii="Arial" w:eastAsiaTheme="minorHAnsi" w:hAnsi="Arial" w:cs="Arial"/>
          <w:sz w:val="22"/>
          <w:szCs w:val="22"/>
        </w:rPr>
        <w:t>und</w:t>
      </w:r>
      <w:r w:rsidR="001F452D" w:rsidRPr="00F3001E">
        <w:rPr>
          <w:rFonts w:ascii="Arial" w:eastAsiaTheme="minorHAnsi" w:hAnsi="Arial" w:cs="Arial"/>
          <w:sz w:val="22"/>
          <w:szCs w:val="22"/>
        </w:rPr>
        <w:t>, in areas such as accreditation and direct access. Many of the GCF accredited implementing entities had been fast-tracked due to their earlier accreditation with the F</w:t>
      </w:r>
      <w:r w:rsidR="00693996">
        <w:rPr>
          <w:rFonts w:ascii="Arial" w:eastAsiaTheme="minorHAnsi" w:hAnsi="Arial" w:cs="Arial"/>
          <w:sz w:val="22"/>
          <w:szCs w:val="22"/>
        </w:rPr>
        <w:t>und</w:t>
      </w:r>
      <w:r w:rsidR="001F452D" w:rsidRPr="00F3001E">
        <w:rPr>
          <w:rFonts w:ascii="Arial" w:eastAsiaTheme="minorHAnsi" w:hAnsi="Arial" w:cs="Arial"/>
          <w:sz w:val="22"/>
          <w:szCs w:val="22"/>
        </w:rPr>
        <w:t xml:space="preserve">. There was a general sense that such mutual learning from one another could and should continue. </w:t>
      </w:r>
    </w:p>
    <w:p w14:paraId="2BE05705" w14:textId="77777777" w:rsidR="00693996" w:rsidRPr="00F3001E" w:rsidRDefault="0069399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p>
    <w:p w14:paraId="1069FBC0" w14:textId="19D1C543" w:rsidR="001F452D" w:rsidRDefault="00F84322"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10.</w:t>
      </w:r>
      <w:r w:rsidR="00F50F06" w:rsidRPr="00F3001E">
        <w:rPr>
          <w:rFonts w:ascii="Arial" w:eastAsiaTheme="minorHAnsi" w:hAnsi="Arial" w:cs="Arial"/>
          <w:sz w:val="22"/>
          <w:szCs w:val="22"/>
        </w:rPr>
        <w:tab/>
      </w:r>
      <w:r w:rsidR="001F452D" w:rsidRPr="00F3001E">
        <w:rPr>
          <w:rFonts w:ascii="Arial" w:eastAsiaTheme="minorHAnsi" w:hAnsi="Arial" w:cs="Arial"/>
          <w:sz w:val="22"/>
          <w:szCs w:val="22"/>
        </w:rPr>
        <w:t xml:space="preserve">It was suggested that continuing collaboration might be easiest at the level of country programming. Options for jointly supporting countries in accessing the Funds resources were discussed, including readiness activities, joint programming and technical support in reviewing proposals, bearing in mind country needs and without imposing additional burden on countries. Enhanced direct access was mentioned as a possible area of collaboration. As a practical step, harmonizing project-related procedures of the Funds could help make the access easier. </w:t>
      </w:r>
    </w:p>
    <w:p w14:paraId="1F894D52" w14:textId="77777777" w:rsidR="00693996" w:rsidRPr="00F3001E" w:rsidRDefault="0069399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p>
    <w:p w14:paraId="4CEBB137" w14:textId="2608401F" w:rsidR="001F452D" w:rsidRPr="00F3001E" w:rsidRDefault="00F50F06" w:rsidP="00693996">
      <w:pPr>
        <w:pBdr>
          <w:top w:val="nil"/>
          <w:left w:val="nil"/>
          <w:bottom w:val="nil"/>
          <w:right w:val="nil"/>
          <w:between w:val="nil"/>
          <w:bar w:val="nil"/>
        </w:pBd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11.</w:t>
      </w:r>
      <w:r w:rsidRPr="00F3001E">
        <w:rPr>
          <w:rFonts w:ascii="Arial" w:eastAsiaTheme="minorHAnsi" w:hAnsi="Arial" w:cs="Arial"/>
          <w:sz w:val="22"/>
          <w:szCs w:val="22"/>
        </w:rPr>
        <w:tab/>
      </w:r>
      <w:r w:rsidR="001F452D" w:rsidRPr="00F3001E">
        <w:rPr>
          <w:rFonts w:ascii="Arial" w:eastAsiaTheme="minorHAnsi" w:hAnsi="Arial" w:cs="Arial"/>
          <w:sz w:val="22"/>
          <w:szCs w:val="22"/>
        </w:rPr>
        <w:t>The AFB Chair and Vice-Chair referred to the discussion within the AFB on coherence and complementarity, the existence of the ongoing cooperation between the two Secretariats for developing countries, and the topic of possible accreditation of the A</w:t>
      </w:r>
      <w:r w:rsidR="00693996">
        <w:rPr>
          <w:rFonts w:ascii="Arial" w:eastAsiaTheme="minorHAnsi" w:hAnsi="Arial" w:cs="Arial"/>
          <w:sz w:val="22"/>
          <w:szCs w:val="22"/>
        </w:rPr>
        <w:t xml:space="preserve">daptation </w:t>
      </w:r>
      <w:r w:rsidR="001F452D" w:rsidRPr="00F3001E">
        <w:rPr>
          <w:rFonts w:ascii="Arial" w:eastAsiaTheme="minorHAnsi" w:hAnsi="Arial" w:cs="Arial"/>
          <w:sz w:val="22"/>
          <w:szCs w:val="22"/>
        </w:rPr>
        <w:t>F</w:t>
      </w:r>
      <w:r w:rsidR="00693996">
        <w:rPr>
          <w:rFonts w:ascii="Arial" w:eastAsiaTheme="minorHAnsi" w:hAnsi="Arial" w:cs="Arial"/>
          <w:sz w:val="22"/>
          <w:szCs w:val="22"/>
        </w:rPr>
        <w:t>und</w:t>
      </w:r>
      <w:r w:rsidR="001F452D" w:rsidRPr="00F3001E">
        <w:rPr>
          <w:rFonts w:ascii="Arial" w:eastAsiaTheme="minorHAnsi" w:hAnsi="Arial" w:cs="Arial"/>
          <w:sz w:val="22"/>
          <w:szCs w:val="22"/>
        </w:rPr>
        <w:t xml:space="preserve"> with the GCF. The GCF Co-Chairs indicated that the topic had not been discussed in detail at the GCF Board. </w:t>
      </w:r>
    </w:p>
    <w:p w14:paraId="409B4534" w14:textId="0BFA4540" w:rsidR="00CC2512" w:rsidRDefault="00F84322" w:rsidP="00F3001E">
      <w:pPr>
        <w:pStyle w:val="RegPara"/>
        <w:numPr>
          <w:ilvl w:val="0"/>
          <w:numId w:val="0"/>
        </w:numPr>
        <w:autoSpaceDE w:val="0"/>
        <w:autoSpaceDN w:val="0"/>
        <w:adjustRightInd w:val="0"/>
        <w:spacing w:line="276" w:lineRule="auto"/>
        <w:contextualSpacing/>
        <w:jc w:val="both"/>
        <w:rPr>
          <w:rFonts w:ascii="Arial" w:hAnsi="Arial" w:cs="Arial"/>
          <w:szCs w:val="22"/>
        </w:rPr>
      </w:pPr>
      <w:r w:rsidRPr="00F3001E">
        <w:rPr>
          <w:rFonts w:ascii="Arial" w:hAnsi="Arial" w:cs="Arial"/>
          <w:szCs w:val="22"/>
        </w:rPr>
        <w:t>12.</w:t>
      </w:r>
      <w:r w:rsidR="00F50F06" w:rsidRPr="00F3001E">
        <w:rPr>
          <w:rFonts w:ascii="Arial" w:hAnsi="Arial" w:cs="Arial"/>
          <w:szCs w:val="22"/>
        </w:rPr>
        <w:tab/>
      </w:r>
      <w:r w:rsidR="00CC2512" w:rsidRPr="00F3001E">
        <w:rPr>
          <w:rFonts w:ascii="Arial" w:hAnsi="Arial" w:cs="Arial"/>
          <w:szCs w:val="22"/>
        </w:rPr>
        <w:t>Based on the discussions, the Secretariats were tasked to work together to do an initial scoping of possible options for arrangements and collaboration be</w:t>
      </w:r>
      <w:r w:rsidR="00CF1D9C" w:rsidRPr="00F3001E">
        <w:rPr>
          <w:rFonts w:ascii="Arial" w:hAnsi="Arial" w:cs="Arial"/>
          <w:szCs w:val="22"/>
        </w:rPr>
        <w:t xml:space="preserve">tween GCF and </w:t>
      </w:r>
      <w:r w:rsidR="00693996">
        <w:rPr>
          <w:rFonts w:ascii="Arial" w:hAnsi="Arial" w:cs="Arial"/>
          <w:szCs w:val="22"/>
        </w:rPr>
        <w:t xml:space="preserve">the </w:t>
      </w:r>
      <w:r w:rsidR="00693996" w:rsidRPr="00F3001E">
        <w:rPr>
          <w:rFonts w:ascii="Arial" w:hAnsi="Arial" w:cs="Arial"/>
          <w:szCs w:val="22"/>
        </w:rPr>
        <w:t>F</w:t>
      </w:r>
      <w:r w:rsidR="00693996">
        <w:rPr>
          <w:rFonts w:ascii="Arial" w:hAnsi="Arial" w:cs="Arial"/>
          <w:szCs w:val="22"/>
        </w:rPr>
        <w:t>und</w:t>
      </w:r>
      <w:r w:rsidR="00CF1D9C" w:rsidRPr="00F3001E">
        <w:rPr>
          <w:rFonts w:ascii="Arial" w:hAnsi="Arial" w:cs="Arial"/>
          <w:szCs w:val="22"/>
        </w:rPr>
        <w:t xml:space="preserve">. </w:t>
      </w:r>
      <w:r w:rsidR="00CC2512" w:rsidRPr="00F3001E">
        <w:rPr>
          <w:rFonts w:ascii="Arial" w:hAnsi="Arial" w:cs="Arial"/>
          <w:szCs w:val="22"/>
        </w:rPr>
        <w:t>The document was document prepared by the F</w:t>
      </w:r>
      <w:r w:rsidR="00693996">
        <w:rPr>
          <w:rFonts w:ascii="Arial" w:hAnsi="Arial" w:cs="Arial"/>
          <w:szCs w:val="22"/>
        </w:rPr>
        <w:t>und</w:t>
      </w:r>
      <w:r w:rsidR="00CC2512" w:rsidRPr="00F3001E">
        <w:rPr>
          <w:rFonts w:ascii="Arial" w:hAnsi="Arial" w:cs="Arial"/>
          <w:szCs w:val="22"/>
        </w:rPr>
        <w:t xml:space="preserve"> and GCF Secretariat as informal input to GCF Co</w:t>
      </w:r>
      <w:r w:rsidR="00CF1D9C" w:rsidRPr="00F3001E">
        <w:rPr>
          <w:rFonts w:ascii="Arial" w:hAnsi="Arial" w:cs="Arial"/>
          <w:szCs w:val="22"/>
        </w:rPr>
        <w:t>-</w:t>
      </w:r>
      <w:r w:rsidR="00CC2512" w:rsidRPr="00F3001E">
        <w:rPr>
          <w:rFonts w:ascii="Arial" w:hAnsi="Arial" w:cs="Arial"/>
          <w:szCs w:val="22"/>
        </w:rPr>
        <w:t xml:space="preserve">chairs and </w:t>
      </w:r>
      <w:r w:rsidR="00693996" w:rsidRPr="00F3001E">
        <w:rPr>
          <w:rFonts w:ascii="Arial" w:hAnsi="Arial" w:cs="Arial"/>
          <w:szCs w:val="22"/>
        </w:rPr>
        <w:t>A</w:t>
      </w:r>
      <w:r w:rsidR="00693996">
        <w:rPr>
          <w:rFonts w:ascii="Arial" w:hAnsi="Arial" w:cs="Arial"/>
          <w:szCs w:val="22"/>
        </w:rPr>
        <w:t>daptation Fund Board</w:t>
      </w:r>
      <w:r w:rsidR="00693996" w:rsidRPr="00F3001E">
        <w:rPr>
          <w:rFonts w:ascii="Arial" w:hAnsi="Arial" w:cs="Arial"/>
          <w:szCs w:val="22"/>
        </w:rPr>
        <w:t xml:space="preserve"> </w:t>
      </w:r>
      <w:r w:rsidR="00CC2512" w:rsidRPr="00F3001E">
        <w:rPr>
          <w:rFonts w:ascii="Arial" w:hAnsi="Arial" w:cs="Arial"/>
          <w:szCs w:val="22"/>
        </w:rPr>
        <w:t xml:space="preserve">Chair and Vice-Chair discussion. </w:t>
      </w:r>
    </w:p>
    <w:p w14:paraId="2A5F3EA0" w14:textId="77777777" w:rsidR="00693996" w:rsidRPr="00F3001E" w:rsidRDefault="00693996"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lang w:val="en-US" w:eastAsia="en-US"/>
        </w:rPr>
      </w:pPr>
    </w:p>
    <w:p w14:paraId="142DBE80" w14:textId="39406B7A" w:rsidR="00F3001E" w:rsidRDefault="00F50F06"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lang w:val="en-US" w:eastAsia="en-US"/>
        </w:rPr>
      </w:pPr>
      <w:r w:rsidRPr="00F3001E">
        <w:rPr>
          <w:rFonts w:ascii="Arial" w:eastAsiaTheme="minorHAnsi" w:hAnsi="Arial" w:cs="Arial"/>
          <w:szCs w:val="22"/>
          <w:lang w:val="en-US" w:eastAsia="en-US"/>
        </w:rPr>
        <w:t>13.</w:t>
      </w:r>
      <w:r w:rsidRPr="00F3001E">
        <w:rPr>
          <w:rFonts w:ascii="Arial" w:eastAsiaTheme="minorHAnsi" w:hAnsi="Arial" w:cs="Arial"/>
          <w:szCs w:val="22"/>
          <w:lang w:val="en-US" w:eastAsia="en-US"/>
        </w:rPr>
        <w:tab/>
      </w:r>
      <w:r w:rsidR="00030E72" w:rsidRPr="00F3001E">
        <w:rPr>
          <w:rFonts w:ascii="Arial" w:eastAsiaTheme="minorHAnsi" w:hAnsi="Arial" w:cs="Arial"/>
          <w:szCs w:val="22"/>
          <w:lang w:val="en-US" w:eastAsia="en-US"/>
        </w:rPr>
        <w:t xml:space="preserve">Further, as part of its engagement with the GCF, the secretariat participated in a number of events organized by the GCF: (i) a Technical Expert Workshop on Climate Adaptation Finance held on 5–6 March 2018 in Songdo, Republic of Korea, to collect expert views on climate adaptation practices and approaches to adaptation finance, with the relevant implications and </w:t>
      </w:r>
      <w:r w:rsidR="00030E72" w:rsidRPr="00F3001E">
        <w:rPr>
          <w:rFonts w:ascii="Arial" w:eastAsiaTheme="minorHAnsi" w:hAnsi="Arial" w:cs="Arial"/>
          <w:szCs w:val="22"/>
          <w:lang w:val="en-US" w:eastAsia="en-US"/>
        </w:rPr>
        <w:lastRenderedPageBreak/>
        <w:t>recommendations from the workshop to be used as inputs for the GCF Secretariat’s proposal for guidance on the approach and scope for providing support to adaptation activities; (ii) the First GCF Structured Dialogue with Latin America from 5 to 7 March in Bogota, Colombia, the objective of which was to develop a roadmap for articulating regional priorities and opportunities in the engagement with the GCF; (iii) the GCF Empowering Dir</w:t>
      </w:r>
      <w:r w:rsidR="00F3001E" w:rsidRPr="00F3001E">
        <w:rPr>
          <w:rFonts w:ascii="Arial" w:eastAsiaTheme="minorHAnsi" w:hAnsi="Arial" w:cs="Arial"/>
          <w:szCs w:val="22"/>
          <w:lang w:val="en-US" w:eastAsia="en-US"/>
        </w:rPr>
        <w:t>ect Access Workshop from 29 May–</w:t>
      </w:r>
      <w:r w:rsidR="00030E72" w:rsidRPr="00F3001E">
        <w:rPr>
          <w:rFonts w:ascii="Arial" w:eastAsiaTheme="minorHAnsi" w:hAnsi="Arial" w:cs="Arial"/>
          <w:szCs w:val="22"/>
          <w:lang w:val="en-US" w:eastAsia="en-US"/>
        </w:rPr>
        <w:t>1 June 2018 in Songdo, Republic of Korea, aimed at addressing the capacity needs/challenges of all direct access entities and to help them facilitate in developing their pipeline projects.</w:t>
      </w:r>
    </w:p>
    <w:p w14:paraId="4D49DBBA" w14:textId="77777777" w:rsidR="00693996" w:rsidRPr="00F3001E" w:rsidRDefault="00693996"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lang w:val="en-US" w:eastAsia="en-US"/>
        </w:rPr>
      </w:pPr>
    </w:p>
    <w:p w14:paraId="23170AD3" w14:textId="77777777" w:rsidR="00EC3562" w:rsidRDefault="00F50F06"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rPr>
      </w:pPr>
      <w:r w:rsidRPr="00F3001E">
        <w:rPr>
          <w:rFonts w:ascii="Arial" w:eastAsiaTheme="minorHAnsi" w:hAnsi="Arial" w:cs="Arial"/>
          <w:szCs w:val="22"/>
        </w:rPr>
        <w:t>14.</w:t>
      </w:r>
      <w:r w:rsidRPr="00F3001E">
        <w:rPr>
          <w:rFonts w:ascii="Arial" w:eastAsiaTheme="minorHAnsi" w:hAnsi="Arial" w:cs="Arial"/>
          <w:szCs w:val="22"/>
        </w:rPr>
        <w:tab/>
      </w:r>
      <w:r w:rsidR="0037782A" w:rsidRPr="00F3001E">
        <w:rPr>
          <w:rFonts w:ascii="Arial" w:eastAsiaTheme="minorHAnsi" w:hAnsi="Arial" w:cs="Arial"/>
          <w:szCs w:val="22"/>
        </w:rPr>
        <w:t xml:space="preserve">As a follow-up to the meeting held in Bonn and in accordance with the mandate given by the GCF Board to its co-chairs at its twentieth meeting (decision B.20/05), a meeting was organized on 5 September 2018 during the </w:t>
      </w:r>
      <w:r w:rsidR="005B5AE3" w:rsidRPr="00F3001E">
        <w:rPr>
          <w:rFonts w:ascii="Arial" w:eastAsiaTheme="minorHAnsi" w:hAnsi="Arial" w:cs="Arial"/>
          <w:szCs w:val="22"/>
        </w:rPr>
        <w:t>Bangkok</w:t>
      </w:r>
      <w:r w:rsidR="00F84322" w:rsidRPr="00F3001E">
        <w:rPr>
          <w:rFonts w:ascii="Arial" w:eastAsiaTheme="minorHAnsi" w:hAnsi="Arial" w:cs="Arial"/>
          <w:szCs w:val="22"/>
        </w:rPr>
        <w:t xml:space="preserve"> Climate Change Conference</w:t>
      </w:r>
      <w:r w:rsidR="0037782A" w:rsidRPr="00F3001E">
        <w:rPr>
          <w:rFonts w:ascii="Arial" w:eastAsiaTheme="minorHAnsi" w:hAnsi="Arial" w:cs="Arial"/>
          <w:szCs w:val="22"/>
        </w:rPr>
        <w:t>. Present at the meeting physically or remotely were the Chair and Vice-Chair of the AFB, Mr. Victor Viñas and Ms. Sylviane Bilgischer respectively, one of the Co-Chairs of the GCF, Mr. Lennart Båge along with his advisers and, in the absence of the other Co-Chair, Mr. Paul Oquist, as his representative, his adviser Ms. Dianne Black-Lane. The meeting was arranged and facilitated by the AFB and GCF Secretariats. The manager of the AFB Secretariat</w:t>
      </w:r>
      <w:r w:rsidR="00903543" w:rsidRPr="00F3001E">
        <w:rPr>
          <w:rFonts w:ascii="Arial" w:eastAsiaTheme="minorHAnsi" w:hAnsi="Arial" w:cs="Arial"/>
          <w:szCs w:val="22"/>
        </w:rPr>
        <w:t>,</w:t>
      </w:r>
      <w:r w:rsidR="0037782A" w:rsidRPr="00F3001E">
        <w:rPr>
          <w:rFonts w:ascii="Arial" w:eastAsiaTheme="minorHAnsi" w:hAnsi="Arial" w:cs="Arial"/>
          <w:szCs w:val="22"/>
        </w:rPr>
        <w:t xml:space="preserve"> and the </w:t>
      </w:r>
      <w:r w:rsidR="00CC2512" w:rsidRPr="00F3001E">
        <w:rPr>
          <w:rFonts w:ascii="Arial" w:eastAsiaTheme="minorHAnsi" w:hAnsi="Arial" w:cs="Arial"/>
          <w:szCs w:val="22"/>
        </w:rPr>
        <w:t>D</w:t>
      </w:r>
      <w:r w:rsidR="0037782A" w:rsidRPr="00F3001E">
        <w:rPr>
          <w:rFonts w:ascii="Arial" w:eastAsiaTheme="minorHAnsi" w:hAnsi="Arial" w:cs="Arial"/>
          <w:szCs w:val="22"/>
        </w:rPr>
        <w:t xml:space="preserve">eputy </w:t>
      </w:r>
      <w:r w:rsidR="00CC2512" w:rsidRPr="00F3001E">
        <w:rPr>
          <w:rFonts w:ascii="Arial" w:eastAsiaTheme="minorHAnsi" w:hAnsi="Arial" w:cs="Arial"/>
          <w:szCs w:val="22"/>
        </w:rPr>
        <w:t>Executive D</w:t>
      </w:r>
      <w:r w:rsidR="0037782A" w:rsidRPr="00F3001E">
        <w:rPr>
          <w:rFonts w:ascii="Arial" w:eastAsiaTheme="minorHAnsi" w:hAnsi="Arial" w:cs="Arial"/>
          <w:szCs w:val="22"/>
        </w:rPr>
        <w:t xml:space="preserve">irector of the GCF </w:t>
      </w:r>
      <w:r w:rsidR="00F3001E" w:rsidRPr="00F3001E">
        <w:rPr>
          <w:rFonts w:ascii="Arial" w:eastAsiaTheme="minorHAnsi" w:hAnsi="Arial" w:cs="Arial"/>
          <w:szCs w:val="22"/>
        </w:rPr>
        <w:t>who joined</w:t>
      </w:r>
      <w:r w:rsidR="0037782A" w:rsidRPr="00F3001E">
        <w:rPr>
          <w:rFonts w:ascii="Arial" w:eastAsiaTheme="minorHAnsi" w:hAnsi="Arial" w:cs="Arial"/>
          <w:szCs w:val="22"/>
        </w:rPr>
        <w:t xml:space="preserve"> remotely</w:t>
      </w:r>
      <w:r w:rsidR="00903543" w:rsidRPr="00F3001E">
        <w:rPr>
          <w:rFonts w:ascii="Arial" w:eastAsiaTheme="minorHAnsi" w:hAnsi="Arial" w:cs="Arial"/>
          <w:szCs w:val="22"/>
        </w:rPr>
        <w:t>,</w:t>
      </w:r>
      <w:r w:rsidR="0037782A" w:rsidRPr="00F3001E">
        <w:rPr>
          <w:rFonts w:ascii="Arial" w:eastAsiaTheme="minorHAnsi" w:hAnsi="Arial" w:cs="Arial"/>
          <w:szCs w:val="22"/>
        </w:rPr>
        <w:t xml:space="preserve"> participated in in the meeting, along </w:t>
      </w:r>
      <w:r w:rsidR="00F3001E" w:rsidRPr="00F3001E">
        <w:rPr>
          <w:rFonts w:ascii="Arial" w:eastAsiaTheme="minorHAnsi" w:hAnsi="Arial" w:cs="Arial"/>
          <w:szCs w:val="22"/>
        </w:rPr>
        <w:t>with members of their staff.</w:t>
      </w:r>
    </w:p>
    <w:p w14:paraId="7ED05CD1" w14:textId="2C17AB65" w:rsidR="00F3001E" w:rsidRPr="00F3001E" w:rsidRDefault="00F3001E"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rPr>
      </w:pPr>
      <w:r w:rsidRPr="00F3001E">
        <w:rPr>
          <w:rFonts w:ascii="Arial" w:eastAsiaTheme="minorHAnsi" w:hAnsi="Arial" w:cs="Arial"/>
          <w:szCs w:val="22"/>
        </w:rPr>
        <w:t xml:space="preserve"> </w:t>
      </w:r>
    </w:p>
    <w:p w14:paraId="6FE9FC3D" w14:textId="1A85C387" w:rsidR="00CF1D9C" w:rsidRPr="00F3001E" w:rsidRDefault="00F50F06"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rPr>
      </w:pPr>
      <w:r w:rsidRPr="00F3001E">
        <w:rPr>
          <w:rFonts w:ascii="Arial" w:eastAsiaTheme="minorHAnsi" w:hAnsi="Arial" w:cs="Arial"/>
          <w:szCs w:val="22"/>
        </w:rPr>
        <w:t>15.</w:t>
      </w:r>
      <w:r w:rsidRPr="00F3001E">
        <w:rPr>
          <w:rFonts w:ascii="Arial" w:eastAsiaTheme="minorHAnsi" w:hAnsi="Arial" w:cs="Arial"/>
          <w:szCs w:val="22"/>
        </w:rPr>
        <w:tab/>
      </w:r>
      <w:r w:rsidR="00CF1D9C" w:rsidRPr="00F3001E">
        <w:rPr>
          <w:rFonts w:ascii="Arial" w:eastAsiaTheme="minorHAnsi" w:hAnsi="Arial" w:cs="Arial"/>
          <w:szCs w:val="22"/>
        </w:rPr>
        <w:t xml:space="preserve">Specific options </w:t>
      </w:r>
      <w:r w:rsidR="007540BF" w:rsidRPr="00F3001E">
        <w:rPr>
          <w:rFonts w:ascii="Arial" w:eastAsiaTheme="minorHAnsi" w:hAnsi="Arial" w:cs="Arial"/>
          <w:szCs w:val="22"/>
        </w:rPr>
        <w:t xml:space="preserve">for arrangements and collaboration between the two Funds </w:t>
      </w:r>
      <w:r w:rsidR="00CF1D9C" w:rsidRPr="00F3001E">
        <w:rPr>
          <w:rFonts w:ascii="Arial" w:eastAsiaTheme="minorHAnsi" w:hAnsi="Arial" w:cs="Arial"/>
          <w:szCs w:val="22"/>
        </w:rPr>
        <w:t xml:space="preserve">were </w:t>
      </w:r>
      <w:r w:rsidR="007540BF" w:rsidRPr="00F3001E">
        <w:rPr>
          <w:rFonts w:ascii="Arial" w:eastAsiaTheme="minorHAnsi" w:hAnsi="Arial" w:cs="Arial"/>
          <w:szCs w:val="22"/>
        </w:rPr>
        <w:t>analyzed</w:t>
      </w:r>
      <w:r w:rsidR="00D77971" w:rsidRPr="00F3001E">
        <w:rPr>
          <w:rFonts w:ascii="Arial" w:eastAsiaTheme="minorHAnsi" w:hAnsi="Arial" w:cs="Arial"/>
          <w:szCs w:val="22"/>
        </w:rPr>
        <w:t>,</w:t>
      </w:r>
      <w:r w:rsidR="007540BF" w:rsidRPr="00F3001E">
        <w:rPr>
          <w:rFonts w:ascii="Arial" w:eastAsiaTheme="minorHAnsi" w:hAnsi="Arial" w:cs="Arial"/>
          <w:szCs w:val="22"/>
        </w:rPr>
        <w:t xml:space="preserve"> </w:t>
      </w:r>
      <w:r w:rsidR="00CF1D9C" w:rsidRPr="00F3001E">
        <w:rPr>
          <w:rFonts w:ascii="Arial" w:eastAsiaTheme="minorHAnsi" w:hAnsi="Arial" w:cs="Arial"/>
          <w:szCs w:val="22"/>
        </w:rPr>
        <w:t>and it was decided to prioritize further development and assessment of the following options, while keeping in mind that the other options are still considered:</w:t>
      </w:r>
    </w:p>
    <w:p w14:paraId="18AAC06D" w14:textId="77777777" w:rsidR="00F3001E" w:rsidRPr="00F3001E" w:rsidRDefault="00F3001E" w:rsidP="00F3001E">
      <w:pPr>
        <w:pStyle w:val="RegPara"/>
        <w:numPr>
          <w:ilvl w:val="0"/>
          <w:numId w:val="0"/>
        </w:numPr>
        <w:autoSpaceDE w:val="0"/>
        <w:autoSpaceDN w:val="0"/>
        <w:adjustRightInd w:val="0"/>
        <w:spacing w:line="276" w:lineRule="auto"/>
        <w:contextualSpacing/>
        <w:jc w:val="both"/>
        <w:rPr>
          <w:rFonts w:ascii="Arial" w:eastAsiaTheme="minorHAnsi" w:hAnsi="Arial" w:cs="Arial"/>
          <w:szCs w:val="22"/>
        </w:rPr>
      </w:pPr>
    </w:p>
    <w:p w14:paraId="0F781332" w14:textId="77777777" w:rsidR="00CF1D9C" w:rsidRPr="00F3001E" w:rsidRDefault="00CF1D9C" w:rsidP="00F3001E">
      <w:pPr>
        <w:pStyle w:val="ListParagraph"/>
        <w:numPr>
          <w:ilvl w:val="0"/>
          <w:numId w:val="31"/>
        </w:numPr>
        <w:pBdr>
          <w:top w:val="nil"/>
          <w:left w:val="nil"/>
          <w:bottom w:val="nil"/>
          <w:right w:val="nil"/>
          <w:between w:val="nil"/>
          <w:bar w:val="nil"/>
        </w:pBdr>
        <w:spacing w:after="200" w:line="276" w:lineRule="auto"/>
        <w:jc w:val="both"/>
        <w:rPr>
          <w:rFonts w:ascii="Arial" w:eastAsiaTheme="minorHAnsi" w:hAnsi="Arial" w:cs="Arial"/>
          <w:sz w:val="22"/>
          <w:szCs w:val="22"/>
        </w:rPr>
      </w:pPr>
      <w:r w:rsidRPr="00F3001E">
        <w:rPr>
          <w:rFonts w:ascii="Arial" w:eastAsiaTheme="minorHAnsi" w:hAnsi="Arial" w:cs="Arial"/>
          <w:sz w:val="22"/>
          <w:szCs w:val="22"/>
        </w:rPr>
        <w:t>Provision of technical assistance, readiness type assistance;</w:t>
      </w:r>
    </w:p>
    <w:p w14:paraId="0C85162C" w14:textId="77777777" w:rsidR="00CF1D9C" w:rsidRPr="00F3001E" w:rsidRDefault="00CF1D9C" w:rsidP="00F3001E">
      <w:pPr>
        <w:pStyle w:val="ListParagraph"/>
        <w:numPr>
          <w:ilvl w:val="0"/>
          <w:numId w:val="31"/>
        </w:numPr>
        <w:pBdr>
          <w:top w:val="nil"/>
          <w:left w:val="nil"/>
          <w:bottom w:val="nil"/>
          <w:right w:val="nil"/>
          <w:between w:val="nil"/>
          <w:bar w:val="nil"/>
        </w:pBdr>
        <w:spacing w:after="200" w:line="276" w:lineRule="auto"/>
        <w:jc w:val="both"/>
        <w:rPr>
          <w:rFonts w:ascii="Arial" w:eastAsiaTheme="minorHAnsi" w:hAnsi="Arial" w:cs="Arial"/>
          <w:sz w:val="22"/>
          <w:szCs w:val="22"/>
        </w:rPr>
      </w:pPr>
      <w:r w:rsidRPr="00F3001E">
        <w:rPr>
          <w:rFonts w:ascii="Arial" w:eastAsiaTheme="minorHAnsi" w:hAnsi="Arial" w:cs="Arial"/>
          <w:sz w:val="22"/>
          <w:szCs w:val="22"/>
        </w:rPr>
        <w:t>Management of a funding envelope; and</w:t>
      </w:r>
    </w:p>
    <w:p w14:paraId="68B05885" w14:textId="77777777" w:rsidR="00CF1D9C" w:rsidRPr="00F3001E" w:rsidRDefault="00CF1D9C" w:rsidP="00F3001E">
      <w:pPr>
        <w:pStyle w:val="ListParagraph"/>
        <w:numPr>
          <w:ilvl w:val="0"/>
          <w:numId w:val="31"/>
        </w:numPr>
        <w:pBdr>
          <w:top w:val="nil"/>
          <w:left w:val="nil"/>
          <w:bottom w:val="nil"/>
          <w:right w:val="nil"/>
          <w:between w:val="nil"/>
          <w:bar w:val="nil"/>
        </w:pBdr>
        <w:spacing w:after="200" w:line="276" w:lineRule="auto"/>
        <w:jc w:val="both"/>
        <w:rPr>
          <w:rFonts w:ascii="Arial" w:eastAsiaTheme="minorHAnsi" w:hAnsi="Arial" w:cs="Arial"/>
          <w:sz w:val="22"/>
          <w:szCs w:val="22"/>
        </w:rPr>
      </w:pPr>
      <w:r w:rsidRPr="00F3001E">
        <w:rPr>
          <w:rFonts w:ascii="Arial" w:eastAsiaTheme="minorHAnsi" w:hAnsi="Arial" w:cs="Arial"/>
          <w:sz w:val="22"/>
          <w:szCs w:val="22"/>
        </w:rPr>
        <w:t>Cooperation between Secretariats.</w:t>
      </w:r>
    </w:p>
    <w:p w14:paraId="7F796877" w14:textId="77777777" w:rsidR="007540BF" w:rsidRPr="00F3001E" w:rsidRDefault="007540BF" w:rsidP="00F3001E">
      <w:pPr>
        <w:pStyle w:val="ListParagraph"/>
        <w:spacing w:after="200" w:line="276" w:lineRule="auto"/>
        <w:jc w:val="both"/>
        <w:rPr>
          <w:rFonts w:ascii="Arial" w:eastAsiaTheme="minorHAnsi" w:hAnsi="Arial" w:cs="Arial"/>
          <w:sz w:val="22"/>
          <w:szCs w:val="22"/>
        </w:rPr>
      </w:pPr>
    </w:p>
    <w:p w14:paraId="20251468" w14:textId="204019E7" w:rsidR="00CF1D9C" w:rsidRPr="00F3001E" w:rsidRDefault="00D77971" w:rsidP="00F3001E">
      <w:pPr>
        <w:spacing w:after="200"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16.</w:t>
      </w:r>
      <w:r w:rsidRPr="00F3001E">
        <w:rPr>
          <w:rFonts w:ascii="Arial" w:eastAsiaTheme="minorHAnsi" w:hAnsi="Arial" w:cs="Arial"/>
          <w:sz w:val="22"/>
          <w:szCs w:val="22"/>
        </w:rPr>
        <w:tab/>
      </w:r>
      <w:r w:rsidR="00DC2C34" w:rsidRPr="00F3001E">
        <w:rPr>
          <w:rFonts w:ascii="Arial" w:eastAsiaTheme="minorHAnsi" w:hAnsi="Arial" w:cs="Arial"/>
          <w:sz w:val="22"/>
          <w:szCs w:val="22"/>
        </w:rPr>
        <w:t>The two sides agreed on indicative</w:t>
      </w:r>
      <w:r w:rsidR="00CF1D9C" w:rsidRPr="00F3001E">
        <w:rPr>
          <w:rFonts w:ascii="Arial" w:eastAsiaTheme="minorHAnsi" w:hAnsi="Arial" w:cs="Arial"/>
          <w:sz w:val="22"/>
          <w:szCs w:val="22"/>
        </w:rPr>
        <w:t xml:space="preserve"> next steps to be taken and their timeline.</w:t>
      </w:r>
    </w:p>
    <w:p w14:paraId="2455BDEB" w14:textId="530000AC" w:rsidR="000F3A9A" w:rsidRDefault="000F3A9A" w:rsidP="00F3001E">
      <w:pPr>
        <w:spacing w:line="276" w:lineRule="auto"/>
        <w:contextualSpacing/>
        <w:rPr>
          <w:rFonts w:ascii="Arial" w:hAnsi="Arial" w:cs="Arial"/>
          <w:b/>
          <w:sz w:val="22"/>
          <w:szCs w:val="22"/>
        </w:rPr>
      </w:pPr>
      <w:bookmarkStart w:id="0" w:name="_GoBack"/>
      <w:bookmarkEnd w:id="0"/>
    </w:p>
    <w:p w14:paraId="540A43EC" w14:textId="06632381" w:rsidR="0004031F" w:rsidRPr="00F3001E" w:rsidRDefault="0004031F" w:rsidP="00F3001E">
      <w:pPr>
        <w:spacing w:line="276" w:lineRule="auto"/>
        <w:contextualSpacing/>
        <w:rPr>
          <w:rFonts w:ascii="Arial" w:hAnsi="Arial" w:cs="Arial"/>
          <w:b/>
          <w:sz w:val="22"/>
          <w:szCs w:val="22"/>
        </w:rPr>
      </w:pPr>
      <w:r w:rsidRPr="00F3001E">
        <w:rPr>
          <w:rFonts w:ascii="Arial" w:hAnsi="Arial" w:cs="Arial"/>
          <w:b/>
          <w:sz w:val="22"/>
          <w:szCs w:val="22"/>
        </w:rPr>
        <w:t>Recommendation</w:t>
      </w:r>
    </w:p>
    <w:p w14:paraId="28DC850F" w14:textId="77777777" w:rsidR="0004031F" w:rsidRPr="00F3001E" w:rsidRDefault="0004031F" w:rsidP="00F3001E">
      <w:pPr>
        <w:spacing w:line="276" w:lineRule="auto"/>
        <w:contextualSpacing/>
        <w:rPr>
          <w:rFonts w:ascii="Arial" w:hAnsi="Arial" w:cs="Arial"/>
          <w:b/>
          <w:sz w:val="22"/>
          <w:szCs w:val="22"/>
        </w:rPr>
      </w:pPr>
    </w:p>
    <w:p w14:paraId="5BC07361" w14:textId="3D87FEFE" w:rsidR="0004031F" w:rsidRPr="00F3001E" w:rsidRDefault="00D77971" w:rsidP="00F3001E">
      <w:pPr>
        <w:pStyle w:val="Body"/>
        <w:spacing w:line="276" w:lineRule="auto"/>
        <w:contextualSpacing/>
        <w:jc w:val="both"/>
        <w:rPr>
          <w:rFonts w:ascii="Arial" w:eastAsiaTheme="minorHAnsi" w:hAnsi="Arial" w:cs="Arial"/>
          <w:color w:val="auto"/>
          <w:sz w:val="22"/>
          <w:szCs w:val="22"/>
          <w:bdr w:val="none" w:sz="0" w:space="0" w:color="auto"/>
          <w:lang w:eastAsia="en-US"/>
        </w:rPr>
      </w:pPr>
      <w:r w:rsidRPr="00F3001E">
        <w:rPr>
          <w:rFonts w:ascii="Arial" w:eastAsiaTheme="minorHAnsi" w:hAnsi="Arial" w:cs="Arial"/>
          <w:color w:val="auto"/>
          <w:sz w:val="22"/>
          <w:szCs w:val="22"/>
          <w:bdr w:val="none" w:sz="0" w:space="0" w:color="auto"/>
          <w:lang w:eastAsia="en-US"/>
        </w:rPr>
        <w:t>17.</w:t>
      </w:r>
      <w:r w:rsidRPr="00F3001E">
        <w:rPr>
          <w:rFonts w:ascii="Arial" w:eastAsiaTheme="minorHAnsi" w:hAnsi="Arial" w:cs="Arial"/>
          <w:color w:val="auto"/>
          <w:sz w:val="22"/>
          <w:szCs w:val="22"/>
          <w:bdr w:val="none" w:sz="0" w:space="0" w:color="auto"/>
          <w:lang w:eastAsia="en-US"/>
        </w:rPr>
        <w:tab/>
      </w:r>
      <w:r w:rsidR="0004031F" w:rsidRPr="00F3001E">
        <w:rPr>
          <w:rFonts w:ascii="Arial" w:eastAsiaTheme="minorHAnsi" w:hAnsi="Arial" w:cs="Arial"/>
          <w:color w:val="auto"/>
          <w:sz w:val="22"/>
          <w:szCs w:val="22"/>
          <w:bdr w:val="none" w:sz="0" w:space="0" w:color="auto"/>
          <w:lang w:eastAsia="en-US"/>
        </w:rPr>
        <w:t>The</w:t>
      </w:r>
      <w:r w:rsidR="008A2B89" w:rsidRPr="00F3001E">
        <w:rPr>
          <w:rFonts w:ascii="Arial" w:eastAsiaTheme="minorHAnsi" w:hAnsi="Arial" w:cs="Arial"/>
          <w:color w:val="auto"/>
          <w:sz w:val="22"/>
          <w:szCs w:val="22"/>
          <w:bdr w:val="none" w:sz="0" w:space="0" w:color="auto"/>
          <w:lang w:eastAsia="en-US"/>
        </w:rPr>
        <w:t xml:space="preserve"> Board </w:t>
      </w:r>
      <w:r w:rsidRPr="00F3001E">
        <w:rPr>
          <w:rFonts w:ascii="Arial" w:eastAsiaTheme="minorHAnsi" w:hAnsi="Arial" w:cs="Arial"/>
          <w:color w:val="auto"/>
          <w:sz w:val="22"/>
          <w:szCs w:val="22"/>
          <w:bdr w:val="none" w:sz="0" w:space="0" w:color="auto"/>
          <w:lang w:eastAsia="en-US"/>
        </w:rPr>
        <w:t xml:space="preserve">may </w:t>
      </w:r>
      <w:r w:rsidR="00903543" w:rsidRPr="00F3001E">
        <w:rPr>
          <w:rFonts w:ascii="Arial" w:eastAsiaTheme="minorHAnsi" w:hAnsi="Arial" w:cs="Arial"/>
          <w:color w:val="auto"/>
          <w:sz w:val="22"/>
          <w:szCs w:val="22"/>
          <w:bdr w:val="none" w:sz="0" w:space="0" w:color="auto"/>
          <w:lang w:eastAsia="en-US"/>
        </w:rPr>
        <w:t xml:space="preserve">want to </w:t>
      </w:r>
      <w:r w:rsidRPr="00F3001E">
        <w:rPr>
          <w:rFonts w:ascii="Arial" w:eastAsiaTheme="minorHAnsi" w:hAnsi="Arial" w:cs="Arial"/>
          <w:color w:val="auto"/>
          <w:sz w:val="22"/>
          <w:szCs w:val="22"/>
          <w:bdr w:val="none" w:sz="0" w:space="0" w:color="auto"/>
          <w:lang w:eastAsia="en-US"/>
        </w:rPr>
        <w:t xml:space="preserve">consider </w:t>
      </w:r>
      <w:r w:rsidR="00FC2EC1" w:rsidRPr="00F3001E">
        <w:rPr>
          <w:rFonts w:ascii="Arial" w:eastAsiaTheme="minorHAnsi" w:hAnsi="Arial" w:cs="Arial"/>
          <w:color w:val="auto"/>
          <w:sz w:val="22"/>
          <w:szCs w:val="22"/>
          <w:bdr w:val="none" w:sz="0" w:space="0" w:color="auto"/>
          <w:lang w:eastAsia="en-US"/>
        </w:rPr>
        <w:t>tak</w:t>
      </w:r>
      <w:r w:rsidRPr="00F3001E">
        <w:rPr>
          <w:rFonts w:ascii="Arial" w:eastAsiaTheme="minorHAnsi" w:hAnsi="Arial" w:cs="Arial"/>
          <w:color w:val="auto"/>
          <w:sz w:val="22"/>
          <w:szCs w:val="22"/>
          <w:bdr w:val="none" w:sz="0" w:space="0" w:color="auto"/>
          <w:lang w:eastAsia="en-US"/>
        </w:rPr>
        <w:t>ing</w:t>
      </w:r>
      <w:r w:rsidR="00FC2EC1" w:rsidRPr="00F3001E">
        <w:rPr>
          <w:rFonts w:ascii="Arial" w:eastAsiaTheme="minorHAnsi" w:hAnsi="Arial" w:cs="Arial"/>
          <w:color w:val="auto"/>
          <w:sz w:val="22"/>
          <w:szCs w:val="22"/>
          <w:bdr w:val="none" w:sz="0" w:space="0" w:color="auto"/>
          <w:lang w:eastAsia="en-US"/>
        </w:rPr>
        <w:t xml:space="preserve"> note of the ongoing efforts of enhancing complementarity between the Green Climate Fund and the Adaptation Fund and </w:t>
      </w:r>
      <w:r w:rsidRPr="00F3001E">
        <w:rPr>
          <w:rFonts w:ascii="Arial" w:eastAsiaTheme="minorHAnsi" w:hAnsi="Arial" w:cs="Arial"/>
          <w:color w:val="auto"/>
          <w:sz w:val="22"/>
          <w:szCs w:val="22"/>
          <w:bdr w:val="none" w:sz="0" w:space="0" w:color="auto"/>
          <w:lang w:eastAsia="en-US"/>
        </w:rPr>
        <w:t>decid</w:t>
      </w:r>
      <w:r w:rsidR="00903543" w:rsidRPr="00F3001E">
        <w:rPr>
          <w:rFonts w:ascii="Arial" w:eastAsiaTheme="minorHAnsi" w:hAnsi="Arial" w:cs="Arial"/>
          <w:color w:val="auto"/>
          <w:sz w:val="22"/>
          <w:szCs w:val="22"/>
          <w:bdr w:val="none" w:sz="0" w:space="0" w:color="auto"/>
          <w:lang w:eastAsia="en-US"/>
        </w:rPr>
        <w:t>e</w:t>
      </w:r>
      <w:r w:rsidR="00FC2EC1" w:rsidRPr="00F3001E">
        <w:rPr>
          <w:rFonts w:ascii="Arial" w:eastAsiaTheme="minorHAnsi" w:hAnsi="Arial" w:cs="Arial"/>
          <w:color w:val="auto"/>
          <w:sz w:val="22"/>
          <w:szCs w:val="22"/>
          <w:bdr w:val="none" w:sz="0" w:space="0" w:color="auto"/>
          <w:lang w:eastAsia="en-US"/>
        </w:rPr>
        <w:t xml:space="preserve">: </w:t>
      </w:r>
    </w:p>
    <w:p w14:paraId="20C2ECB6" w14:textId="26CE7160" w:rsidR="008A2B89" w:rsidRPr="00F3001E" w:rsidRDefault="008A2B89" w:rsidP="00F3001E">
      <w:pPr>
        <w:pStyle w:val="Body"/>
        <w:spacing w:line="276" w:lineRule="auto"/>
        <w:contextualSpacing/>
        <w:jc w:val="both"/>
        <w:rPr>
          <w:rFonts w:ascii="Arial" w:eastAsiaTheme="minorHAnsi" w:hAnsi="Arial" w:cs="Arial"/>
          <w:color w:val="auto"/>
          <w:sz w:val="22"/>
          <w:szCs w:val="22"/>
          <w:bdr w:val="none" w:sz="0" w:space="0" w:color="auto"/>
          <w:lang w:eastAsia="en-US"/>
        </w:rPr>
      </w:pPr>
    </w:p>
    <w:p w14:paraId="3EEC7D14" w14:textId="1E41197F" w:rsidR="00FC2EC1" w:rsidRPr="00F3001E" w:rsidRDefault="00E2367E" w:rsidP="00F3001E">
      <w:pPr>
        <w:pStyle w:val="Sub-Para2underX"/>
        <w:numPr>
          <w:ilvl w:val="3"/>
          <w:numId w:val="35"/>
        </w:numPr>
        <w:spacing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T</w:t>
      </w:r>
      <w:r w:rsidR="00F3001E" w:rsidRPr="00F3001E">
        <w:rPr>
          <w:rFonts w:ascii="Arial" w:eastAsiaTheme="minorHAnsi" w:hAnsi="Arial" w:cs="Arial"/>
          <w:sz w:val="22"/>
          <w:szCs w:val="22"/>
        </w:rPr>
        <w:t xml:space="preserve">o </w:t>
      </w:r>
      <w:r w:rsidR="00FC2EC1" w:rsidRPr="00F3001E">
        <w:rPr>
          <w:rFonts w:ascii="Arial" w:eastAsiaTheme="minorHAnsi" w:hAnsi="Arial" w:cs="Arial"/>
          <w:sz w:val="22"/>
          <w:szCs w:val="22"/>
        </w:rPr>
        <w:t>continue discussions with the GCF secretariat to advance the collaborative activities identified at the Annual Dialogue in November 2017, the Technical Workshop in February 2018 and the informal meetings between the Chair and Vice-Chair of the AFB and the Co-Chairs of the GCF in May and September 2018; and</w:t>
      </w:r>
    </w:p>
    <w:p w14:paraId="1F2DDFA4" w14:textId="5518D29D" w:rsidR="008A2B89" w:rsidRPr="00F3001E" w:rsidRDefault="00FC2EC1" w:rsidP="00F3001E">
      <w:pPr>
        <w:pStyle w:val="Sub-Para2underX"/>
        <w:numPr>
          <w:ilvl w:val="3"/>
          <w:numId w:val="35"/>
        </w:numPr>
        <w:spacing w:line="276" w:lineRule="auto"/>
        <w:contextualSpacing/>
        <w:jc w:val="both"/>
        <w:rPr>
          <w:rFonts w:ascii="Arial" w:eastAsiaTheme="minorHAnsi" w:hAnsi="Arial" w:cs="Arial"/>
          <w:sz w:val="22"/>
          <w:szCs w:val="22"/>
        </w:rPr>
      </w:pPr>
      <w:r w:rsidRPr="00F3001E">
        <w:rPr>
          <w:rFonts w:ascii="Arial" w:eastAsiaTheme="minorHAnsi" w:hAnsi="Arial" w:cs="Arial"/>
          <w:sz w:val="22"/>
          <w:szCs w:val="22"/>
        </w:rPr>
        <w:t xml:space="preserve">To continue </w:t>
      </w:r>
      <w:r w:rsidR="00CF655D" w:rsidRPr="00F3001E">
        <w:rPr>
          <w:rFonts w:ascii="Arial" w:eastAsiaTheme="minorHAnsi" w:hAnsi="Arial" w:cs="Arial"/>
          <w:sz w:val="22"/>
          <w:szCs w:val="22"/>
        </w:rPr>
        <w:t xml:space="preserve">to explore the options for fund-to-fund arrangements, including </w:t>
      </w:r>
      <w:r w:rsidRPr="00F3001E">
        <w:rPr>
          <w:rFonts w:ascii="Arial" w:eastAsiaTheme="minorHAnsi" w:hAnsi="Arial" w:cs="Arial"/>
          <w:sz w:val="22"/>
          <w:szCs w:val="22"/>
        </w:rPr>
        <w:t>the process toward accreditation with the GCF, as described in pillar 1 in the GCF operational framework for complementarity and coherence, as contained in document GCF/B.17/08</w:t>
      </w:r>
      <w:r w:rsidR="00CF655D" w:rsidRPr="00F3001E">
        <w:rPr>
          <w:rFonts w:ascii="Arial" w:eastAsiaTheme="minorHAnsi" w:hAnsi="Arial" w:cs="Arial"/>
          <w:sz w:val="22"/>
          <w:szCs w:val="22"/>
        </w:rPr>
        <w:t>.</w:t>
      </w:r>
    </w:p>
    <w:p w14:paraId="6DD809AC" w14:textId="77777777" w:rsidR="006753AA" w:rsidRPr="00DD7336" w:rsidRDefault="006753AA" w:rsidP="00F3001E">
      <w:pPr>
        <w:pStyle w:val="ColorfulList-Accent11"/>
        <w:ind w:left="0"/>
        <w:jc w:val="both"/>
        <w:rPr>
          <w:rFonts w:ascii="Arial" w:eastAsiaTheme="minorHAnsi" w:hAnsi="Arial" w:cs="Arial"/>
        </w:rPr>
      </w:pPr>
    </w:p>
    <w:sectPr w:rsidR="006753AA" w:rsidRPr="00DD7336" w:rsidSect="002E539C">
      <w:headerReference w:type="default" r:id="rId11"/>
      <w:footerReference w:type="default" r:id="rId12"/>
      <w:headerReference w:type="first" r:id="rId13"/>
      <w:footerReference w:type="first" r:id="rId14"/>
      <w:pgSz w:w="12240" w:h="15840"/>
      <w:pgMar w:top="1440" w:right="1440" w:bottom="1440" w:left="1440" w:header="54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F8C57" w14:textId="77777777" w:rsidR="00FC211C" w:rsidRDefault="00FC211C">
      <w:r>
        <w:separator/>
      </w:r>
    </w:p>
  </w:endnote>
  <w:endnote w:type="continuationSeparator" w:id="0">
    <w:p w14:paraId="6BB61C81" w14:textId="77777777" w:rsidR="00FC211C" w:rsidRDefault="00FC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A394" w14:textId="77777777" w:rsidR="002357A2" w:rsidRDefault="002357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33234"/>
      <w:docPartObj>
        <w:docPartGallery w:val="Page Numbers (Bottom of Page)"/>
        <w:docPartUnique/>
      </w:docPartObj>
    </w:sdtPr>
    <w:sdtEndPr>
      <w:rPr>
        <w:noProof/>
      </w:rPr>
    </w:sdtEndPr>
    <w:sdtContent>
      <w:p w14:paraId="1C2976AC" w14:textId="21D98A36" w:rsidR="002357A2" w:rsidRDefault="002357A2">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7DBA61FF" w14:textId="77777777" w:rsidR="002357A2" w:rsidRDefault="002357A2" w:rsidP="00F2410A">
    <w:pPr>
      <w:pStyle w:val="Footer"/>
      <w:tabs>
        <w:tab w:val="left" w:pos="33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B3DA" w14:textId="77777777" w:rsidR="002357A2" w:rsidRPr="003B511F" w:rsidRDefault="002357A2">
    <w:pPr>
      <w:pStyle w:val="Footer"/>
      <w:jc w:val="center"/>
      <w:rPr>
        <w:rFonts w:ascii="Arial" w:hAnsi="Arial" w:cs="Arial"/>
      </w:rPr>
    </w:pPr>
    <w:r w:rsidRPr="003B511F">
      <w:rPr>
        <w:rFonts w:ascii="Arial" w:hAnsi="Arial" w:cs="Arial"/>
      </w:rPr>
      <w:fldChar w:fldCharType="begin"/>
    </w:r>
    <w:r w:rsidRPr="003B511F">
      <w:rPr>
        <w:rFonts w:ascii="Arial" w:hAnsi="Arial" w:cs="Arial"/>
      </w:rPr>
      <w:instrText xml:space="preserve"> PAGE   \* MERGEFORMAT </w:instrText>
    </w:r>
    <w:r w:rsidRPr="003B511F">
      <w:rPr>
        <w:rFonts w:ascii="Arial" w:hAnsi="Arial" w:cs="Arial"/>
      </w:rPr>
      <w:fldChar w:fldCharType="separate"/>
    </w:r>
    <w:r>
      <w:rPr>
        <w:rFonts w:ascii="Arial" w:hAnsi="Arial" w:cs="Arial"/>
        <w:noProof/>
      </w:rPr>
      <w:t>1</w:t>
    </w:r>
    <w:r w:rsidRPr="003B511F">
      <w:rPr>
        <w:rFonts w:ascii="Arial" w:hAnsi="Arial" w:cs="Arial"/>
        <w:noProof/>
      </w:rPr>
      <w:fldChar w:fldCharType="end"/>
    </w:r>
  </w:p>
  <w:p w14:paraId="2E797B1A" w14:textId="77777777" w:rsidR="002357A2" w:rsidRDefault="0023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AF82" w14:textId="77777777" w:rsidR="00FC211C" w:rsidRDefault="00FC211C">
      <w:r>
        <w:separator/>
      </w:r>
    </w:p>
  </w:footnote>
  <w:footnote w:type="continuationSeparator" w:id="0">
    <w:p w14:paraId="5A561F54" w14:textId="77777777" w:rsidR="00FC211C" w:rsidRDefault="00FC211C">
      <w:r>
        <w:continuationSeparator/>
      </w:r>
    </w:p>
  </w:footnote>
  <w:footnote w:id="1">
    <w:p w14:paraId="0EA89FB5" w14:textId="77777777" w:rsidR="00F40C2F" w:rsidRPr="00693996" w:rsidRDefault="00F40C2F" w:rsidP="00F40C2F">
      <w:pPr>
        <w:pStyle w:val="FootnoteText"/>
        <w:rPr>
          <w:rFonts w:ascii="Arial" w:hAnsi="Arial" w:cs="Arial"/>
          <w:sz w:val="18"/>
          <w:szCs w:val="18"/>
        </w:rPr>
      </w:pPr>
      <w:r w:rsidRPr="00693996">
        <w:rPr>
          <w:rStyle w:val="FootnoteReference"/>
          <w:rFonts w:ascii="Arial" w:hAnsi="Arial" w:cs="Arial"/>
          <w:sz w:val="18"/>
          <w:szCs w:val="18"/>
        </w:rPr>
        <w:footnoteRef/>
      </w:r>
      <w:r w:rsidRPr="00693996">
        <w:rPr>
          <w:rFonts w:ascii="Arial" w:hAnsi="Arial" w:cs="Arial"/>
          <w:sz w:val="18"/>
          <w:szCs w:val="18"/>
        </w:rPr>
        <w:t xml:space="preserve"> </w:t>
      </w:r>
      <w:hyperlink r:id="rId1" w:history="1">
        <w:r w:rsidRPr="00693996">
          <w:rPr>
            <w:rStyle w:val="Hyperlink"/>
            <w:rFonts w:ascii="Arial" w:hAnsi="Arial" w:cs="Arial"/>
            <w:sz w:val="18"/>
            <w:szCs w:val="18"/>
          </w:rPr>
          <w:t>https://www.greenclimate.fund/documents/20182/751020/GCF_B.17_08_-_Operational_Framework_on_complementarity_and_coherence.pdf/55b8605f-518a-4b91-8362-02eaee5a566a</w:t>
        </w:r>
      </w:hyperlink>
      <w:r w:rsidRPr="00693996">
        <w:rPr>
          <w:rFonts w:ascii="Arial" w:hAnsi="Arial" w:cs="Arial"/>
          <w:sz w:val="18"/>
          <w:szCs w:val="18"/>
        </w:rPr>
        <w:t xml:space="preserve"> </w:t>
      </w:r>
    </w:p>
    <w:p w14:paraId="04A3D2BD" w14:textId="51D25F8E" w:rsidR="00F40C2F" w:rsidRPr="00693996" w:rsidRDefault="00F40C2F">
      <w:pPr>
        <w:pStyle w:val="FootnoteText"/>
        <w:rPr>
          <w:rFonts w:ascii="Arial" w:hAnsi="Arial" w:cs="Arial"/>
          <w:sz w:val="18"/>
          <w:szCs w:val="18"/>
        </w:rPr>
      </w:pPr>
    </w:p>
  </w:footnote>
  <w:footnote w:id="2">
    <w:p w14:paraId="21579DD4" w14:textId="39C2DB48" w:rsidR="004457FB" w:rsidRPr="00693996" w:rsidRDefault="004457FB">
      <w:pPr>
        <w:pStyle w:val="FootnoteText"/>
        <w:rPr>
          <w:rFonts w:ascii="Arial" w:hAnsi="Arial" w:cs="Arial"/>
          <w:sz w:val="18"/>
          <w:szCs w:val="18"/>
        </w:rPr>
      </w:pPr>
      <w:r w:rsidRPr="00693996">
        <w:rPr>
          <w:rStyle w:val="FootnoteReference"/>
          <w:rFonts w:ascii="Arial" w:hAnsi="Arial" w:cs="Arial"/>
          <w:sz w:val="18"/>
          <w:szCs w:val="18"/>
        </w:rPr>
        <w:footnoteRef/>
      </w:r>
      <w:r w:rsidRPr="00693996">
        <w:rPr>
          <w:rFonts w:ascii="Arial" w:hAnsi="Arial" w:cs="Arial"/>
          <w:sz w:val="18"/>
          <w:szCs w:val="18"/>
        </w:rPr>
        <w:t xml:space="preserve">  GCF Board decision GCF/B.20/05.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576E" w14:textId="7717C539" w:rsidR="002357A2" w:rsidRPr="005D4223" w:rsidRDefault="002357A2" w:rsidP="00F2410A">
    <w:pPr>
      <w:pStyle w:val="Header"/>
      <w:tabs>
        <w:tab w:val="clear" w:pos="4320"/>
        <w:tab w:val="clear" w:pos="8640"/>
        <w:tab w:val="right" w:pos="9360"/>
      </w:tabs>
      <w:jc w:val="right"/>
      <w:rPr>
        <w:rFonts w:ascii="Arial" w:hAnsi="Arial" w:cs="Arial"/>
        <w:sz w:val="22"/>
        <w:szCs w:val="22"/>
      </w:rPr>
    </w:pPr>
    <w:r>
      <w:rPr>
        <w:rFonts w:ascii="Arial" w:hAnsi="Arial" w:cs="Arial"/>
        <w:sz w:val="22"/>
        <w:szCs w:val="22"/>
      </w:rPr>
      <w:tab/>
    </w:r>
    <w:r w:rsidRPr="005D4223">
      <w:rPr>
        <w:rFonts w:ascii="Arial" w:hAnsi="Arial" w:cs="Arial"/>
        <w:sz w:val="22"/>
        <w:szCs w:val="22"/>
      </w:rPr>
      <w:t>AFB</w:t>
    </w:r>
    <w:r w:rsidR="009153EC">
      <w:rPr>
        <w:rFonts w:ascii="Arial" w:hAnsi="Arial" w:cs="Arial"/>
        <w:sz w:val="22"/>
        <w:szCs w:val="22"/>
      </w:rPr>
      <w:t>/B.32.</w:t>
    </w:r>
    <w:r w:rsidR="00DD7336">
      <w:rPr>
        <w:rFonts w:ascii="Arial" w:hAnsi="Arial" w:cs="Arial"/>
        <w:sz w:val="22"/>
        <w:szCs w:val="22"/>
      </w:rPr>
      <w:t>6</w:t>
    </w:r>
    <w:r w:rsidRPr="005D4223">
      <w:rPr>
        <w:rFonts w:ascii="Arial" w:hAnsi="Arial" w:cs="Arial"/>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A85F" w14:textId="77777777" w:rsidR="002357A2" w:rsidRPr="003B511F" w:rsidRDefault="002357A2" w:rsidP="00F2410A">
    <w:pPr>
      <w:pStyle w:val="Header"/>
      <w:jc w:val="right"/>
      <w:rPr>
        <w:rFonts w:ascii="Arial" w:hAnsi="Arial" w:cs="Arial"/>
        <w:sz w:val="22"/>
        <w:szCs w:val="22"/>
      </w:rPr>
    </w:pPr>
    <w:r w:rsidRPr="003B511F">
      <w:rPr>
        <w:rFonts w:ascii="Arial" w:hAnsi="Arial" w:cs="Arial"/>
        <w:sz w:val="22"/>
        <w:szCs w:val="22"/>
      </w:rPr>
      <w:t>AFB/EFC.9/7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68E"/>
    <w:multiLevelType w:val="hybridMultilevel"/>
    <w:tmpl w:val="1EE0D4FA"/>
    <w:lvl w:ilvl="0" w:tplc="A650F5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E61D8"/>
    <w:multiLevelType w:val="multilevel"/>
    <w:tmpl w:val="5426A026"/>
    <w:lvl w:ilvl="0">
      <w:start w:val="1"/>
      <w:numFmt w:val="none"/>
      <w:suff w:val="nothing"/>
      <w:lvlText w:val="%1"/>
      <w:lvlJc w:val="left"/>
      <w:pPr>
        <w:ind w:left="360" w:firstLine="0"/>
      </w:pPr>
      <w:rPr>
        <w:rFonts w:hint="default"/>
      </w:rPr>
    </w:lvl>
    <w:lvl w:ilvl="1">
      <w:start w:val="1"/>
      <w:numFmt w:val="decimal"/>
      <w:lvlText w:val="%2."/>
      <w:lvlJc w:val="left"/>
      <w:pPr>
        <w:tabs>
          <w:tab w:val="num" w:pos="2782"/>
        </w:tabs>
        <w:ind w:left="2782" w:hanging="720"/>
      </w:pPr>
      <w:rPr>
        <w:rFonts w:ascii="Arial" w:hAnsi="Arial" w:cs="Arial" w:hint="default"/>
        <w:b w:val="0"/>
        <w:i w:val="0"/>
        <w:color w:val="auto"/>
        <w:sz w:val="22"/>
        <w:szCs w:val="22"/>
      </w:rPr>
    </w:lvl>
    <w:lvl w:ilvl="2">
      <w:start w:val="1"/>
      <w:numFmt w:val="lowerLetter"/>
      <w:lvlText w:val="%3)"/>
      <w:lvlJc w:val="left"/>
      <w:pPr>
        <w:tabs>
          <w:tab w:val="num" w:pos="2250"/>
        </w:tabs>
        <w:ind w:left="1890" w:hanging="360"/>
      </w:pPr>
      <w:rPr>
        <w:rFonts w:ascii="Arial" w:eastAsia="Times New Roman" w:hAnsi="Arial" w:cs="Arial" w:hint="default"/>
        <w:b w:val="0"/>
        <w:color w:val="auto"/>
        <w:sz w:val="22"/>
        <w:szCs w:val="22"/>
      </w:rPr>
    </w:lvl>
    <w:lvl w:ilvl="3">
      <w:start w:val="1"/>
      <w:numFmt w:val="lowerRoman"/>
      <w:lvlText w:val="(%4)"/>
      <w:lvlJc w:val="left"/>
      <w:pPr>
        <w:tabs>
          <w:tab w:val="num" w:pos="2160"/>
        </w:tabs>
        <w:ind w:left="1440" w:hanging="360"/>
      </w:pPr>
      <w:rPr>
        <w:rFonts w:ascii="Arial" w:hAnsi="Arial" w:cs="Arial" w:hint="default"/>
        <w:b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ascii="Arial" w:eastAsia="Times New Roman" w:hAnsi="Arial" w:cs="Arial"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C69505B"/>
    <w:multiLevelType w:val="hybridMultilevel"/>
    <w:tmpl w:val="00C8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637C"/>
    <w:multiLevelType w:val="multilevel"/>
    <w:tmpl w:val="1EDAED1A"/>
    <w:lvl w:ilvl="0">
      <w:start w:val="1"/>
      <w:numFmt w:val="decimal"/>
      <w:lvlText w:val="%1."/>
      <w:lvlJc w:val="left"/>
      <w:pPr>
        <w:ind w:left="0" w:firstLine="0"/>
      </w:pPr>
      <w:rPr>
        <w:rFonts w:ascii="Arial" w:hAnsi="Arial" w:cs="Arial"/>
        <w:b w:val="0"/>
        <w:i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7365A"/>
    <w:multiLevelType w:val="multilevel"/>
    <w:tmpl w:val="6F2C57B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271C6"/>
    <w:multiLevelType w:val="hybridMultilevel"/>
    <w:tmpl w:val="7D6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37B6F"/>
    <w:multiLevelType w:val="multilevel"/>
    <w:tmpl w:val="61E2717C"/>
    <w:lvl w:ilvl="0">
      <w:start w:val="1"/>
      <w:numFmt w:val="decimal"/>
      <w:pStyle w:val="Heading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2364ADA"/>
    <w:multiLevelType w:val="hybridMultilevel"/>
    <w:tmpl w:val="9FC60430"/>
    <w:lvl w:ilvl="0" w:tplc="EAA0C404">
      <w:start w:val="1"/>
      <w:numFmt w:val="bullet"/>
      <w:lvlText w:val=""/>
      <w:lvlJc w:val="left"/>
      <w:pPr>
        <w:tabs>
          <w:tab w:val="num" w:pos="720"/>
        </w:tabs>
        <w:ind w:left="720" w:hanging="360"/>
      </w:pPr>
      <w:rPr>
        <w:rFonts w:ascii="Wingdings" w:hAnsi="Wingdings" w:hint="default"/>
      </w:rPr>
    </w:lvl>
    <w:lvl w:ilvl="1" w:tplc="6826E116" w:tentative="1">
      <w:start w:val="1"/>
      <w:numFmt w:val="bullet"/>
      <w:lvlText w:val=""/>
      <w:lvlJc w:val="left"/>
      <w:pPr>
        <w:tabs>
          <w:tab w:val="num" w:pos="1440"/>
        </w:tabs>
        <w:ind w:left="1440" w:hanging="360"/>
      </w:pPr>
      <w:rPr>
        <w:rFonts w:ascii="Wingdings" w:hAnsi="Wingdings" w:hint="default"/>
      </w:rPr>
    </w:lvl>
    <w:lvl w:ilvl="2" w:tplc="CC4E5C3E" w:tentative="1">
      <w:start w:val="1"/>
      <w:numFmt w:val="bullet"/>
      <w:lvlText w:val=""/>
      <w:lvlJc w:val="left"/>
      <w:pPr>
        <w:tabs>
          <w:tab w:val="num" w:pos="2160"/>
        </w:tabs>
        <w:ind w:left="2160" w:hanging="360"/>
      </w:pPr>
      <w:rPr>
        <w:rFonts w:ascii="Wingdings" w:hAnsi="Wingdings" w:hint="default"/>
      </w:rPr>
    </w:lvl>
    <w:lvl w:ilvl="3" w:tplc="4ACCDE3C" w:tentative="1">
      <w:start w:val="1"/>
      <w:numFmt w:val="bullet"/>
      <w:lvlText w:val=""/>
      <w:lvlJc w:val="left"/>
      <w:pPr>
        <w:tabs>
          <w:tab w:val="num" w:pos="2880"/>
        </w:tabs>
        <w:ind w:left="2880" w:hanging="360"/>
      </w:pPr>
      <w:rPr>
        <w:rFonts w:ascii="Wingdings" w:hAnsi="Wingdings" w:hint="default"/>
      </w:rPr>
    </w:lvl>
    <w:lvl w:ilvl="4" w:tplc="46D4B690" w:tentative="1">
      <w:start w:val="1"/>
      <w:numFmt w:val="bullet"/>
      <w:lvlText w:val=""/>
      <w:lvlJc w:val="left"/>
      <w:pPr>
        <w:tabs>
          <w:tab w:val="num" w:pos="3600"/>
        </w:tabs>
        <w:ind w:left="3600" w:hanging="360"/>
      </w:pPr>
      <w:rPr>
        <w:rFonts w:ascii="Wingdings" w:hAnsi="Wingdings" w:hint="default"/>
      </w:rPr>
    </w:lvl>
    <w:lvl w:ilvl="5" w:tplc="43EE7210" w:tentative="1">
      <w:start w:val="1"/>
      <w:numFmt w:val="bullet"/>
      <w:lvlText w:val=""/>
      <w:lvlJc w:val="left"/>
      <w:pPr>
        <w:tabs>
          <w:tab w:val="num" w:pos="4320"/>
        </w:tabs>
        <w:ind w:left="4320" w:hanging="360"/>
      </w:pPr>
      <w:rPr>
        <w:rFonts w:ascii="Wingdings" w:hAnsi="Wingdings" w:hint="default"/>
      </w:rPr>
    </w:lvl>
    <w:lvl w:ilvl="6" w:tplc="34EA7BDC" w:tentative="1">
      <w:start w:val="1"/>
      <w:numFmt w:val="bullet"/>
      <w:lvlText w:val=""/>
      <w:lvlJc w:val="left"/>
      <w:pPr>
        <w:tabs>
          <w:tab w:val="num" w:pos="5040"/>
        </w:tabs>
        <w:ind w:left="5040" w:hanging="360"/>
      </w:pPr>
      <w:rPr>
        <w:rFonts w:ascii="Wingdings" w:hAnsi="Wingdings" w:hint="default"/>
      </w:rPr>
    </w:lvl>
    <w:lvl w:ilvl="7" w:tplc="09CAD138" w:tentative="1">
      <w:start w:val="1"/>
      <w:numFmt w:val="bullet"/>
      <w:lvlText w:val=""/>
      <w:lvlJc w:val="left"/>
      <w:pPr>
        <w:tabs>
          <w:tab w:val="num" w:pos="5760"/>
        </w:tabs>
        <w:ind w:left="5760" w:hanging="360"/>
      </w:pPr>
      <w:rPr>
        <w:rFonts w:ascii="Wingdings" w:hAnsi="Wingdings" w:hint="default"/>
      </w:rPr>
    </w:lvl>
    <w:lvl w:ilvl="8" w:tplc="F378E0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57E20"/>
    <w:multiLevelType w:val="multilevel"/>
    <w:tmpl w:val="5426A026"/>
    <w:lvl w:ilvl="0">
      <w:start w:val="1"/>
      <w:numFmt w:val="none"/>
      <w:suff w:val="nothing"/>
      <w:lvlText w:val="%1"/>
      <w:lvlJc w:val="left"/>
      <w:pPr>
        <w:ind w:left="360" w:firstLine="0"/>
      </w:pPr>
      <w:rPr>
        <w:rFonts w:hint="default"/>
      </w:rPr>
    </w:lvl>
    <w:lvl w:ilvl="1">
      <w:start w:val="1"/>
      <w:numFmt w:val="decimal"/>
      <w:lvlText w:val="%2."/>
      <w:lvlJc w:val="left"/>
      <w:pPr>
        <w:tabs>
          <w:tab w:val="num" w:pos="2782"/>
        </w:tabs>
        <w:ind w:left="2782" w:hanging="720"/>
      </w:pPr>
      <w:rPr>
        <w:rFonts w:ascii="Arial" w:hAnsi="Arial" w:cs="Arial" w:hint="default"/>
        <w:b w:val="0"/>
        <w:i w:val="0"/>
        <w:color w:val="auto"/>
        <w:sz w:val="22"/>
        <w:szCs w:val="22"/>
      </w:rPr>
    </w:lvl>
    <w:lvl w:ilvl="2">
      <w:start w:val="1"/>
      <w:numFmt w:val="lowerLetter"/>
      <w:lvlText w:val="%3)"/>
      <w:lvlJc w:val="left"/>
      <w:pPr>
        <w:tabs>
          <w:tab w:val="num" w:pos="2250"/>
        </w:tabs>
        <w:ind w:left="1890" w:hanging="360"/>
      </w:pPr>
      <w:rPr>
        <w:rFonts w:ascii="Arial" w:eastAsia="Times New Roman" w:hAnsi="Arial" w:cs="Arial" w:hint="default"/>
        <w:b w:val="0"/>
        <w:color w:val="auto"/>
        <w:sz w:val="22"/>
        <w:szCs w:val="22"/>
      </w:rPr>
    </w:lvl>
    <w:lvl w:ilvl="3">
      <w:start w:val="1"/>
      <w:numFmt w:val="lowerRoman"/>
      <w:lvlText w:val="(%4)"/>
      <w:lvlJc w:val="left"/>
      <w:pPr>
        <w:tabs>
          <w:tab w:val="num" w:pos="2160"/>
        </w:tabs>
        <w:ind w:left="1440" w:hanging="360"/>
      </w:pPr>
      <w:rPr>
        <w:rFonts w:ascii="Arial" w:hAnsi="Arial" w:cs="Arial" w:hint="default"/>
        <w:b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ascii="Arial" w:eastAsia="Times New Roman" w:hAnsi="Arial" w:cs="Arial"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20B42CD"/>
    <w:multiLevelType w:val="hybridMultilevel"/>
    <w:tmpl w:val="9FC8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5352"/>
    <w:multiLevelType w:val="hybridMultilevel"/>
    <w:tmpl w:val="74B25F66"/>
    <w:lvl w:ilvl="0" w:tplc="10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84CC0"/>
    <w:multiLevelType w:val="hybridMultilevel"/>
    <w:tmpl w:val="D0A4ADFA"/>
    <w:lvl w:ilvl="0" w:tplc="FEC0C3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149D8"/>
    <w:multiLevelType w:val="hybridMultilevel"/>
    <w:tmpl w:val="4864A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960AF"/>
    <w:multiLevelType w:val="hybridMultilevel"/>
    <w:tmpl w:val="4F40C736"/>
    <w:lvl w:ilvl="0" w:tplc="E2349A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931D8"/>
    <w:multiLevelType w:val="hybridMultilevel"/>
    <w:tmpl w:val="74401BA2"/>
    <w:lvl w:ilvl="0" w:tplc="C1902EE0">
      <w:start w:val="1"/>
      <w:numFmt w:val="decimal"/>
      <w:lvlText w:val="%1."/>
      <w:lvlJc w:val="left"/>
      <w:pPr>
        <w:ind w:left="1080" w:hanging="72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E338C8"/>
    <w:multiLevelType w:val="hybridMultilevel"/>
    <w:tmpl w:val="2D2C60FA"/>
    <w:lvl w:ilvl="0" w:tplc="C9B6D21E">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9B33C1"/>
    <w:multiLevelType w:val="hybridMultilevel"/>
    <w:tmpl w:val="74B25F66"/>
    <w:lvl w:ilvl="0" w:tplc="10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52EBC"/>
    <w:multiLevelType w:val="hybridMultilevel"/>
    <w:tmpl w:val="3D4CDE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C64C2"/>
    <w:multiLevelType w:val="hybridMultilevel"/>
    <w:tmpl w:val="407A1046"/>
    <w:lvl w:ilvl="0" w:tplc="370E6DFE">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02C59"/>
    <w:multiLevelType w:val="hybridMultilevel"/>
    <w:tmpl w:val="324AF5C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A06C6"/>
    <w:multiLevelType w:val="hybridMultilevel"/>
    <w:tmpl w:val="5FCC9A38"/>
    <w:lvl w:ilvl="0" w:tplc="40FA226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2915209"/>
    <w:multiLevelType w:val="multilevel"/>
    <w:tmpl w:val="C0727486"/>
    <w:lvl w:ilvl="0">
      <w:start w:val="1"/>
      <w:numFmt w:val="none"/>
      <w:suff w:val="nothing"/>
      <w:lvlText w:val="%1"/>
      <w:lvlJc w:val="left"/>
      <w:pPr>
        <w:ind w:left="360" w:firstLine="0"/>
      </w:pPr>
      <w:rPr>
        <w:rFonts w:hint="default"/>
      </w:rPr>
    </w:lvl>
    <w:lvl w:ilvl="1">
      <w:start w:val="1"/>
      <w:numFmt w:val="decimal"/>
      <w:lvlText w:val="%2."/>
      <w:lvlJc w:val="left"/>
      <w:pPr>
        <w:tabs>
          <w:tab w:val="num" w:pos="2782"/>
        </w:tabs>
        <w:ind w:left="2782" w:hanging="720"/>
      </w:pPr>
      <w:rPr>
        <w:rFonts w:ascii="Arial" w:hAnsi="Arial" w:cs="Arial" w:hint="default"/>
        <w:b w:val="0"/>
        <w:i w:val="0"/>
        <w:color w:val="auto"/>
        <w:sz w:val="22"/>
        <w:szCs w:val="22"/>
      </w:rPr>
    </w:lvl>
    <w:lvl w:ilvl="2">
      <w:start w:val="1"/>
      <w:numFmt w:val="lowerLetter"/>
      <w:lvlText w:val="%3)"/>
      <w:lvlJc w:val="left"/>
      <w:pPr>
        <w:tabs>
          <w:tab w:val="num" w:pos="2250"/>
        </w:tabs>
        <w:ind w:left="1890" w:hanging="360"/>
      </w:pPr>
      <w:rPr>
        <w:rFonts w:ascii="Arial" w:eastAsia="Times New Roman" w:hAnsi="Arial" w:cs="Arial" w:hint="default"/>
        <w:b w:val="0"/>
        <w:color w:val="auto"/>
        <w:sz w:val="22"/>
        <w:szCs w:val="22"/>
      </w:rPr>
    </w:lvl>
    <w:lvl w:ilvl="3">
      <w:start w:val="1"/>
      <w:numFmt w:val="bullet"/>
      <w:lvlText w:val=""/>
      <w:lvlJc w:val="left"/>
      <w:pPr>
        <w:tabs>
          <w:tab w:val="num" w:pos="2160"/>
        </w:tabs>
        <w:ind w:left="1440" w:hanging="360"/>
      </w:pPr>
      <w:rPr>
        <w:rFonts w:ascii="Symbol" w:hAnsi="Symbol" w:hint="default"/>
        <w:b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ascii="Arial" w:eastAsia="Times New Roman" w:hAnsi="Arial" w:cs="Arial"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7A92BC0"/>
    <w:multiLevelType w:val="hybridMultilevel"/>
    <w:tmpl w:val="64CC4DBC"/>
    <w:lvl w:ilvl="0" w:tplc="72E89DE4">
      <w:start w:val="1"/>
      <w:numFmt w:val="bullet"/>
      <w:lvlText w:val=""/>
      <w:lvlJc w:val="left"/>
      <w:pPr>
        <w:tabs>
          <w:tab w:val="num" w:pos="720"/>
        </w:tabs>
        <w:ind w:left="720" w:hanging="360"/>
      </w:pPr>
      <w:rPr>
        <w:rFonts w:ascii="Wingdings" w:hAnsi="Wingdings" w:hint="default"/>
      </w:rPr>
    </w:lvl>
    <w:lvl w:ilvl="1" w:tplc="C402063A" w:tentative="1">
      <w:start w:val="1"/>
      <w:numFmt w:val="bullet"/>
      <w:lvlText w:val=""/>
      <w:lvlJc w:val="left"/>
      <w:pPr>
        <w:tabs>
          <w:tab w:val="num" w:pos="1440"/>
        </w:tabs>
        <w:ind w:left="1440" w:hanging="360"/>
      </w:pPr>
      <w:rPr>
        <w:rFonts w:ascii="Wingdings" w:hAnsi="Wingdings" w:hint="default"/>
      </w:rPr>
    </w:lvl>
    <w:lvl w:ilvl="2" w:tplc="267EF3E4" w:tentative="1">
      <w:start w:val="1"/>
      <w:numFmt w:val="bullet"/>
      <w:lvlText w:val=""/>
      <w:lvlJc w:val="left"/>
      <w:pPr>
        <w:tabs>
          <w:tab w:val="num" w:pos="2160"/>
        </w:tabs>
        <w:ind w:left="2160" w:hanging="360"/>
      </w:pPr>
      <w:rPr>
        <w:rFonts w:ascii="Wingdings" w:hAnsi="Wingdings" w:hint="default"/>
      </w:rPr>
    </w:lvl>
    <w:lvl w:ilvl="3" w:tplc="25D0F40E" w:tentative="1">
      <w:start w:val="1"/>
      <w:numFmt w:val="bullet"/>
      <w:lvlText w:val=""/>
      <w:lvlJc w:val="left"/>
      <w:pPr>
        <w:tabs>
          <w:tab w:val="num" w:pos="2880"/>
        </w:tabs>
        <w:ind w:left="2880" w:hanging="360"/>
      </w:pPr>
      <w:rPr>
        <w:rFonts w:ascii="Wingdings" w:hAnsi="Wingdings" w:hint="default"/>
      </w:rPr>
    </w:lvl>
    <w:lvl w:ilvl="4" w:tplc="4B5EAFB4" w:tentative="1">
      <w:start w:val="1"/>
      <w:numFmt w:val="bullet"/>
      <w:lvlText w:val=""/>
      <w:lvlJc w:val="left"/>
      <w:pPr>
        <w:tabs>
          <w:tab w:val="num" w:pos="3600"/>
        </w:tabs>
        <w:ind w:left="3600" w:hanging="360"/>
      </w:pPr>
      <w:rPr>
        <w:rFonts w:ascii="Wingdings" w:hAnsi="Wingdings" w:hint="default"/>
      </w:rPr>
    </w:lvl>
    <w:lvl w:ilvl="5" w:tplc="045ECABE" w:tentative="1">
      <w:start w:val="1"/>
      <w:numFmt w:val="bullet"/>
      <w:lvlText w:val=""/>
      <w:lvlJc w:val="left"/>
      <w:pPr>
        <w:tabs>
          <w:tab w:val="num" w:pos="4320"/>
        </w:tabs>
        <w:ind w:left="4320" w:hanging="360"/>
      </w:pPr>
      <w:rPr>
        <w:rFonts w:ascii="Wingdings" w:hAnsi="Wingdings" w:hint="default"/>
      </w:rPr>
    </w:lvl>
    <w:lvl w:ilvl="6" w:tplc="56E067D4" w:tentative="1">
      <w:start w:val="1"/>
      <w:numFmt w:val="bullet"/>
      <w:lvlText w:val=""/>
      <w:lvlJc w:val="left"/>
      <w:pPr>
        <w:tabs>
          <w:tab w:val="num" w:pos="5040"/>
        </w:tabs>
        <w:ind w:left="5040" w:hanging="360"/>
      </w:pPr>
      <w:rPr>
        <w:rFonts w:ascii="Wingdings" w:hAnsi="Wingdings" w:hint="default"/>
      </w:rPr>
    </w:lvl>
    <w:lvl w:ilvl="7" w:tplc="9A3466EA" w:tentative="1">
      <w:start w:val="1"/>
      <w:numFmt w:val="bullet"/>
      <w:lvlText w:val=""/>
      <w:lvlJc w:val="left"/>
      <w:pPr>
        <w:tabs>
          <w:tab w:val="num" w:pos="5760"/>
        </w:tabs>
        <w:ind w:left="5760" w:hanging="360"/>
      </w:pPr>
      <w:rPr>
        <w:rFonts w:ascii="Wingdings" w:hAnsi="Wingdings" w:hint="default"/>
      </w:rPr>
    </w:lvl>
    <w:lvl w:ilvl="8" w:tplc="7EDE78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15A9A"/>
    <w:multiLevelType w:val="hybridMultilevel"/>
    <w:tmpl w:val="3BBA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161D7"/>
    <w:multiLevelType w:val="hybridMultilevel"/>
    <w:tmpl w:val="9F2E156C"/>
    <w:lvl w:ilvl="0" w:tplc="1C124A6C">
      <w:start w:val="7"/>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7433E"/>
    <w:multiLevelType w:val="hybridMultilevel"/>
    <w:tmpl w:val="DE4217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B71129"/>
    <w:multiLevelType w:val="multilevel"/>
    <w:tmpl w:val="FEF226C8"/>
    <w:lvl w:ilvl="0">
      <w:start w:val="1"/>
      <w:numFmt w:val="none"/>
      <w:suff w:val="nothing"/>
      <w:lvlText w:val="%1"/>
      <w:lvlJc w:val="left"/>
      <w:pPr>
        <w:ind w:left="360" w:firstLine="0"/>
      </w:pPr>
      <w:rPr>
        <w:rFonts w:hint="default"/>
      </w:rPr>
    </w:lvl>
    <w:lvl w:ilvl="1">
      <w:start w:val="1"/>
      <w:numFmt w:val="decimal"/>
      <w:lvlText w:val="%2."/>
      <w:lvlJc w:val="left"/>
      <w:pPr>
        <w:tabs>
          <w:tab w:val="num" w:pos="2782"/>
        </w:tabs>
        <w:ind w:left="2782" w:hanging="720"/>
      </w:pPr>
      <w:rPr>
        <w:rFonts w:ascii="Arial" w:hAnsi="Arial" w:cs="Arial" w:hint="default"/>
        <w:b w:val="0"/>
        <w:i w:val="0"/>
        <w:color w:val="auto"/>
        <w:sz w:val="22"/>
        <w:szCs w:val="22"/>
      </w:rPr>
    </w:lvl>
    <w:lvl w:ilvl="2">
      <w:start w:val="1"/>
      <w:numFmt w:val="lowerLetter"/>
      <w:lvlText w:val="%3)"/>
      <w:lvlJc w:val="left"/>
      <w:pPr>
        <w:tabs>
          <w:tab w:val="num" w:pos="2250"/>
        </w:tabs>
        <w:ind w:left="1890" w:hanging="360"/>
      </w:pPr>
      <w:rPr>
        <w:rFonts w:ascii="Arial" w:eastAsia="Times New Roman" w:hAnsi="Arial" w:cs="Arial" w:hint="default"/>
        <w:b w:val="0"/>
        <w:color w:val="auto"/>
        <w:sz w:val="22"/>
        <w:szCs w:val="22"/>
      </w:rPr>
    </w:lvl>
    <w:lvl w:ilvl="3">
      <w:start w:val="1"/>
      <w:numFmt w:val="lowerRoman"/>
      <w:lvlText w:val="%4."/>
      <w:lvlJc w:val="right"/>
      <w:pPr>
        <w:tabs>
          <w:tab w:val="num" w:pos="2160"/>
        </w:tabs>
        <w:ind w:left="1440" w:hanging="360"/>
      </w:pPr>
      <w:rPr>
        <w:rFonts w:hint="default"/>
        <w:b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ascii="Arial" w:eastAsia="Times New Roman" w:hAnsi="Arial" w:cs="Arial"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094516"/>
    <w:multiLevelType w:val="hybridMultilevel"/>
    <w:tmpl w:val="658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1953"/>
    <w:multiLevelType w:val="hybridMultilevel"/>
    <w:tmpl w:val="709EDA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390D5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8028C"/>
    <w:multiLevelType w:val="multilevel"/>
    <w:tmpl w:val="A1280C4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D634D"/>
    <w:multiLevelType w:val="hybridMultilevel"/>
    <w:tmpl w:val="9B244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69064B"/>
    <w:multiLevelType w:val="multilevel"/>
    <w:tmpl w:val="1984637A"/>
    <w:lvl w:ilvl="0">
      <w:start w:val="1"/>
      <w:numFmt w:val="upperRoman"/>
      <w:pStyle w:val="RegHead1"/>
      <w:suff w:val="space"/>
      <w:lvlText w:val="%1. "/>
      <w:lvlJc w:val="center"/>
      <w:pPr>
        <w:ind w:left="675" w:firstLine="0"/>
      </w:pPr>
      <w:rPr>
        <w:rFonts w:hint="default"/>
        <w:sz w:val="28"/>
      </w:rPr>
    </w:lvl>
    <w:lvl w:ilvl="1">
      <w:start w:val="1"/>
      <w:numFmt w:val="upperLetter"/>
      <w:pStyle w:val="RegHead2"/>
      <w:suff w:val="space"/>
      <w:lvlText w:val="%2. "/>
      <w:lvlJc w:val="center"/>
      <w:pPr>
        <w:ind w:left="675" w:firstLine="0"/>
      </w:pPr>
      <w:rPr>
        <w:rFonts w:hint="default"/>
        <w:b/>
        <w:sz w:val="22"/>
        <w:u w:val="none"/>
      </w:rPr>
    </w:lvl>
    <w:lvl w:ilvl="2">
      <w:start w:val="1"/>
      <w:numFmt w:val="decimal"/>
      <w:pStyle w:val="RegHead3"/>
      <w:suff w:val="space"/>
      <w:lvlText w:val="%3. "/>
      <w:lvlJc w:val="center"/>
      <w:pPr>
        <w:ind w:left="675" w:firstLine="0"/>
      </w:pPr>
      <w:rPr>
        <w:rFonts w:hint="default"/>
        <w:b w:val="0"/>
        <w:sz w:val="22"/>
        <w:u w:val="none"/>
      </w:rPr>
    </w:lvl>
    <w:lvl w:ilvl="3">
      <w:start w:val="1"/>
      <w:numFmt w:val="decimal"/>
      <w:lvlRestart w:val="0"/>
      <w:pStyle w:val="RegPara"/>
      <w:lvlText w:val="%4."/>
      <w:lvlJc w:val="left"/>
      <w:pPr>
        <w:tabs>
          <w:tab w:val="num" w:pos="1395"/>
        </w:tabs>
        <w:ind w:left="675" w:firstLine="0"/>
      </w:pPr>
      <w:rPr>
        <w:rFonts w:hint="default"/>
        <w:b w:val="0"/>
        <w:sz w:val="22"/>
      </w:rPr>
    </w:lvl>
    <w:lvl w:ilvl="4">
      <w:start w:val="1"/>
      <w:numFmt w:val="lowerLetter"/>
      <w:lvlText w:val="(%5)"/>
      <w:lvlJc w:val="left"/>
      <w:pPr>
        <w:tabs>
          <w:tab w:val="num" w:pos="2115"/>
        </w:tabs>
        <w:ind w:left="2115" w:hanging="720"/>
      </w:pPr>
      <w:rPr>
        <w:rFonts w:hint="default"/>
        <w:b w:val="0"/>
        <w:sz w:val="22"/>
      </w:rPr>
    </w:lvl>
    <w:lvl w:ilvl="5">
      <w:start w:val="1"/>
      <w:numFmt w:val="lowerRoman"/>
      <w:lvlText w:val="(%6)"/>
      <w:lvlJc w:val="right"/>
      <w:pPr>
        <w:tabs>
          <w:tab w:val="num" w:pos="2835"/>
        </w:tabs>
        <w:ind w:left="2835" w:hanging="573"/>
      </w:pPr>
      <w:rPr>
        <w:rFonts w:hint="default"/>
      </w:rPr>
    </w:lvl>
    <w:lvl w:ilvl="6">
      <w:start w:val="1"/>
      <w:numFmt w:val="lowerLetter"/>
      <w:lvlText w:val=""/>
      <w:lvlJc w:val="left"/>
      <w:pPr>
        <w:tabs>
          <w:tab w:val="num" w:pos="3555"/>
        </w:tabs>
        <w:ind w:left="3555" w:hanging="720"/>
      </w:pPr>
      <w:rPr>
        <w:rFonts w:ascii="Symbol" w:hAnsi="Symbol" w:hint="default"/>
      </w:rPr>
    </w:lvl>
    <w:lvl w:ilvl="7">
      <w:start w:val="1"/>
      <w:numFmt w:val="none"/>
      <w:lvlText w:val="[%4.%8"/>
      <w:lvlJc w:val="left"/>
      <w:pPr>
        <w:tabs>
          <w:tab w:val="num" w:pos="1395"/>
        </w:tabs>
        <w:ind w:left="675" w:firstLine="0"/>
      </w:pPr>
      <w:rPr>
        <w:rFonts w:hint="default"/>
      </w:rPr>
    </w:lvl>
    <w:lvl w:ilvl="8">
      <w:start w:val="1"/>
      <w:numFmt w:val="none"/>
      <w:lvlText w:val="[(%5)%9"/>
      <w:lvlJc w:val="left"/>
      <w:pPr>
        <w:tabs>
          <w:tab w:val="num" w:pos="2115"/>
        </w:tabs>
        <w:ind w:left="2115" w:hanging="720"/>
      </w:pPr>
      <w:rPr>
        <w:rFonts w:hint="default"/>
      </w:rPr>
    </w:lvl>
  </w:abstractNum>
  <w:abstractNum w:abstractNumId="32" w15:restartNumberingAfterBreak="0">
    <w:nsid w:val="79B56658"/>
    <w:multiLevelType w:val="hybridMultilevel"/>
    <w:tmpl w:val="176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C139C"/>
    <w:multiLevelType w:val="hybridMultilevel"/>
    <w:tmpl w:val="AD9477F8"/>
    <w:lvl w:ilvl="0" w:tplc="04090017">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BF21D8"/>
    <w:multiLevelType w:val="multilevel"/>
    <w:tmpl w:val="940C3DD8"/>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upperLetter"/>
      <w:lvlText w:val="%3."/>
      <w:lvlJc w:val="left"/>
      <w:pPr>
        <w:ind w:left="0" w:firstLine="0"/>
      </w:pPr>
      <w:rPr>
        <w:rFonts w:hint="default"/>
        <w:b w:val="0"/>
        <w:sz w:val="22"/>
        <w:u w:val="none"/>
      </w:rPr>
    </w:lvl>
    <w:lvl w:ilvl="3">
      <w:start w:val="1"/>
      <w:numFmt w:val="decimal"/>
      <w:lvlRestart w:val="0"/>
      <w:lvlText w:val="%4."/>
      <w:lvlJc w:val="left"/>
      <w:pPr>
        <w:tabs>
          <w:tab w:val="num" w:pos="360"/>
        </w:tabs>
        <w:ind w:left="0" w:firstLine="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35" w15:restartNumberingAfterBreak="0">
    <w:nsid w:val="7DBD004E"/>
    <w:multiLevelType w:val="hybridMultilevel"/>
    <w:tmpl w:val="C632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7"/>
  </w:num>
  <w:num w:numId="5">
    <w:abstractNumId w:val="22"/>
  </w:num>
  <w:num w:numId="6">
    <w:abstractNumId w:val="33"/>
  </w:num>
  <w:num w:numId="7">
    <w:abstractNumId w:val="24"/>
  </w:num>
  <w:num w:numId="8">
    <w:abstractNumId w:val="23"/>
  </w:num>
  <w:num w:numId="9">
    <w:abstractNumId w:val="27"/>
  </w:num>
  <w:num w:numId="10">
    <w:abstractNumId w:val="19"/>
  </w:num>
  <w:num w:numId="11">
    <w:abstractNumId w:val="18"/>
  </w:num>
  <w:num w:numId="12">
    <w:abstractNumId w:val="20"/>
  </w:num>
  <w:num w:numId="13">
    <w:abstractNumId w:val="32"/>
  </w:num>
  <w:num w:numId="14">
    <w:abstractNumId w:val="12"/>
  </w:num>
  <w:num w:numId="15">
    <w:abstractNumId w:val="17"/>
  </w:num>
  <w:num w:numId="16">
    <w:abstractNumId w:val="13"/>
  </w:num>
  <w:num w:numId="17">
    <w:abstractNumId w:val="15"/>
  </w:num>
  <w:num w:numId="18">
    <w:abstractNumId w:val="8"/>
  </w:num>
  <w:num w:numId="19">
    <w:abstractNumId w:val="15"/>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34"/>
  </w:num>
  <w:num w:numId="24">
    <w:abstractNumId w:val="31"/>
  </w:num>
  <w:num w:numId="25">
    <w:abstractNumId w:val="25"/>
  </w:num>
  <w:num w:numId="26">
    <w:abstractNumId w:val="11"/>
  </w:num>
  <w:num w:numId="27">
    <w:abstractNumId w:val="0"/>
  </w:num>
  <w:num w:numId="28">
    <w:abstractNumId w:val="28"/>
  </w:num>
  <w:num w:numId="29">
    <w:abstractNumId w:val="4"/>
  </w:num>
  <w:num w:numId="30">
    <w:abstractNumId w:val="29"/>
  </w:num>
  <w:num w:numId="31">
    <w:abstractNumId w:val="3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26"/>
  </w:num>
  <w:num w:numId="36">
    <w:abstractNumId w:val="5"/>
  </w:num>
  <w:num w:numId="37">
    <w:abstractNumId w:val="9"/>
  </w:num>
  <w:num w:numId="38">
    <w:abstractNumId w:val="30"/>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91"/>
    <w:rsid w:val="00002153"/>
    <w:rsid w:val="00003AC4"/>
    <w:rsid w:val="000071FD"/>
    <w:rsid w:val="00013A8E"/>
    <w:rsid w:val="0001542E"/>
    <w:rsid w:val="00016830"/>
    <w:rsid w:val="00017057"/>
    <w:rsid w:val="0002023E"/>
    <w:rsid w:val="00020BE2"/>
    <w:rsid w:val="000265AD"/>
    <w:rsid w:val="00030E72"/>
    <w:rsid w:val="0004031F"/>
    <w:rsid w:val="00042E31"/>
    <w:rsid w:val="000433D0"/>
    <w:rsid w:val="00053DD3"/>
    <w:rsid w:val="00054691"/>
    <w:rsid w:val="00060543"/>
    <w:rsid w:val="00065DE3"/>
    <w:rsid w:val="000668B0"/>
    <w:rsid w:val="000672A3"/>
    <w:rsid w:val="00070FB0"/>
    <w:rsid w:val="00072317"/>
    <w:rsid w:val="00076428"/>
    <w:rsid w:val="00077C22"/>
    <w:rsid w:val="00081C2B"/>
    <w:rsid w:val="00081D7A"/>
    <w:rsid w:val="00085749"/>
    <w:rsid w:val="00086B98"/>
    <w:rsid w:val="00091FA5"/>
    <w:rsid w:val="000925B1"/>
    <w:rsid w:val="00094634"/>
    <w:rsid w:val="000955A5"/>
    <w:rsid w:val="0009585A"/>
    <w:rsid w:val="000961B1"/>
    <w:rsid w:val="00097026"/>
    <w:rsid w:val="0009744D"/>
    <w:rsid w:val="000A00EC"/>
    <w:rsid w:val="000A0FE5"/>
    <w:rsid w:val="000A237C"/>
    <w:rsid w:val="000A5C5B"/>
    <w:rsid w:val="000B0E13"/>
    <w:rsid w:val="000B14DA"/>
    <w:rsid w:val="000B1DF3"/>
    <w:rsid w:val="000B371C"/>
    <w:rsid w:val="000B4D6D"/>
    <w:rsid w:val="000B65A1"/>
    <w:rsid w:val="000B6AC1"/>
    <w:rsid w:val="000B72DF"/>
    <w:rsid w:val="000B786C"/>
    <w:rsid w:val="000C1129"/>
    <w:rsid w:val="000C1753"/>
    <w:rsid w:val="000D0111"/>
    <w:rsid w:val="000D04FC"/>
    <w:rsid w:val="000D61E6"/>
    <w:rsid w:val="000E046C"/>
    <w:rsid w:val="000E586D"/>
    <w:rsid w:val="000E6CFE"/>
    <w:rsid w:val="000E73D6"/>
    <w:rsid w:val="000F1A6F"/>
    <w:rsid w:val="000F255E"/>
    <w:rsid w:val="000F30F2"/>
    <w:rsid w:val="000F3260"/>
    <w:rsid w:val="000F3A9A"/>
    <w:rsid w:val="000F4A38"/>
    <w:rsid w:val="000F73E5"/>
    <w:rsid w:val="00102251"/>
    <w:rsid w:val="0010694B"/>
    <w:rsid w:val="00106ADF"/>
    <w:rsid w:val="001107A9"/>
    <w:rsid w:val="0011245E"/>
    <w:rsid w:val="00112A99"/>
    <w:rsid w:val="00114D0E"/>
    <w:rsid w:val="00116B6A"/>
    <w:rsid w:val="00123C6C"/>
    <w:rsid w:val="00124B4A"/>
    <w:rsid w:val="001266E0"/>
    <w:rsid w:val="0012684B"/>
    <w:rsid w:val="00126952"/>
    <w:rsid w:val="00127945"/>
    <w:rsid w:val="001327D0"/>
    <w:rsid w:val="00143D94"/>
    <w:rsid w:val="0014513C"/>
    <w:rsid w:val="0014672B"/>
    <w:rsid w:val="00146AA4"/>
    <w:rsid w:val="00150631"/>
    <w:rsid w:val="00152A5C"/>
    <w:rsid w:val="00155785"/>
    <w:rsid w:val="0015692C"/>
    <w:rsid w:val="0016309A"/>
    <w:rsid w:val="0016506D"/>
    <w:rsid w:val="00166CEE"/>
    <w:rsid w:val="00170E70"/>
    <w:rsid w:val="001730AE"/>
    <w:rsid w:val="00177F3E"/>
    <w:rsid w:val="00180C2E"/>
    <w:rsid w:val="00183713"/>
    <w:rsid w:val="0018418A"/>
    <w:rsid w:val="00184BD8"/>
    <w:rsid w:val="0019553C"/>
    <w:rsid w:val="001964A6"/>
    <w:rsid w:val="001A1060"/>
    <w:rsid w:val="001A28E0"/>
    <w:rsid w:val="001A49A9"/>
    <w:rsid w:val="001A508B"/>
    <w:rsid w:val="001A6D02"/>
    <w:rsid w:val="001A7E19"/>
    <w:rsid w:val="001B2214"/>
    <w:rsid w:val="001B369C"/>
    <w:rsid w:val="001B3C5C"/>
    <w:rsid w:val="001B5816"/>
    <w:rsid w:val="001B6CFE"/>
    <w:rsid w:val="001C09EE"/>
    <w:rsid w:val="001C35D8"/>
    <w:rsid w:val="001C46E6"/>
    <w:rsid w:val="001C590C"/>
    <w:rsid w:val="001D1FBB"/>
    <w:rsid w:val="001D73DA"/>
    <w:rsid w:val="001D7442"/>
    <w:rsid w:val="001E07D8"/>
    <w:rsid w:val="001E3861"/>
    <w:rsid w:val="001E3BF5"/>
    <w:rsid w:val="001E3C5A"/>
    <w:rsid w:val="001E45BC"/>
    <w:rsid w:val="001E481B"/>
    <w:rsid w:val="001E69D6"/>
    <w:rsid w:val="001E6F4B"/>
    <w:rsid w:val="001F253A"/>
    <w:rsid w:val="001F452D"/>
    <w:rsid w:val="001F4B75"/>
    <w:rsid w:val="00202D4B"/>
    <w:rsid w:val="00211085"/>
    <w:rsid w:val="002112CF"/>
    <w:rsid w:val="00213E56"/>
    <w:rsid w:val="00215281"/>
    <w:rsid w:val="0021609A"/>
    <w:rsid w:val="002166F9"/>
    <w:rsid w:val="002212F6"/>
    <w:rsid w:val="00222513"/>
    <w:rsid w:val="00225623"/>
    <w:rsid w:val="00226EBF"/>
    <w:rsid w:val="002270B6"/>
    <w:rsid w:val="002272CD"/>
    <w:rsid w:val="00233655"/>
    <w:rsid w:val="0023522D"/>
    <w:rsid w:val="002357A2"/>
    <w:rsid w:val="002373BA"/>
    <w:rsid w:val="00241026"/>
    <w:rsid w:val="002473E9"/>
    <w:rsid w:val="00247F7E"/>
    <w:rsid w:val="00250603"/>
    <w:rsid w:val="0025072D"/>
    <w:rsid w:val="00250C81"/>
    <w:rsid w:val="002527B8"/>
    <w:rsid w:val="00254C3B"/>
    <w:rsid w:val="0025501B"/>
    <w:rsid w:val="00256909"/>
    <w:rsid w:val="002643DA"/>
    <w:rsid w:val="00265D24"/>
    <w:rsid w:val="00272A4E"/>
    <w:rsid w:val="0027546C"/>
    <w:rsid w:val="00275FB4"/>
    <w:rsid w:val="00276CA6"/>
    <w:rsid w:val="00277D56"/>
    <w:rsid w:val="0028735B"/>
    <w:rsid w:val="0029008D"/>
    <w:rsid w:val="00290304"/>
    <w:rsid w:val="00292EE6"/>
    <w:rsid w:val="002955CE"/>
    <w:rsid w:val="002A2063"/>
    <w:rsid w:val="002A48DB"/>
    <w:rsid w:val="002A5CF7"/>
    <w:rsid w:val="002A7AB4"/>
    <w:rsid w:val="002B3CE8"/>
    <w:rsid w:val="002B52F7"/>
    <w:rsid w:val="002B6471"/>
    <w:rsid w:val="002C211F"/>
    <w:rsid w:val="002C5CD3"/>
    <w:rsid w:val="002C60CB"/>
    <w:rsid w:val="002C6B88"/>
    <w:rsid w:val="002D36A6"/>
    <w:rsid w:val="002D540D"/>
    <w:rsid w:val="002D7873"/>
    <w:rsid w:val="002E2091"/>
    <w:rsid w:val="002E2F93"/>
    <w:rsid w:val="002E539C"/>
    <w:rsid w:val="002F333D"/>
    <w:rsid w:val="002F3C74"/>
    <w:rsid w:val="002F7186"/>
    <w:rsid w:val="00305D24"/>
    <w:rsid w:val="00306BE7"/>
    <w:rsid w:val="003101D5"/>
    <w:rsid w:val="00312C58"/>
    <w:rsid w:val="00312E02"/>
    <w:rsid w:val="00313A6D"/>
    <w:rsid w:val="00313C5E"/>
    <w:rsid w:val="00315D5B"/>
    <w:rsid w:val="003227A3"/>
    <w:rsid w:val="003230DB"/>
    <w:rsid w:val="00323A07"/>
    <w:rsid w:val="00324A5E"/>
    <w:rsid w:val="00325F0F"/>
    <w:rsid w:val="00331066"/>
    <w:rsid w:val="00340A66"/>
    <w:rsid w:val="00343AE9"/>
    <w:rsid w:val="003446E4"/>
    <w:rsid w:val="00354383"/>
    <w:rsid w:val="00361194"/>
    <w:rsid w:val="00367A2D"/>
    <w:rsid w:val="003708C8"/>
    <w:rsid w:val="00371111"/>
    <w:rsid w:val="003719CD"/>
    <w:rsid w:val="0037258C"/>
    <w:rsid w:val="00372CDA"/>
    <w:rsid w:val="003733E1"/>
    <w:rsid w:val="003765C3"/>
    <w:rsid w:val="00376FA4"/>
    <w:rsid w:val="0037782A"/>
    <w:rsid w:val="00380AD8"/>
    <w:rsid w:val="00382E10"/>
    <w:rsid w:val="00384577"/>
    <w:rsid w:val="003847F2"/>
    <w:rsid w:val="003910C2"/>
    <w:rsid w:val="003913AE"/>
    <w:rsid w:val="003A0CE9"/>
    <w:rsid w:val="003A11D1"/>
    <w:rsid w:val="003A1F5A"/>
    <w:rsid w:val="003A3234"/>
    <w:rsid w:val="003A4D1F"/>
    <w:rsid w:val="003A4EB1"/>
    <w:rsid w:val="003A7D26"/>
    <w:rsid w:val="003A7DFF"/>
    <w:rsid w:val="003B2987"/>
    <w:rsid w:val="003B421B"/>
    <w:rsid w:val="003B4FD8"/>
    <w:rsid w:val="003B52AD"/>
    <w:rsid w:val="003B6534"/>
    <w:rsid w:val="003C0310"/>
    <w:rsid w:val="003C0663"/>
    <w:rsid w:val="003C15D2"/>
    <w:rsid w:val="003C160E"/>
    <w:rsid w:val="003C3B08"/>
    <w:rsid w:val="003C43F3"/>
    <w:rsid w:val="003C6F59"/>
    <w:rsid w:val="003C70DB"/>
    <w:rsid w:val="003D2CBD"/>
    <w:rsid w:val="003E05E7"/>
    <w:rsid w:val="003E0710"/>
    <w:rsid w:val="003E6C43"/>
    <w:rsid w:val="003E73BA"/>
    <w:rsid w:val="003E7E67"/>
    <w:rsid w:val="003F0001"/>
    <w:rsid w:val="003F0379"/>
    <w:rsid w:val="003F4704"/>
    <w:rsid w:val="003F70FD"/>
    <w:rsid w:val="00400206"/>
    <w:rsid w:val="0040295B"/>
    <w:rsid w:val="00404EA4"/>
    <w:rsid w:val="00406EA7"/>
    <w:rsid w:val="0040721E"/>
    <w:rsid w:val="00411F50"/>
    <w:rsid w:val="00413B62"/>
    <w:rsid w:val="00415206"/>
    <w:rsid w:val="0041760D"/>
    <w:rsid w:val="00420B27"/>
    <w:rsid w:val="00421364"/>
    <w:rsid w:val="004222EF"/>
    <w:rsid w:val="00423C03"/>
    <w:rsid w:val="004242F5"/>
    <w:rsid w:val="0042489E"/>
    <w:rsid w:val="0042653A"/>
    <w:rsid w:val="00431C39"/>
    <w:rsid w:val="00431F15"/>
    <w:rsid w:val="004327E4"/>
    <w:rsid w:val="00441609"/>
    <w:rsid w:val="00442761"/>
    <w:rsid w:val="004457FB"/>
    <w:rsid w:val="00450042"/>
    <w:rsid w:val="00452C0C"/>
    <w:rsid w:val="00457CCF"/>
    <w:rsid w:val="0046055C"/>
    <w:rsid w:val="00462B4D"/>
    <w:rsid w:val="004638AC"/>
    <w:rsid w:val="00464805"/>
    <w:rsid w:val="00464DDC"/>
    <w:rsid w:val="00467AF8"/>
    <w:rsid w:val="00467D03"/>
    <w:rsid w:val="00474E74"/>
    <w:rsid w:val="00476236"/>
    <w:rsid w:val="00482A71"/>
    <w:rsid w:val="00484BF5"/>
    <w:rsid w:val="00484D22"/>
    <w:rsid w:val="004860E1"/>
    <w:rsid w:val="00486673"/>
    <w:rsid w:val="004A0CDF"/>
    <w:rsid w:val="004A151D"/>
    <w:rsid w:val="004A1E91"/>
    <w:rsid w:val="004A45F7"/>
    <w:rsid w:val="004A4CA1"/>
    <w:rsid w:val="004A5227"/>
    <w:rsid w:val="004B0002"/>
    <w:rsid w:val="004B2DD3"/>
    <w:rsid w:val="004B3293"/>
    <w:rsid w:val="004B6565"/>
    <w:rsid w:val="004B6D8C"/>
    <w:rsid w:val="004B7DC3"/>
    <w:rsid w:val="004C0B16"/>
    <w:rsid w:val="004C2440"/>
    <w:rsid w:val="004C2626"/>
    <w:rsid w:val="004C4A04"/>
    <w:rsid w:val="004C6429"/>
    <w:rsid w:val="004D08A5"/>
    <w:rsid w:val="004D19C5"/>
    <w:rsid w:val="004D1CA9"/>
    <w:rsid w:val="004D2AAC"/>
    <w:rsid w:val="004E6D2C"/>
    <w:rsid w:val="004E6D82"/>
    <w:rsid w:val="004E7E1B"/>
    <w:rsid w:val="004F1020"/>
    <w:rsid w:val="004F1C0E"/>
    <w:rsid w:val="004F2AEB"/>
    <w:rsid w:val="00500A79"/>
    <w:rsid w:val="00501521"/>
    <w:rsid w:val="00502711"/>
    <w:rsid w:val="00505577"/>
    <w:rsid w:val="00520751"/>
    <w:rsid w:val="00520AC5"/>
    <w:rsid w:val="00521699"/>
    <w:rsid w:val="00525D4A"/>
    <w:rsid w:val="00540E1F"/>
    <w:rsid w:val="00541708"/>
    <w:rsid w:val="0054249B"/>
    <w:rsid w:val="00542550"/>
    <w:rsid w:val="005456E3"/>
    <w:rsid w:val="00551A05"/>
    <w:rsid w:val="00557F42"/>
    <w:rsid w:val="005603DC"/>
    <w:rsid w:val="00562A30"/>
    <w:rsid w:val="00566396"/>
    <w:rsid w:val="005707AE"/>
    <w:rsid w:val="00582D0E"/>
    <w:rsid w:val="005843BF"/>
    <w:rsid w:val="0058515A"/>
    <w:rsid w:val="005867B0"/>
    <w:rsid w:val="00586B28"/>
    <w:rsid w:val="00590BC0"/>
    <w:rsid w:val="0059540C"/>
    <w:rsid w:val="0059657E"/>
    <w:rsid w:val="005A0019"/>
    <w:rsid w:val="005A4B8D"/>
    <w:rsid w:val="005A557C"/>
    <w:rsid w:val="005A65FB"/>
    <w:rsid w:val="005B270A"/>
    <w:rsid w:val="005B5AE3"/>
    <w:rsid w:val="005C122A"/>
    <w:rsid w:val="005C3BDE"/>
    <w:rsid w:val="005C697D"/>
    <w:rsid w:val="005C7E7C"/>
    <w:rsid w:val="005D32DF"/>
    <w:rsid w:val="005D4B72"/>
    <w:rsid w:val="005D66AA"/>
    <w:rsid w:val="005F5906"/>
    <w:rsid w:val="0060110A"/>
    <w:rsid w:val="00601551"/>
    <w:rsid w:val="00610EA1"/>
    <w:rsid w:val="00615DA1"/>
    <w:rsid w:val="00616E9A"/>
    <w:rsid w:val="00620E03"/>
    <w:rsid w:val="00623E87"/>
    <w:rsid w:val="0062411A"/>
    <w:rsid w:val="00630F73"/>
    <w:rsid w:val="006348FF"/>
    <w:rsid w:val="00635A1A"/>
    <w:rsid w:val="00636103"/>
    <w:rsid w:val="00637FFE"/>
    <w:rsid w:val="00640590"/>
    <w:rsid w:val="0064361B"/>
    <w:rsid w:val="00645A1B"/>
    <w:rsid w:val="0064652F"/>
    <w:rsid w:val="006501F7"/>
    <w:rsid w:val="0066007D"/>
    <w:rsid w:val="006614F3"/>
    <w:rsid w:val="00662504"/>
    <w:rsid w:val="00667742"/>
    <w:rsid w:val="006753AA"/>
    <w:rsid w:val="006804A5"/>
    <w:rsid w:val="006846B2"/>
    <w:rsid w:val="0068578D"/>
    <w:rsid w:val="006875A3"/>
    <w:rsid w:val="006911B8"/>
    <w:rsid w:val="00691D70"/>
    <w:rsid w:val="00692288"/>
    <w:rsid w:val="00692C91"/>
    <w:rsid w:val="006930DA"/>
    <w:rsid w:val="00693996"/>
    <w:rsid w:val="006976D7"/>
    <w:rsid w:val="006A142B"/>
    <w:rsid w:val="006A1491"/>
    <w:rsid w:val="006A340F"/>
    <w:rsid w:val="006A42A4"/>
    <w:rsid w:val="006A5A5E"/>
    <w:rsid w:val="006A6391"/>
    <w:rsid w:val="006A66D0"/>
    <w:rsid w:val="006B0EB2"/>
    <w:rsid w:val="006B72A2"/>
    <w:rsid w:val="006C16FB"/>
    <w:rsid w:val="006C2589"/>
    <w:rsid w:val="006D0B0D"/>
    <w:rsid w:val="006D57BC"/>
    <w:rsid w:val="006E28B5"/>
    <w:rsid w:val="006F3F1A"/>
    <w:rsid w:val="006F5527"/>
    <w:rsid w:val="006F6BE8"/>
    <w:rsid w:val="007013B3"/>
    <w:rsid w:val="00702958"/>
    <w:rsid w:val="00704F40"/>
    <w:rsid w:val="00710A03"/>
    <w:rsid w:val="00717182"/>
    <w:rsid w:val="00726DD8"/>
    <w:rsid w:val="00727E7C"/>
    <w:rsid w:val="0074053F"/>
    <w:rsid w:val="00741518"/>
    <w:rsid w:val="0074274F"/>
    <w:rsid w:val="00743196"/>
    <w:rsid w:val="0074521A"/>
    <w:rsid w:val="00746C92"/>
    <w:rsid w:val="0075146C"/>
    <w:rsid w:val="007525CC"/>
    <w:rsid w:val="007540BF"/>
    <w:rsid w:val="00755998"/>
    <w:rsid w:val="00756659"/>
    <w:rsid w:val="00761164"/>
    <w:rsid w:val="0076156B"/>
    <w:rsid w:val="00762F18"/>
    <w:rsid w:val="00763A10"/>
    <w:rsid w:val="00764AD1"/>
    <w:rsid w:val="00772E9A"/>
    <w:rsid w:val="00773BE0"/>
    <w:rsid w:val="00774255"/>
    <w:rsid w:val="0077456B"/>
    <w:rsid w:val="007853CE"/>
    <w:rsid w:val="00785671"/>
    <w:rsid w:val="0079079A"/>
    <w:rsid w:val="007925FC"/>
    <w:rsid w:val="007A1AAA"/>
    <w:rsid w:val="007A29C9"/>
    <w:rsid w:val="007A3DA5"/>
    <w:rsid w:val="007A3E48"/>
    <w:rsid w:val="007A45F4"/>
    <w:rsid w:val="007A6F5D"/>
    <w:rsid w:val="007B00D6"/>
    <w:rsid w:val="007B12D7"/>
    <w:rsid w:val="007B1EF0"/>
    <w:rsid w:val="007B2921"/>
    <w:rsid w:val="007B2F64"/>
    <w:rsid w:val="007C2B7D"/>
    <w:rsid w:val="007C7352"/>
    <w:rsid w:val="007D05E7"/>
    <w:rsid w:val="007D08AF"/>
    <w:rsid w:val="007D15FF"/>
    <w:rsid w:val="007D21E7"/>
    <w:rsid w:val="007D3680"/>
    <w:rsid w:val="007D76B5"/>
    <w:rsid w:val="007E23AC"/>
    <w:rsid w:val="007E42FD"/>
    <w:rsid w:val="007F0206"/>
    <w:rsid w:val="007F0253"/>
    <w:rsid w:val="007F124D"/>
    <w:rsid w:val="007F7814"/>
    <w:rsid w:val="0080298E"/>
    <w:rsid w:val="00804C3D"/>
    <w:rsid w:val="008052B6"/>
    <w:rsid w:val="00805FAA"/>
    <w:rsid w:val="00806E5D"/>
    <w:rsid w:val="0081048F"/>
    <w:rsid w:val="00811B1D"/>
    <w:rsid w:val="00816F5D"/>
    <w:rsid w:val="00817E74"/>
    <w:rsid w:val="00820936"/>
    <w:rsid w:val="008260E3"/>
    <w:rsid w:val="008342DD"/>
    <w:rsid w:val="00835067"/>
    <w:rsid w:val="00837C49"/>
    <w:rsid w:val="00842453"/>
    <w:rsid w:val="00842B75"/>
    <w:rsid w:val="00843F85"/>
    <w:rsid w:val="00844DE7"/>
    <w:rsid w:val="00846383"/>
    <w:rsid w:val="0084693E"/>
    <w:rsid w:val="00847299"/>
    <w:rsid w:val="008522D3"/>
    <w:rsid w:val="008529AA"/>
    <w:rsid w:val="00853817"/>
    <w:rsid w:val="008601CC"/>
    <w:rsid w:val="00864C7A"/>
    <w:rsid w:val="00873931"/>
    <w:rsid w:val="00874B16"/>
    <w:rsid w:val="00874EC0"/>
    <w:rsid w:val="0087662C"/>
    <w:rsid w:val="00884C34"/>
    <w:rsid w:val="008908C1"/>
    <w:rsid w:val="008915A0"/>
    <w:rsid w:val="00891DA3"/>
    <w:rsid w:val="00892AA3"/>
    <w:rsid w:val="00892C4A"/>
    <w:rsid w:val="00892E61"/>
    <w:rsid w:val="008A0328"/>
    <w:rsid w:val="008A1863"/>
    <w:rsid w:val="008A2B89"/>
    <w:rsid w:val="008A5783"/>
    <w:rsid w:val="008A6EFE"/>
    <w:rsid w:val="008B2399"/>
    <w:rsid w:val="008B3F80"/>
    <w:rsid w:val="008B5EFD"/>
    <w:rsid w:val="008B7D63"/>
    <w:rsid w:val="008C05FD"/>
    <w:rsid w:val="008C1BB4"/>
    <w:rsid w:val="008C1DF6"/>
    <w:rsid w:val="008C41EC"/>
    <w:rsid w:val="008D2D1A"/>
    <w:rsid w:val="008D5E8D"/>
    <w:rsid w:val="008E028A"/>
    <w:rsid w:val="008E1D87"/>
    <w:rsid w:val="008E21F0"/>
    <w:rsid w:val="008F0B1F"/>
    <w:rsid w:val="008F54DC"/>
    <w:rsid w:val="008F7450"/>
    <w:rsid w:val="008F79ED"/>
    <w:rsid w:val="00901C58"/>
    <w:rsid w:val="00902210"/>
    <w:rsid w:val="00902DEA"/>
    <w:rsid w:val="0090300A"/>
    <w:rsid w:val="00903543"/>
    <w:rsid w:val="009050D0"/>
    <w:rsid w:val="00906891"/>
    <w:rsid w:val="00913AA6"/>
    <w:rsid w:val="009153EC"/>
    <w:rsid w:val="0091781F"/>
    <w:rsid w:val="00920221"/>
    <w:rsid w:val="00921F82"/>
    <w:rsid w:val="00923224"/>
    <w:rsid w:val="0092676F"/>
    <w:rsid w:val="00931946"/>
    <w:rsid w:val="00933811"/>
    <w:rsid w:val="009350F6"/>
    <w:rsid w:val="009420FF"/>
    <w:rsid w:val="00944078"/>
    <w:rsid w:val="009462D2"/>
    <w:rsid w:val="00950569"/>
    <w:rsid w:val="00951413"/>
    <w:rsid w:val="00952039"/>
    <w:rsid w:val="00955F37"/>
    <w:rsid w:val="00965804"/>
    <w:rsid w:val="009662B4"/>
    <w:rsid w:val="0096658E"/>
    <w:rsid w:val="00971FBF"/>
    <w:rsid w:val="00972C92"/>
    <w:rsid w:val="009748C9"/>
    <w:rsid w:val="00976BA8"/>
    <w:rsid w:val="00981400"/>
    <w:rsid w:val="0098490D"/>
    <w:rsid w:val="00994982"/>
    <w:rsid w:val="00997892"/>
    <w:rsid w:val="009A2524"/>
    <w:rsid w:val="009B68F5"/>
    <w:rsid w:val="009B7C62"/>
    <w:rsid w:val="009B7D97"/>
    <w:rsid w:val="009C5319"/>
    <w:rsid w:val="009C621A"/>
    <w:rsid w:val="009D1833"/>
    <w:rsid w:val="009D58A5"/>
    <w:rsid w:val="009D7C3D"/>
    <w:rsid w:val="009D7E42"/>
    <w:rsid w:val="009E4FB8"/>
    <w:rsid w:val="009E63E0"/>
    <w:rsid w:val="009E6510"/>
    <w:rsid w:val="009E715F"/>
    <w:rsid w:val="009E7C9A"/>
    <w:rsid w:val="009F127C"/>
    <w:rsid w:val="009F5255"/>
    <w:rsid w:val="009F793C"/>
    <w:rsid w:val="009F7FB7"/>
    <w:rsid w:val="00A0518B"/>
    <w:rsid w:val="00A07A71"/>
    <w:rsid w:val="00A1662B"/>
    <w:rsid w:val="00A24627"/>
    <w:rsid w:val="00A251CD"/>
    <w:rsid w:val="00A25C98"/>
    <w:rsid w:val="00A32D12"/>
    <w:rsid w:val="00A33254"/>
    <w:rsid w:val="00A34369"/>
    <w:rsid w:val="00A410C2"/>
    <w:rsid w:val="00A4176C"/>
    <w:rsid w:val="00A42840"/>
    <w:rsid w:val="00A44A74"/>
    <w:rsid w:val="00A460E7"/>
    <w:rsid w:val="00A464A0"/>
    <w:rsid w:val="00A47A02"/>
    <w:rsid w:val="00A50694"/>
    <w:rsid w:val="00A553B4"/>
    <w:rsid w:val="00A563E9"/>
    <w:rsid w:val="00A574F7"/>
    <w:rsid w:val="00A62A11"/>
    <w:rsid w:val="00A62BEB"/>
    <w:rsid w:val="00A6689A"/>
    <w:rsid w:val="00A6786F"/>
    <w:rsid w:val="00A67BC3"/>
    <w:rsid w:val="00A67FB8"/>
    <w:rsid w:val="00A8239D"/>
    <w:rsid w:val="00A93258"/>
    <w:rsid w:val="00AA1975"/>
    <w:rsid w:val="00AB00D8"/>
    <w:rsid w:val="00AB14F5"/>
    <w:rsid w:val="00AB1D38"/>
    <w:rsid w:val="00AB1F74"/>
    <w:rsid w:val="00AB32BE"/>
    <w:rsid w:val="00AB3BE9"/>
    <w:rsid w:val="00AB48F4"/>
    <w:rsid w:val="00AB7443"/>
    <w:rsid w:val="00AC670A"/>
    <w:rsid w:val="00AD31C4"/>
    <w:rsid w:val="00AD6ABE"/>
    <w:rsid w:val="00AE0EB7"/>
    <w:rsid w:val="00AE1894"/>
    <w:rsid w:val="00AE7D88"/>
    <w:rsid w:val="00AF1375"/>
    <w:rsid w:val="00AF5D7E"/>
    <w:rsid w:val="00AF74B2"/>
    <w:rsid w:val="00B00114"/>
    <w:rsid w:val="00B00FEF"/>
    <w:rsid w:val="00B016AD"/>
    <w:rsid w:val="00B02AC2"/>
    <w:rsid w:val="00B03903"/>
    <w:rsid w:val="00B108EA"/>
    <w:rsid w:val="00B15462"/>
    <w:rsid w:val="00B16C4A"/>
    <w:rsid w:val="00B20A60"/>
    <w:rsid w:val="00B20C7E"/>
    <w:rsid w:val="00B31313"/>
    <w:rsid w:val="00B33EDD"/>
    <w:rsid w:val="00B36074"/>
    <w:rsid w:val="00B41E18"/>
    <w:rsid w:val="00B44269"/>
    <w:rsid w:val="00B443C9"/>
    <w:rsid w:val="00B4448E"/>
    <w:rsid w:val="00B46226"/>
    <w:rsid w:val="00B51898"/>
    <w:rsid w:val="00B54098"/>
    <w:rsid w:val="00B5501D"/>
    <w:rsid w:val="00B61297"/>
    <w:rsid w:val="00B61809"/>
    <w:rsid w:val="00B67D86"/>
    <w:rsid w:val="00B70DDD"/>
    <w:rsid w:val="00B74C72"/>
    <w:rsid w:val="00B74EFF"/>
    <w:rsid w:val="00B7703F"/>
    <w:rsid w:val="00B864D6"/>
    <w:rsid w:val="00B95B1C"/>
    <w:rsid w:val="00B95EDA"/>
    <w:rsid w:val="00BA170F"/>
    <w:rsid w:val="00BA2E8B"/>
    <w:rsid w:val="00BB1426"/>
    <w:rsid w:val="00BB2C1F"/>
    <w:rsid w:val="00BC04B1"/>
    <w:rsid w:val="00BC38F7"/>
    <w:rsid w:val="00BC760A"/>
    <w:rsid w:val="00BD30B8"/>
    <w:rsid w:val="00BD39C3"/>
    <w:rsid w:val="00BD4461"/>
    <w:rsid w:val="00BD5162"/>
    <w:rsid w:val="00BD5425"/>
    <w:rsid w:val="00BD64A1"/>
    <w:rsid w:val="00BD6EC7"/>
    <w:rsid w:val="00BE0681"/>
    <w:rsid w:val="00BE376B"/>
    <w:rsid w:val="00BE514E"/>
    <w:rsid w:val="00BE5F09"/>
    <w:rsid w:val="00BE6FF3"/>
    <w:rsid w:val="00BE7072"/>
    <w:rsid w:val="00BF3E4E"/>
    <w:rsid w:val="00C00752"/>
    <w:rsid w:val="00C018B8"/>
    <w:rsid w:val="00C025B5"/>
    <w:rsid w:val="00C0311D"/>
    <w:rsid w:val="00C04183"/>
    <w:rsid w:val="00C053DD"/>
    <w:rsid w:val="00C06D71"/>
    <w:rsid w:val="00C10019"/>
    <w:rsid w:val="00C110E3"/>
    <w:rsid w:val="00C12934"/>
    <w:rsid w:val="00C1390A"/>
    <w:rsid w:val="00C168BA"/>
    <w:rsid w:val="00C21DBB"/>
    <w:rsid w:val="00C22D73"/>
    <w:rsid w:val="00C23CCA"/>
    <w:rsid w:val="00C26A0C"/>
    <w:rsid w:val="00C27093"/>
    <w:rsid w:val="00C3314F"/>
    <w:rsid w:val="00C33C0E"/>
    <w:rsid w:val="00C414B9"/>
    <w:rsid w:val="00C42C75"/>
    <w:rsid w:val="00C4326E"/>
    <w:rsid w:val="00C43647"/>
    <w:rsid w:val="00C4492B"/>
    <w:rsid w:val="00C52313"/>
    <w:rsid w:val="00C64F60"/>
    <w:rsid w:val="00C71888"/>
    <w:rsid w:val="00C71EC2"/>
    <w:rsid w:val="00C723EC"/>
    <w:rsid w:val="00C73861"/>
    <w:rsid w:val="00C8480E"/>
    <w:rsid w:val="00C85AC2"/>
    <w:rsid w:val="00C8761E"/>
    <w:rsid w:val="00C91EC0"/>
    <w:rsid w:val="00C97983"/>
    <w:rsid w:val="00CA4756"/>
    <w:rsid w:val="00CA6171"/>
    <w:rsid w:val="00CA7F4D"/>
    <w:rsid w:val="00CB3F70"/>
    <w:rsid w:val="00CC2512"/>
    <w:rsid w:val="00CC255F"/>
    <w:rsid w:val="00CC536C"/>
    <w:rsid w:val="00CC60D3"/>
    <w:rsid w:val="00CC6223"/>
    <w:rsid w:val="00CC7D7B"/>
    <w:rsid w:val="00CD087F"/>
    <w:rsid w:val="00CD164E"/>
    <w:rsid w:val="00CD3096"/>
    <w:rsid w:val="00CD3838"/>
    <w:rsid w:val="00CD764F"/>
    <w:rsid w:val="00CE038F"/>
    <w:rsid w:val="00CE0B11"/>
    <w:rsid w:val="00CE3ABE"/>
    <w:rsid w:val="00CE40DD"/>
    <w:rsid w:val="00CE4267"/>
    <w:rsid w:val="00CE4E00"/>
    <w:rsid w:val="00CE6626"/>
    <w:rsid w:val="00CF1D9C"/>
    <w:rsid w:val="00CF61CF"/>
    <w:rsid w:val="00CF655D"/>
    <w:rsid w:val="00D033B2"/>
    <w:rsid w:val="00D03638"/>
    <w:rsid w:val="00D05663"/>
    <w:rsid w:val="00D06979"/>
    <w:rsid w:val="00D07B9F"/>
    <w:rsid w:val="00D111A0"/>
    <w:rsid w:val="00D142F7"/>
    <w:rsid w:val="00D159D7"/>
    <w:rsid w:val="00D16E36"/>
    <w:rsid w:val="00D22BFC"/>
    <w:rsid w:val="00D2579C"/>
    <w:rsid w:val="00D27497"/>
    <w:rsid w:val="00D277D4"/>
    <w:rsid w:val="00D3265D"/>
    <w:rsid w:val="00D3279B"/>
    <w:rsid w:val="00D33BED"/>
    <w:rsid w:val="00D33C62"/>
    <w:rsid w:val="00D344CA"/>
    <w:rsid w:val="00D37A2D"/>
    <w:rsid w:val="00D45CE4"/>
    <w:rsid w:val="00D46FA8"/>
    <w:rsid w:val="00D511C0"/>
    <w:rsid w:val="00D531E0"/>
    <w:rsid w:val="00D569A6"/>
    <w:rsid w:val="00D6477D"/>
    <w:rsid w:val="00D67F39"/>
    <w:rsid w:val="00D7107F"/>
    <w:rsid w:val="00D7211A"/>
    <w:rsid w:val="00D77971"/>
    <w:rsid w:val="00D80EF9"/>
    <w:rsid w:val="00D8158F"/>
    <w:rsid w:val="00D820A0"/>
    <w:rsid w:val="00D8527E"/>
    <w:rsid w:val="00D86871"/>
    <w:rsid w:val="00D91CC1"/>
    <w:rsid w:val="00D94072"/>
    <w:rsid w:val="00D94E15"/>
    <w:rsid w:val="00D95314"/>
    <w:rsid w:val="00DA0A24"/>
    <w:rsid w:val="00DA0CF7"/>
    <w:rsid w:val="00DA2D19"/>
    <w:rsid w:val="00DA2D55"/>
    <w:rsid w:val="00DB4243"/>
    <w:rsid w:val="00DB7305"/>
    <w:rsid w:val="00DC0AF3"/>
    <w:rsid w:val="00DC2C34"/>
    <w:rsid w:val="00DC4B48"/>
    <w:rsid w:val="00DC6AF0"/>
    <w:rsid w:val="00DD04B7"/>
    <w:rsid w:val="00DD0CBF"/>
    <w:rsid w:val="00DD7336"/>
    <w:rsid w:val="00DE2BFA"/>
    <w:rsid w:val="00DE2E0F"/>
    <w:rsid w:val="00DE6AE8"/>
    <w:rsid w:val="00DE7AFA"/>
    <w:rsid w:val="00DE7C94"/>
    <w:rsid w:val="00DF26B3"/>
    <w:rsid w:val="00DF2CBB"/>
    <w:rsid w:val="00DF3950"/>
    <w:rsid w:val="00DF73FF"/>
    <w:rsid w:val="00E03CFF"/>
    <w:rsid w:val="00E04696"/>
    <w:rsid w:val="00E05933"/>
    <w:rsid w:val="00E0729C"/>
    <w:rsid w:val="00E13470"/>
    <w:rsid w:val="00E149B8"/>
    <w:rsid w:val="00E21286"/>
    <w:rsid w:val="00E2277D"/>
    <w:rsid w:val="00E2367E"/>
    <w:rsid w:val="00E26171"/>
    <w:rsid w:val="00E26E19"/>
    <w:rsid w:val="00E32B08"/>
    <w:rsid w:val="00E33D04"/>
    <w:rsid w:val="00E34619"/>
    <w:rsid w:val="00E4292D"/>
    <w:rsid w:val="00E42F7F"/>
    <w:rsid w:val="00E4569F"/>
    <w:rsid w:val="00E47C57"/>
    <w:rsid w:val="00E50436"/>
    <w:rsid w:val="00E52FCA"/>
    <w:rsid w:val="00E53984"/>
    <w:rsid w:val="00E549B2"/>
    <w:rsid w:val="00E559D2"/>
    <w:rsid w:val="00E572BD"/>
    <w:rsid w:val="00E65BD5"/>
    <w:rsid w:val="00E71D61"/>
    <w:rsid w:val="00E729D9"/>
    <w:rsid w:val="00E73158"/>
    <w:rsid w:val="00E746DC"/>
    <w:rsid w:val="00E80AAC"/>
    <w:rsid w:val="00E85CDE"/>
    <w:rsid w:val="00E872A3"/>
    <w:rsid w:val="00E930CA"/>
    <w:rsid w:val="00E93BE1"/>
    <w:rsid w:val="00E95192"/>
    <w:rsid w:val="00E97EB7"/>
    <w:rsid w:val="00EA19AD"/>
    <w:rsid w:val="00EA19E8"/>
    <w:rsid w:val="00EA3053"/>
    <w:rsid w:val="00EA3C19"/>
    <w:rsid w:val="00EB2D1E"/>
    <w:rsid w:val="00EB3535"/>
    <w:rsid w:val="00EB3F56"/>
    <w:rsid w:val="00EB6495"/>
    <w:rsid w:val="00EB6543"/>
    <w:rsid w:val="00EB77B3"/>
    <w:rsid w:val="00EB7EB1"/>
    <w:rsid w:val="00EC18E8"/>
    <w:rsid w:val="00EC3562"/>
    <w:rsid w:val="00EC4E40"/>
    <w:rsid w:val="00EC7FF9"/>
    <w:rsid w:val="00ED1984"/>
    <w:rsid w:val="00ED7079"/>
    <w:rsid w:val="00ED70B5"/>
    <w:rsid w:val="00EE3C67"/>
    <w:rsid w:val="00EE49E5"/>
    <w:rsid w:val="00EF0A7A"/>
    <w:rsid w:val="00EF430E"/>
    <w:rsid w:val="00EF69DA"/>
    <w:rsid w:val="00EF6E3A"/>
    <w:rsid w:val="00F0192B"/>
    <w:rsid w:val="00F01BB2"/>
    <w:rsid w:val="00F1151F"/>
    <w:rsid w:val="00F1197C"/>
    <w:rsid w:val="00F1329F"/>
    <w:rsid w:val="00F16EA0"/>
    <w:rsid w:val="00F2410A"/>
    <w:rsid w:val="00F24FF8"/>
    <w:rsid w:val="00F3001E"/>
    <w:rsid w:val="00F34661"/>
    <w:rsid w:val="00F35D2A"/>
    <w:rsid w:val="00F40C2F"/>
    <w:rsid w:val="00F41047"/>
    <w:rsid w:val="00F41556"/>
    <w:rsid w:val="00F433DE"/>
    <w:rsid w:val="00F43BF4"/>
    <w:rsid w:val="00F476A4"/>
    <w:rsid w:val="00F50F06"/>
    <w:rsid w:val="00F51E80"/>
    <w:rsid w:val="00F52D43"/>
    <w:rsid w:val="00F6082C"/>
    <w:rsid w:val="00F60B52"/>
    <w:rsid w:val="00F6597E"/>
    <w:rsid w:val="00F65D2F"/>
    <w:rsid w:val="00F75B34"/>
    <w:rsid w:val="00F76A2E"/>
    <w:rsid w:val="00F76B77"/>
    <w:rsid w:val="00F77482"/>
    <w:rsid w:val="00F8113A"/>
    <w:rsid w:val="00F84322"/>
    <w:rsid w:val="00F90E42"/>
    <w:rsid w:val="00F950C4"/>
    <w:rsid w:val="00F96E93"/>
    <w:rsid w:val="00FA5F87"/>
    <w:rsid w:val="00FB0D5E"/>
    <w:rsid w:val="00FB2316"/>
    <w:rsid w:val="00FB651E"/>
    <w:rsid w:val="00FB7F20"/>
    <w:rsid w:val="00FC211C"/>
    <w:rsid w:val="00FC246D"/>
    <w:rsid w:val="00FC2EC1"/>
    <w:rsid w:val="00FC7065"/>
    <w:rsid w:val="00FD20B2"/>
    <w:rsid w:val="00FD7CBB"/>
    <w:rsid w:val="00FE504B"/>
    <w:rsid w:val="00FF16EA"/>
    <w:rsid w:val="00FF215C"/>
    <w:rsid w:val="00FF2337"/>
    <w:rsid w:val="00FF3B3F"/>
    <w:rsid w:val="00FF4B5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363F7"/>
  <w15:docId w15:val="{B97311BF-F605-4BC7-A193-CCF12BC5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BA8"/>
    <w:rPr>
      <w:rFonts w:ascii="Times New Roman" w:eastAsia="Times New Roman" w:hAnsi="Times New Roman" w:cs="Times New Roman"/>
      <w:sz w:val="24"/>
      <w:szCs w:val="20"/>
    </w:rPr>
  </w:style>
  <w:style w:type="paragraph" w:styleId="Heading1">
    <w:name w:val="heading 1"/>
    <w:basedOn w:val="Normal"/>
    <w:next w:val="Normal"/>
    <w:link w:val="Heading1Char"/>
    <w:qFormat/>
    <w:rsid w:val="00622BA8"/>
    <w:pPr>
      <w:keepNext/>
      <w:numPr>
        <w:numId w:val="1"/>
      </w:numPr>
      <w:spacing w:before="1440" w:after="240"/>
      <w:jc w:val="center"/>
      <w:outlineLvl w:val="0"/>
    </w:pPr>
    <w:rPr>
      <w:rFonts w:cs="Arial"/>
      <w:b/>
      <w:bCs/>
      <w:caps/>
      <w:sz w:val="32"/>
      <w:szCs w:val="32"/>
    </w:rPr>
  </w:style>
  <w:style w:type="paragraph" w:styleId="Heading3">
    <w:name w:val="heading 3"/>
    <w:basedOn w:val="Normal"/>
    <w:next w:val="Normal"/>
    <w:link w:val="Heading3Char"/>
    <w:uiPriority w:val="9"/>
    <w:unhideWhenUsed/>
    <w:qFormat/>
    <w:rsid w:val="009E211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22BA8"/>
    <w:rPr>
      <w:rFonts w:ascii="Times New Roman" w:eastAsia="Times New Roman" w:hAnsi="Times New Roman" w:cs="Arial"/>
      <w:b/>
      <w:bCs/>
      <w:caps/>
      <w:sz w:val="32"/>
      <w:szCs w:val="32"/>
    </w:rPr>
  </w:style>
  <w:style w:type="character" w:customStyle="1" w:styleId="HeaderChar">
    <w:name w:val="Header Char"/>
    <w:basedOn w:val="DefaultParagraphFont"/>
    <w:link w:val="Header"/>
    <w:uiPriority w:val="99"/>
    <w:qFormat/>
    <w:rsid w:val="00622BA8"/>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622BA8"/>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qFormat/>
    <w:rsid w:val="006C212F"/>
    <w:rPr>
      <w:sz w:val="16"/>
      <w:szCs w:val="16"/>
    </w:rPr>
  </w:style>
  <w:style w:type="character" w:customStyle="1" w:styleId="CommentTextChar">
    <w:name w:val="Comment Text Char"/>
    <w:basedOn w:val="DefaultParagraphFont"/>
    <w:link w:val="CommentText"/>
    <w:uiPriority w:val="99"/>
    <w:qFormat/>
    <w:rsid w:val="006C212F"/>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6C212F"/>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6C212F"/>
    <w:rPr>
      <w:rFonts w:ascii="Tahoma" w:eastAsia="Times New Roman" w:hAnsi="Tahoma" w:cs="Tahoma"/>
      <w:sz w:val="16"/>
      <w:szCs w:val="16"/>
    </w:rPr>
  </w:style>
  <w:style w:type="character" w:customStyle="1" w:styleId="MainParanoChapterChar">
    <w:name w:val="Main Para no Chapter # Char"/>
    <w:basedOn w:val="DefaultParagraphFont"/>
    <w:link w:val="MainParanoChapter"/>
    <w:qFormat/>
    <w:locked/>
    <w:rsid w:val="0060606F"/>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920A97"/>
    <w:rPr>
      <w:color w:val="0000FF"/>
      <w:u w:val="single"/>
    </w:rPr>
  </w:style>
  <w:style w:type="character" w:styleId="Strong">
    <w:name w:val="Strong"/>
    <w:basedOn w:val="DefaultParagraphFont"/>
    <w:uiPriority w:val="22"/>
    <w:qFormat/>
    <w:rsid w:val="00920A97"/>
    <w:rPr>
      <w:b/>
      <w:bCs/>
    </w:rPr>
  </w:style>
  <w:style w:type="character" w:styleId="Emphasis">
    <w:name w:val="Emphasis"/>
    <w:basedOn w:val="DefaultParagraphFont"/>
    <w:uiPriority w:val="20"/>
    <w:qFormat/>
    <w:rsid w:val="00920A97"/>
    <w:rPr>
      <w:i/>
      <w:iCs/>
    </w:rPr>
  </w:style>
  <w:style w:type="character" w:customStyle="1" w:styleId="FootnoteTextChar">
    <w:name w:val="Footnote Text Char"/>
    <w:basedOn w:val="DefaultParagraphFont"/>
    <w:link w:val="FootnoteText"/>
    <w:qFormat/>
    <w:rsid w:val="000E5107"/>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qFormat/>
    <w:rsid w:val="000E5107"/>
    <w:rPr>
      <w:vertAlign w:val="superscript"/>
    </w:rPr>
  </w:style>
  <w:style w:type="character" w:customStyle="1" w:styleId="ListParagraphChar">
    <w:name w:val="List Paragraph Char"/>
    <w:link w:val="ListParagraph"/>
    <w:uiPriority w:val="34"/>
    <w:qFormat/>
    <w:locked/>
    <w:rsid w:val="00CC2289"/>
    <w:rPr>
      <w:rFonts w:ascii="Times New Roman" w:eastAsia="Times New Roman" w:hAnsi="Times New Roman" w:cs="Times New Roman"/>
      <w:sz w:val="24"/>
      <w:szCs w:val="20"/>
    </w:rPr>
  </w:style>
  <w:style w:type="character" w:customStyle="1" w:styleId="FontStyle19">
    <w:name w:val="Font Style19"/>
    <w:basedOn w:val="DefaultParagraphFont"/>
    <w:uiPriority w:val="99"/>
    <w:qFormat/>
    <w:rsid w:val="00DE5DC7"/>
    <w:rPr>
      <w:rFonts w:ascii="Arial" w:hAnsi="Arial" w:cs="Arial"/>
      <w:color w:val="000000"/>
      <w:sz w:val="20"/>
      <w:szCs w:val="20"/>
    </w:rPr>
  </w:style>
  <w:style w:type="character" w:customStyle="1" w:styleId="Heading3Char">
    <w:name w:val="Heading 3 Char"/>
    <w:basedOn w:val="DefaultParagraphFont"/>
    <w:link w:val="Heading3"/>
    <w:uiPriority w:val="9"/>
    <w:qFormat/>
    <w:rsid w:val="009E2113"/>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Arial" w:hAnsi="Arial" w:cs="Arial"/>
      <w:b/>
      <w:i w:val="0"/>
      <w:sz w:val="22"/>
      <w:szCs w:val="22"/>
    </w:rPr>
  </w:style>
  <w:style w:type="character" w:customStyle="1" w:styleId="ListLabel2">
    <w:name w:val="ListLabel 2"/>
    <w:qFormat/>
    <w:rPr>
      <w:b w:val="0"/>
      <w:bCs w:val="0"/>
    </w:rPr>
  </w:style>
  <w:style w:type="character" w:customStyle="1" w:styleId="ListLabel3">
    <w:name w:val="ListLabel 3"/>
    <w:qFormat/>
    <w:rPr>
      <w:b w:val="0"/>
      <w:bCs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eastAsia="Times New Roman" w:hAnsi="Arial" w:cs="Arial"/>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hAnsi="Arial"/>
      <w:b/>
      <w:sz w:val="22"/>
      <w:szCs w:val="22"/>
    </w:rPr>
  </w:style>
  <w:style w:type="character" w:customStyle="1" w:styleId="ListLabel18">
    <w:name w:val="ListLabel 18"/>
    <w:qFormat/>
    <w:rPr>
      <w:sz w:val="22"/>
      <w:szCs w:val="22"/>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rsid w:val="00622BA8"/>
    <w:pPr>
      <w:tabs>
        <w:tab w:val="center" w:pos="4320"/>
        <w:tab w:val="right" w:pos="8640"/>
      </w:tabs>
    </w:pPr>
  </w:style>
  <w:style w:type="paragraph" w:styleId="Footer">
    <w:name w:val="footer"/>
    <w:basedOn w:val="Normal"/>
    <w:link w:val="FooterChar"/>
    <w:uiPriority w:val="99"/>
    <w:rsid w:val="00622BA8"/>
    <w:pPr>
      <w:tabs>
        <w:tab w:val="center" w:pos="4320"/>
        <w:tab w:val="right" w:pos="8640"/>
      </w:tabs>
    </w:pPr>
  </w:style>
  <w:style w:type="paragraph" w:customStyle="1" w:styleId="MainParawithChapter">
    <w:name w:val="Main Para with Chapter#"/>
    <w:basedOn w:val="Normal"/>
    <w:qFormat/>
    <w:rsid w:val="00622BA8"/>
    <w:pPr>
      <w:spacing w:after="240"/>
      <w:outlineLvl w:val="1"/>
    </w:pPr>
    <w:rPr>
      <w:szCs w:val="24"/>
    </w:rPr>
  </w:style>
  <w:style w:type="paragraph" w:customStyle="1" w:styleId="Sub-Para1underXY">
    <w:name w:val="Sub-Para 1 under X.Y"/>
    <w:basedOn w:val="Normal"/>
    <w:qFormat/>
    <w:rsid w:val="00622BA8"/>
    <w:pPr>
      <w:spacing w:after="240"/>
      <w:outlineLvl w:val="2"/>
    </w:pPr>
    <w:rPr>
      <w:szCs w:val="24"/>
    </w:rPr>
  </w:style>
  <w:style w:type="paragraph" w:customStyle="1" w:styleId="Sub-Para2underXY">
    <w:name w:val="Sub-Para 2 under X.Y"/>
    <w:basedOn w:val="Normal"/>
    <w:qFormat/>
    <w:rsid w:val="00622BA8"/>
    <w:pPr>
      <w:spacing w:after="240"/>
      <w:outlineLvl w:val="3"/>
    </w:pPr>
    <w:rPr>
      <w:szCs w:val="24"/>
    </w:rPr>
  </w:style>
  <w:style w:type="paragraph" w:customStyle="1" w:styleId="Sub-Para3underXY">
    <w:name w:val="Sub-Para 3 under X.Y"/>
    <w:basedOn w:val="Normal"/>
    <w:qFormat/>
    <w:rsid w:val="00622BA8"/>
    <w:pPr>
      <w:spacing w:after="240"/>
      <w:outlineLvl w:val="4"/>
    </w:pPr>
    <w:rPr>
      <w:szCs w:val="24"/>
    </w:rPr>
  </w:style>
  <w:style w:type="paragraph" w:customStyle="1" w:styleId="Sub-Para4underXY">
    <w:name w:val="Sub-Para 4 under X.Y"/>
    <w:basedOn w:val="Normal"/>
    <w:qFormat/>
    <w:rsid w:val="00622BA8"/>
    <w:pPr>
      <w:spacing w:after="240"/>
      <w:outlineLvl w:val="5"/>
    </w:pPr>
    <w:rPr>
      <w:szCs w:val="24"/>
    </w:rPr>
  </w:style>
  <w:style w:type="paragraph" w:styleId="CommentText">
    <w:name w:val="annotation text"/>
    <w:basedOn w:val="Normal"/>
    <w:link w:val="CommentTextChar"/>
    <w:uiPriority w:val="99"/>
    <w:unhideWhenUsed/>
    <w:qFormat/>
    <w:rsid w:val="006C212F"/>
    <w:rPr>
      <w:sz w:val="20"/>
    </w:rPr>
  </w:style>
  <w:style w:type="paragraph" w:styleId="CommentSubject">
    <w:name w:val="annotation subject"/>
    <w:basedOn w:val="CommentText"/>
    <w:link w:val="CommentSubjectChar"/>
    <w:uiPriority w:val="99"/>
    <w:semiHidden/>
    <w:unhideWhenUsed/>
    <w:qFormat/>
    <w:rsid w:val="006C212F"/>
    <w:rPr>
      <w:b/>
      <w:bCs/>
    </w:rPr>
  </w:style>
  <w:style w:type="paragraph" w:styleId="BalloonText">
    <w:name w:val="Balloon Text"/>
    <w:basedOn w:val="Normal"/>
    <w:link w:val="BalloonTextChar"/>
    <w:uiPriority w:val="99"/>
    <w:semiHidden/>
    <w:unhideWhenUsed/>
    <w:qFormat/>
    <w:rsid w:val="006C212F"/>
    <w:rPr>
      <w:rFonts w:ascii="Tahoma" w:hAnsi="Tahoma" w:cs="Tahoma"/>
      <w:sz w:val="16"/>
      <w:szCs w:val="16"/>
    </w:rPr>
  </w:style>
  <w:style w:type="paragraph" w:styleId="ListParagraph">
    <w:name w:val="List Paragraph"/>
    <w:basedOn w:val="Normal"/>
    <w:link w:val="ListParagraphChar"/>
    <w:uiPriority w:val="34"/>
    <w:qFormat/>
    <w:rsid w:val="009C41A6"/>
    <w:pPr>
      <w:ind w:left="720"/>
      <w:contextualSpacing/>
    </w:pPr>
  </w:style>
  <w:style w:type="paragraph" w:customStyle="1" w:styleId="Heading1a">
    <w:name w:val="Heading 1a"/>
    <w:basedOn w:val="Normal"/>
    <w:next w:val="Normal"/>
    <w:qFormat/>
    <w:rsid w:val="0060606F"/>
    <w:pPr>
      <w:keepNext/>
      <w:keepLines/>
      <w:spacing w:before="1440" w:after="240"/>
      <w:jc w:val="center"/>
      <w:outlineLvl w:val="0"/>
    </w:pPr>
    <w:rPr>
      <w:b/>
      <w:bCs/>
      <w:caps/>
      <w:sz w:val="32"/>
      <w:szCs w:val="32"/>
    </w:rPr>
  </w:style>
  <w:style w:type="paragraph" w:customStyle="1" w:styleId="MainParanoChapter">
    <w:name w:val="Main Para no Chapter #"/>
    <w:basedOn w:val="Normal"/>
    <w:link w:val="MainParanoChapterChar"/>
    <w:qFormat/>
    <w:rsid w:val="0060606F"/>
    <w:pPr>
      <w:spacing w:after="240"/>
      <w:outlineLvl w:val="1"/>
    </w:pPr>
    <w:rPr>
      <w:szCs w:val="24"/>
    </w:rPr>
  </w:style>
  <w:style w:type="paragraph" w:customStyle="1" w:styleId="Sub-Para1underX">
    <w:name w:val="Sub-Para 1 under X."/>
    <w:basedOn w:val="Normal"/>
    <w:qFormat/>
    <w:rsid w:val="0060606F"/>
    <w:pPr>
      <w:spacing w:after="240"/>
      <w:outlineLvl w:val="2"/>
    </w:pPr>
    <w:rPr>
      <w:szCs w:val="24"/>
    </w:rPr>
  </w:style>
  <w:style w:type="paragraph" w:customStyle="1" w:styleId="Sub-Para2underX">
    <w:name w:val="Sub-Para 2 under X."/>
    <w:basedOn w:val="Normal"/>
    <w:qFormat/>
    <w:rsid w:val="0060606F"/>
    <w:pPr>
      <w:spacing w:after="240"/>
      <w:outlineLvl w:val="3"/>
    </w:pPr>
    <w:rPr>
      <w:szCs w:val="24"/>
    </w:rPr>
  </w:style>
  <w:style w:type="paragraph" w:customStyle="1" w:styleId="Sub-Para3underX">
    <w:name w:val="Sub-Para 3 under X."/>
    <w:basedOn w:val="Normal"/>
    <w:qFormat/>
    <w:rsid w:val="0060606F"/>
    <w:pPr>
      <w:spacing w:after="240"/>
      <w:outlineLvl w:val="4"/>
    </w:pPr>
    <w:rPr>
      <w:szCs w:val="24"/>
    </w:rPr>
  </w:style>
  <w:style w:type="paragraph" w:customStyle="1" w:styleId="Sub-Para4underX">
    <w:name w:val="Sub-Para 4 under X."/>
    <w:basedOn w:val="Normal"/>
    <w:qFormat/>
    <w:rsid w:val="0060606F"/>
    <w:pPr>
      <w:spacing w:after="240"/>
      <w:outlineLvl w:val="5"/>
    </w:pPr>
    <w:rPr>
      <w:szCs w:val="24"/>
    </w:rPr>
  </w:style>
  <w:style w:type="paragraph" w:customStyle="1" w:styleId="Default">
    <w:name w:val="Default"/>
    <w:qFormat/>
    <w:rsid w:val="000E5107"/>
    <w:rPr>
      <w:rFonts w:ascii="Times New Roman" w:eastAsiaTheme="minorEastAsia" w:hAnsi="Times New Roman" w:cs="Times New Roman"/>
      <w:color w:val="000000"/>
      <w:sz w:val="24"/>
      <w:szCs w:val="24"/>
    </w:rPr>
  </w:style>
  <w:style w:type="paragraph" w:styleId="FootnoteText">
    <w:name w:val="footnote text"/>
    <w:basedOn w:val="Normal"/>
    <w:link w:val="FootnoteTextChar"/>
  </w:style>
  <w:style w:type="paragraph" w:styleId="NormalWeb">
    <w:name w:val="Normal (Web)"/>
    <w:basedOn w:val="Normal"/>
    <w:uiPriority w:val="99"/>
    <w:unhideWhenUsed/>
    <w:qFormat/>
    <w:rsid w:val="00C45A5B"/>
    <w:pPr>
      <w:spacing w:beforeAutospacing="1" w:afterAutospacing="1"/>
    </w:pPr>
    <w:rPr>
      <w:szCs w:val="24"/>
    </w:rPr>
  </w:style>
  <w:style w:type="paragraph" w:styleId="Revision">
    <w:name w:val="Revision"/>
    <w:uiPriority w:val="99"/>
    <w:semiHidden/>
    <w:qFormat/>
    <w:rsid w:val="003D45FB"/>
    <w:rPr>
      <w:rFonts w:ascii="Times New Roman" w:eastAsia="Times New Roman" w:hAnsi="Times New Roman" w:cs="Times New Roman"/>
      <w:sz w:val="24"/>
      <w:szCs w:val="20"/>
    </w:rPr>
  </w:style>
  <w:style w:type="paragraph" w:customStyle="1" w:styleId="Bullet">
    <w:name w:val="Bullet"/>
    <w:uiPriority w:val="99"/>
    <w:qFormat/>
    <w:rsid w:val="001C73BB"/>
    <w:rPr>
      <w:rFonts w:ascii="Times New Roman" w:eastAsia="Times New Roman" w:hAnsi="Times New Roman" w:cs="Times New Roman"/>
      <w:szCs w:val="20"/>
    </w:rPr>
  </w:style>
  <w:style w:type="paragraph" w:styleId="NoSpacing">
    <w:name w:val="No Spacing"/>
    <w:uiPriority w:val="1"/>
    <w:qFormat/>
    <w:rsid w:val="000C39C1"/>
    <w:rPr>
      <w:sz w:val="24"/>
      <w:lang w:val="fr-FR"/>
    </w:rPr>
  </w:style>
  <w:style w:type="character" w:customStyle="1" w:styleId="st1">
    <w:name w:val="st1"/>
    <w:basedOn w:val="DefaultParagraphFont"/>
    <w:rsid w:val="00F16EA0"/>
  </w:style>
  <w:style w:type="character" w:styleId="Hyperlink">
    <w:name w:val="Hyperlink"/>
    <w:basedOn w:val="DefaultParagraphFont"/>
    <w:uiPriority w:val="99"/>
    <w:unhideWhenUsed/>
    <w:rsid w:val="006753AA"/>
    <w:rPr>
      <w:color w:val="0000FF"/>
      <w:u w:val="single"/>
    </w:rPr>
  </w:style>
  <w:style w:type="table" w:styleId="TableGrid">
    <w:name w:val="Table Grid"/>
    <w:basedOn w:val="TableNormal"/>
    <w:uiPriority w:val="39"/>
    <w:rsid w:val="000A00EC"/>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DefaultParagraphFont"/>
    <w:rsid w:val="00557F42"/>
    <w:rPr>
      <w:sz w:val="24"/>
      <w:szCs w:val="24"/>
      <w:bdr w:val="none" w:sz="0" w:space="0" w:color="auto" w:frame="1"/>
      <w:shd w:val="clear" w:color="auto" w:fill="auto"/>
    </w:rPr>
  </w:style>
  <w:style w:type="character" w:customStyle="1" w:styleId="Mention1">
    <w:name w:val="Mention1"/>
    <w:basedOn w:val="DefaultParagraphFont"/>
    <w:uiPriority w:val="99"/>
    <w:semiHidden/>
    <w:unhideWhenUsed/>
    <w:rsid w:val="000E586D"/>
    <w:rPr>
      <w:color w:val="2B579A"/>
      <w:shd w:val="clear" w:color="auto" w:fill="E6E6E6"/>
    </w:rPr>
  </w:style>
  <w:style w:type="character" w:styleId="Mention">
    <w:name w:val="Mention"/>
    <w:basedOn w:val="DefaultParagraphFont"/>
    <w:uiPriority w:val="99"/>
    <w:semiHidden/>
    <w:unhideWhenUsed/>
    <w:rsid w:val="00F8113A"/>
    <w:rPr>
      <w:color w:val="2B579A"/>
      <w:shd w:val="clear" w:color="auto" w:fill="E6E6E6"/>
    </w:rPr>
  </w:style>
  <w:style w:type="paragraph" w:customStyle="1" w:styleId="ColorfulList-Accent11">
    <w:name w:val="Colorful List - Accent 11"/>
    <w:basedOn w:val="Normal"/>
    <w:uiPriority w:val="34"/>
    <w:qFormat/>
    <w:rsid w:val="002E539C"/>
    <w:pPr>
      <w:spacing w:after="200" w:line="276" w:lineRule="auto"/>
      <w:ind w:left="720"/>
      <w:contextualSpacing/>
    </w:pPr>
    <w:rPr>
      <w:rFonts w:ascii="Calibri" w:eastAsia="Calibri" w:hAnsi="Calibri"/>
      <w:sz w:val="22"/>
      <w:szCs w:val="22"/>
    </w:rPr>
  </w:style>
  <w:style w:type="character" w:customStyle="1" w:styleId="size">
    <w:name w:val="size"/>
    <w:basedOn w:val="DefaultParagraphFont"/>
    <w:rsid w:val="0004031F"/>
  </w:style>
  <w:style w:type="character" w:styleId="FollowedHyperlink">
    <w:name w:val="FollowedHyperlink"/>
    <w:basedOn w:val="DefaultParagraphFont"/>
    <w:uiPriority w:val="99"/>
    <w:semiHidden/>
    <w:unhideWhenUsed/>
    <w:rsid w:val="00003AC4"/>
    <w:rPr>
      <w:color w:val="800080" w:themeColor="followedHyperlink"/>
      <w:u w:val="single"/>
    </w:rPr>
  </w:style>
  <w:style w:type="paragraph" w:customStyle="1" w:styleId="Body">
    <w:name w:val="Body"/>
    <w:rsid w:val="008A2B89"/>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eastAsia="zh-CN"/>
    </w:rPr>
  </w:style>
  <w:style w:type="paragraph" w:customStyle="1" w:styleId="RegHead1">
    <w:name w:val="RegHead1"/>
    <w:basedOn w:val="Normal"/>
    <w:next w:val="RegHead2"/>
    <w:rsid w:val="00030E72"/>
    <w:pPr>
      <w:keepNext/>
      <w:numPr>
        <w:numId w:val="24"/>
      </w:numPr>
      <w:spacing w:before="180"/>
      <w:ind w:left="9"/>
      <w:jc w:val="center"/>
    </w:pPr>
    <w:rPr>
      <w:b/>
      <w:sz w:val="28"/>
      <w:lang w:val="en-GB"/>
    </w:rPr>
  </w:style>
  <w:style w:type="paragraph" w:customStyle="1" w:styleId="RegHead2">
    <w:name w:val="RegHead2"/>
    <w:basedOn w:val="Normal"/>
    <w:next w:val="RegHead3"/>
    <w:rsid w:val="00030E72"/>
    <w:pPr>
      <w:keepNext/>
      <w:numPr>
        <w:ilvl w:val="1"/>
        <w:numId w:val="24"/>
      </w:numPr>
      <w:spacing w:before="180"/>
      <w:jc w:val="center"/>
    </w:pPr>
    <w:rPr>
      <w:b/>
      <w:sz w:val="22"/>
      <w:lang w:val="en-GB"/>
    </w:rPr>
  </w:style>
  <w:style w:type="paragraph" w:customStyle="1" w:styleId="RegHead3">
    <w:name w:val="RegHead3"/>
    <w:basedOn w:val="Normal"/>
    <w:next w:val="RegPara"/>
    <w:rsid w:val="00030E72"/>
    <w:pPr>
      <w:numPr>
        <w:ilvl w:val="2"/>
        <w:numId w:val="24"/>
      </w:numPr>
      <w:spacing w:before="180"/>
      <w:jc w:val="center"/>
    </w:pPr>
    <w:rPr>
      <w:sz w:val="22"/>
      <w:u w:val="single"/>
      <w:lang w:val="en-GB"/>
    </w:rPr>
  </w:style>
  <w:style w:type="paragraph" w:customStyle="1" w:styleId="RegPara">
    <w:name w:val="RegPara"/>
    <w:basedOn w:val="Normal"/>
    <w:rsid w:val="00030E72"/>
    <w:pPr>
      <w:numPr>
        <w:ilvl w:val="3"/>
        <w:numId w:val="24"/>
      </w:numPr>
      <w:spacing w:before="180"/>
    </w:pPr>
    <w:rPr>
      <w:sz w:val="22"/>
      <w:lang w:val="en-GB" w:eastAsia="de-DE"/>
    </w:rPr>
  </w:style>
  <w:style w:type="character" w:styleId="UnresolvedMention">
    <w:name w:val="Unresolved Mention"/>
    <w:basedOn w:val="DefaultParagraphFont"/>
    <w:uiPriority w:val="99"/>
    <w:semiHidden/>
    <w:unhideWhenUsed/>
    <w:rsid w:val="00C06D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918">
      <w:bodyDiv w:val="1"/>
      <w:marLeft w:val="0"/>
      <w:marRight w:val="0"/>
      <w:marTop w:val="0"/>
      <w:marBottom w:val="0"/>
      <w:divBdr>
        <w:top w:val="none" w:sz="0" w:space="0" w:color="auto"/>
        <w:left w:val="none" w:sz="0" w:space="0" w:color="auto"/>
        <w:bottom w:val="none" w:sz="0" w:space="0" w:color="auto"/>
        <w:right w:val="none" w:sz="0" w:space="0" w:color="auto"/>
      </w:divBdr>
    </w:div>
    <w:div w:id="113257286">
      <w:bodyDiv w:val="1"/>
      <w:marLeft w:val="0"/>
      <w:marRight w:val="0"/>
      <w:marTop w:val="0"/>
      <w:marBottom w:val="0"/>
      <w:divBdr>
        <w:top w:val="none" w:sz="0" w:space="0" w:color="auto"/>
        <w:left w:val="none" w:sz="0" w:space="0" w:color="auto"/>
        <w:bottom w:val="none" w:sz="0" w:space="0" w:color="auto"/>
        <w:right w:val="none" w:sz="0" w:space="0" w:color="auto"/>
      </w:divBdr>
    </w:div>
    <w:div w:id="400178390">
      <w:bodyDiv w:val="1"/>
      <w:marLeft w:val="0"/>
      <w:marRight w:val="0"/>
      <w:marTop w:val="0"/>
      <w:marBottom w:val="0"/>
      <w:divBdr>
        <w:top w:val="none" w:sz="0" w:space="0" w:color="auto"/>
        <w:left w:val="none" w:sz="0" w:space="0" w:color="auto"/>
        <w:bottom w:val="none" w:sz="0" w:space="0" w:color="auto"/>
        <w:right w:val="none" w:sz="0" w:space="0" w:color="auto"/>
      </w:divBdr>
    </w:div>
    <w:div w:id="633754126">
      <w:bodyDiv w:val="1"/>
      <w:marLeft w:val="0"/>
      <w:marRight w:val="0"/>
      <w:marTop w:val="0"/>
      <w:marBottom w:val="0"/>
      <w:divBdr>
        <w:top w:val="none" w:sz="0" w:space="0" w:color="auto"/>
        <w:left w:val="none" w:sz="0" w:space="0" w:color="auto"/>
        <w:bottom w:val="none" w:sz="0" w:space="0" w:color="auto"/>
        <w:right w:val="none" w:sz="0" w:space="0" w:color="auto"/>
      </w:divBdr>
      <w:divsChild>
        <w:div w:id="316108859">
          <w:marLeft w:val="0"/>
          <w:marRight w:val="0"/>
          <w:marTop w:val="0"/>
          <w:marBottom w:val="0"/>
          <w:divBdr>
            <w:top w:val="none" w:sz="0" w:space="0" w:color="auto"/>
            <w:left w:val="none" w:sz="0" w:space="0" w:color="auto"/>
            <w:bottom w:val="none" w:sz="0" w:space="0" w:color="auto"/>
            <w:right w:val="none" w:sz="0" w:space="0" w:color="auto"/>
          </w:divBdr>
          <w:divsChild>
            <w:div w:id="848519325">
              <w:marLeft w:val="0"/>
              <w:marRight w:val="0"/>
              <w:marTop w:val="0"/>
              <w:marBottom w:val="0"/>
              <w:divBdr>
                <w:top w:val="none" w:sz="0" w:space="0" w:color="auto"/>
                <w:left w:val="none" w:sz="0" w:space="0" w:color="auto"/>
                <w:bottom w:val="none" w:sz="0" w:space="0" w:color="auto"/>
                <w:right w:val="none" w:sz="0" w:space="0" w:color="auto"/>
              </w:divBdr>
              <w:divsChild>
                <w:div w:id="1203903651">
                  <w:marLeft w:val="0"/>
                  <w:marRight w:val="0"/>
                  <w:marTop w:val="750"/>
                  <w:marBottom w:val="750"/>
                  <w:divBdr>
                    <w:top w:val="none" w:sz="0" w:space="0" w:color="auto"/>
                    <w:left w:val="none" w:sz="0" w:space="0" w:color="auto"/>
                    <w:bottom w:val="none" w:sz="0" w:space="0" w:color="auto"/>
                    <w:right w:val="none" w:sz="0" w:space="0" w:color="auto"/>
                  </w:divBdr>
                  <w:divsChild>
                    <w:div w:id="413474663">
                      <w:marLeft w:val="0"/>
                      <w:marRight w:val="0"/>
                      <w:marTop w:val="0"/>
                      <w:marBottom w:val="0"/>
                      <w:divBdr>
                        <w:top w:val="none" w:sz="0" w:space="0" w:color="auto"/>
                        <w:left w:val="none" w:sz="0" w:space="0" w:color="auto"/>
                        <w:bottom w:val="none" w:sz="0" w:space="0" w:color="auto"/>
                        <w:right w:val="none" w:sz="0" w:space="0" w:color="auto"/>
                      </w:divBdr>
                      <w:divsChild>
                        <w:div w:id="18161593">
                          <w:marLeft w:val="0"/>
                          <w:marRight w:val="0"/>
                          <w:marTop w:val="0"/>
                          <w:marBottom w:val="0"/>
                          <w:divBdr>
                            <w:top w:val="none" w:sz="0" w:space="0" w:color="auto"/>
                            <w:left w:val="none" w:sz="0" w:space="0" w:color="auto"/>
                            <w:bottom w:val="none" w:sz="0" w:space="0" w:color="auto"/>
                            <w:right w:val="none" w:sz="0" w:space="0" w:color="auto"/>
                          </w:divBdr>
                          <w:divsChild>
                            <w:div w:id="219824863">
                              <w:marLeft w:val="0"/>
                              <w:marRight w:val="0"/>
                              <w:marTop w:val="0"/>
                              <w:marBottom w:val="0"/>
                              <w:divBdr>
                                <w:top w:val="none" w:sz="0" w:space="0" w:color="auto"/>
                                <w:left w:val="none" w:sz="0" w:space="0" w:color="auto"/>
                                <w:bottom w:val="none" w:sz="0" w:space="0" w:color="auto"/>
                                <w:right w:val="none" w:sz="0" w:space="0" w:color="auto"/>
                              </w:divBdr>
                              <w:divsChild>
                                <w:div w:id="9517396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27904">
      <w:bodyDiv w:val="1"/>
      <w:marLeft w:val="0"/>
      <w:marRight w:val="0"/>
      <w:marTop w:val="0"/>
      <w:marBottom w:val="0"/>
      <w:divBdr>
        <w:top w:val="none" w:sz="0" w:space="0" w:color="auto"/>
        <w:left w:val="none" w:sz="0" w:space="0" w:color="auto"/>
        <w:bottom w:val="none" w:sz="0" w:space="0" w:color="auto"/>
        <w:right w:val="none" w:sz="0" w:space="0" w:color="auto"/>
      </w:divBdr>
    </w:div>
    <w:div w:id="1072003519">
      <w:bodyDiv w:val="1"/>
      <w:marLeft w:val="0"/>
      <w:marRight w:val="0"/>
      <w:marTop w:val="0"/>
      <w:marBottom w:val="0"/>
      <w:divBdr>
        <w:top w:val="none" w:sz="0" w:space="0" w:color="auto"/>
        <w:left w:val="none" w:sz="0" w:space="0" w:color="auto"/>
        <w:bottom w:val="none" w:sz="0" w:space="0" w:color="auto"/>
        <w:right w:val="none" w:sz="0" w:space="0" w:color="auto"/>
      </w:divBdr>
      <w:divsChild>
        <w:div w:id="1728724317">
          <w:marLeft w:val="0"/>
          <w:marRight w:val="0"/>
          <w:marTop w:val="0"/>
          <w:marBottom w:val="0"/>
          <w:divBdr>
            <w:top w:val="none" w:sz="0" w:space="0" w:color="auto"/>
            <w:left w:val="none" w:sz="0" w:space="0" w:color="auto"/>
            <w:bottom w:val="none" w:sz="0" w:space="0" w:color="auto"/>
            <w:right w:val="none" w:sz="0" w:space="0" w:color="auto"/>
          </w:divBdr>
          <w:divsChild>
            <w:div w:id="129251231">
              <w:marLeft w:val="0"/>
              <w:marRight w:val="0"/>
              <w:marTop w:val="0"/>
              <w:marBottom w:val="0"/>
              <w:divBdr>
                <w:top w:val="none" w:sz="0" w:space="0" w:color="auto"/>
                <w:left w:val="none" w:sz="0" w:space="0" w:color="auto"/>
                <w:bottom w:val="none" w:sz="0" w:space="0" w:color="auto"/>
                <w:right w:val="none" w:sz="0" w:space="0" w:color="auto"/>
              </w:divBdr>
              <w:divsChild>
                <w:div w:id="1667516838">
                  <w:marLeft w:val="0"/>
                  <w:marRight w:val="0"/>
                  <w:marTop w:val="750"/>
                  <w:marBottom w:val="750"/>
                  <w:divBdr>
                    <w:top w:val="none" w:sz="0" w:space="0" w:color="auto"/>
                    <w:left w:val="none" w:sz="0" w:space="0" w:color="auto"/>
                    <w:bottom w:val="none" w:sz="0" w:space="0" w:color="auto"/>
                    <w:right w:val="none" w:sz="0" w:space="0" w:color="auto"/>
                  </w:divBdr>
                  <w:divsChild>
                    <w:div w:id="1570264506">
                      <w:marLeft w:val="0"/>
                      <w:marRight w:val="0"/>
                      <w:marTop w:val="0"/>
                      <w:marBottom w:val="0"/>
                      <w:divBdr>
                        <w:top w:val="none" w:sz="0" w:space="0" w:color="auto"/>
                        <w:left w:val="none" w:sz="0" w:space="0" w:color="auto"/>
                        <w:bottom w:val="none" w:sz="0" w:space="0" w:color="auto"/>
                        <w:right w:val="none" w:sz="0" w:space="0" w:color="auto"/>
                      </w:divBdr>
                      <w:divsChild>
                        <w:div w:id="1836339051">
                          <w:marLeft w:val="0"/>
                          <w:marRight w:val="0"/>
                          <w:marTop w:val="0"/>
                          <w:marBottom w:val="0"/>
                          <w:divBdr>
                            <w:top w:val="none" w:sz="0" w:space="0" w:color="auto"/>
                            <w:left w:val="none" w:sz="0" w:space="0" w:color="auto"/>
                            <w:bottom w:val="none" w:sz="0" w:space="0" w:color="auto"/>
                            <w:right w:val="none" w:sz="0" w:space="0" w:color="auto"/>
                          </w:divBdr>
                          <w:divsChild>
                            <w:div w:id="436221358">
                              <w:marLeft w:val="0"/>
                              <w:marRight w:val="0"/>
                              <w:marTop w:val="0"/>
                              <w:marBottom w:val="0"/>
                              <w:divBdr>
                                <w:top w:val="none" w:sz="0" w:space="0" w:color="auto"/>
                                <w:left w:val="none" w:sz="0" w:space="0" w:color="auto"/>
                                <w:bottom w:val="none" w:sz="0" w:space="0" w:color="auto"/>
                                <w:right w:val="none" w:sz="0" w:space="0" w:color="auto"/>
                              </w:divBdr>
                              <w:divsChild>
                                <w:div w:id="444622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803989">
      <w:bodyDiv w:val="1"/>
      <w:marLeft w:val="0"/>
      <w:marRight w:val="0"/>
      <w:marTop w:val="0"/>
      <w:marBottom w:val="0"/>
      <w:divBdr>
        <w:top w:val="none" w:sz="0" w:space="0" w:color="auto"/>
        <w:left w:val="none" w:sz="0" w:space="0" w:color="auto"/>
        <w:bottom w:val="none" w:sz="0" w:space="0" w:color="auto"/>
        <w:right w:val="none" w:sz="0" w:space="0" w:color="auto"/>
      </w:divBdr>
    </w:div>
    <w:div w:id="1396781542">
      <w:bodyDiv w:val="1"/>
      <w:marLeft w:val="0"/>
      <w:marRight w:val="0"/>
      <w:marTop w:val="0"/>
      <w:marBottom w:val="0"/>
      <w:divBdr>
        <w:top w:val="none" w:sz="0" w:space="0" w:color="auto"/>
        <w:left w:val="none" w:sz="0" w:space="0" w:color="auto"/>
        <w:bottom w:val="none" w:sz="0" w:space="0" w:color="auto"/>
        <w:right w:val="none" w:sz="0" w:space="0" w:color="auto"/>
      </w:divBdr>
      <w:divsChild>
        <w:div w:id="762991961">
          <w:marLeft w:val="0"/>
          <w:marRight w:val="0"/>
          <w:marTop w:val="0"/>
          <w:marBottom w:val="0"/>
          <w:divBdr>
            <w:top w:val="none" w:sz="0" w:space="0" w:color="auto"/>
            <w:left w:val="none" w:sz="0" w:space="0" w:color="auto"/>
            <w:bottom w:val="none" w:sz="0" w:space="0" w:color="auto"/>
            <w:right w:val="none" w:sz="0" w:space="0" w:color="auto"/>
          </w:divBdr>
          <w:divsChild>
            <w:div w:id="1442871873">
              <w:marLeft w:val="0"/>
              <w:marRight w:val="0"/>
              <w:marTop w:val="0"/>
              <w:marBottom w:val="0"/>
              <w:divBdr>
                <w:top w:val="none" w:sz="0" w:space="0" w:color="auto"/>
                <w:left w:val="none" w:sz="0" w:space="0" w:color="auto"/>
                <w:bottom w:val="none" w:sz="0" w:space="0" w:color="auto"/>
                <w:right w:val="none" w:sz="0" w:space="0" w:color="auto"/>
              </w:divBdr>
              <w:divsChild>
                <w:div w:id="957565329">
                  <w:marLeft w:val="0"/>
                  <w:marRight w:val="0"/>
                  <w:marTop w:val="750"/>
                  <w:marBottom w:val="750"/>
                  <w:divBdr>
                    <w:top w:val="none" w:sz="0" w:space="0" w:color="auto"/>
                    <w:left w:val="none" w:sz="0" w:space="0" w:color="auto"/>
                    <w:bottom w:val="none" w:sz="0" w:space="0" w:color="auto"/>
                    <w:right w:val="none" w:sz="0" w:space="0" w:color="auto"/>
                  </w:divBdr>
                  <w:divsChild>
                    <w:div w:id="731579247">
                      <w:marLeft w:val="0"/>
                      <w:marRight w:val="0"/>
                      <w:marTop w:val="0"/>
                      <w:marBottom w:val="0"/>
                      <w:divBdr>
                        <w:top w:val="none" w:sz="0" w:space="0" w:color="auto"/>
                        <w:left w:val="none" w:sz="0" w:space="0" w:color="auto"/>
                        <w:bottom w:val="none" w:sz="0" w:space="0" w:color="auto"/>
                        <w:right w:val="none" w:sz="0" w:space="0" w:color="auto"/>
                      </w:divBdr>
                      <w:divsChild>
                        <w:div w:id="1580795989">
                          <w:marLeft w:val="0"/>
                          <w:marRight w:val="0"/>
                          <w:marTop w:val="0"/>
                          <w:marBottom w:val="0"/>
                          <w:divBdr>
                            <w:top w:val="none" w:sz="0" w:space="0" w:color="auto"/>
                            <w:left w:val="none" w:sz="0" w:space="0" w:color="auto"/>
                            <w:bottom w:val="none" w:sz="0" w:space="0" w:color="auto"/>
                            <w:right w:val="none" w:sz="0" w:space="0" w:color="auto"/>
                          </w:divBdr>
                          <w:divsChild>
                            <w:div w:id="1057973628">
                              <w:marLeft w:val="0"/>
                              <w:marRight w:val="0"/>
                              <w:marTop w:val="0"/>
                              <w:marBottom w:val="0"/>
                              <w:divBdr>
                                <w:top w:val="none" w:sz="0" w:space="0" w:color="auto"/>
                                <w:left w:val="none" w:sz="0" w:space="0" w:color="auto"/>
                                <w:bottom w:val="none" w:sz="0" w:space="0" w:color="auto"/>
                                <w:right w:val="none" w:sz="0" w:space="0" w:color="auto"/>
                              </w:divBdr>
                              <w:divsChild>
                                <w:div w:id="730920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9233">
      <w:bodyDiv w:val="1"/>
      <w:marLeft w:val="0"/>
      <w:marRight w:val="0"/>
      <w:marTop w:val="0"/>
      <w:marBottom w:val="0"/>
      <w:divBdr>
        <w:top w:val="none" w:sz="0" w:space="0" w:color="auto"/>
        <w:left w:val="none" w:sz="0" w:space="0" w:color="auto"/>
        <w:bottom w:val="none" w:sz="0" w:space="0" w:color="auto"/>
        <w:right w:val="none" w:sz="0" w:space="0" w:color="auto"/>
      </w:divBdr>
    </w:div>
    <w:div w:id="1749229430">
      <w:bodyDiv w:val="1"/>
      <w:marLeft w:val="0"/>
      <w:marRight w:val="0"/>
      <w:marTop w:val="0"/>
      <w:marBottom w:val="0"/>
      <w:divBdr>
        <w:top w:val="none" w:sz="0" w:space="0" w:color="auto"/>
        <w:left w:val="none" w:sz="0" w:space="0" w:color="auto"/>
        <w:bottom w:val="none" w:sz="0" w:space="0" w:color="auto"/>
        <w:right w:val="none" w:sz="0" w:space="0" w:color="auto"/>
      </w:divBdr>
    </w:div>
    <w:div w:id="1843743140">
      <w:bodyDiv w:val="1"/>
      <w:marLeft w:val="0"/>
      <w:marRight w:val="0"/>
      <w:marTop w:val="0"/>
      <w:marBottom w:val="0"/>
      <w:divBdr>
        <w:top w:val="none" w:sz="0" w:space="0" w:color="auto"/>
        <w:left w:val="none" w:sz="0" w:space="0" w:color="auto"/>
        <w:bottom w:val="none" w:sz="0" w:space="0" w:color="auto"/>
        <w:right w:val="none" w:sz="0" w:space="0" w:color="auto"/>
      </w:divBdr>
    </w:div>
    <w:div w:id="1862552845">
      <w:bodyDiv w:val="1"/>
      <w:marLeft w:val="0"/>
      <w:marRight w:val="0"/>
      <w:marTop w:val="0"/>
      <w:marBottom w:val="0"/>
      <w:divBdr>
        <w:top w:val="none" w:sz="0" w:space="0" w:color="auto"/>
        <w:left w:val="none" w:sz="0" w:space="0" w:color="auto"/>
        <w:bottom w:val="none" w:sz="0" w:space="0" w:color="auto"/>
        <w:right w:val="none" w:sz="0" w:space="0" w:color="auto"/>
      </w:divBdr>
      <w:divsChild>
        <w:div w:id="1887138844">
          <w:marLeft w:val="0"/>
          <w:marRight w:val="0"/>
          <w:marTop w:val="0"/>
          <w:marBottom w:val="0"/>
          <w:divBdr>
            <w:top w:val="none" w:sz="0" w:space="0" w:color="auto"/>
            <w:left w:val="none" w:sz="0" w:space="0" w:color="auto"/>
            <w:bottom w:val="none" w:sz="0" w:space="0" w:color="auto"/>
            <w:right w:val="none" w:sz="0" w:space="0" w:color="auto"/>
          </w:divBdr>
          <w:divsChild>
            <w:div w:id="1902328198">
              <w:marLeft w:val="0"/>
              <w:marRight w:val="0"/>
              <w:marTop w:val="0"/>
              <w:marBottom w:val="0"/>
              <w:divBdr>
                <w:top w:val="none" w:sz="0" w:space="0" w:color="auto"/>
                <w:left w:val="none" w:sz="0" w:space="0" w:color="auto"/>
                <w:bottom w:val="none" w:sz="0" w:space="0" w:color="auto"/>
                <w:right w:val="none" w:sz="0" w:space="0" w:color="auto"/>
              </w:divBdr>
              <w:divsChild>
                <w:div w:id="916786647">
                  <w:marLeft w:val="0"/>
                  <w:marRight w:val="0"/>
                  <w:marTop w:val="750"/>
                  <w:marBottom w:val="750"/>
                  <w:divBdr>
                    <w:top w:val="none" w:sz="0" w:space="0" w:color="auto"/>
                    <w:left w:val="none" w:sz="0" w:space="0" w:color="auto"/>
                    <w:bottom w:val="none" w:sz="0" w:space="0" w:color="auto"/>
                    <w:right w:val="none" w:sz="0" w:space="0" w:color="auto"/>
                  </w:divBdr>
                  <w:divsChild>
                    <w:div w:id="473105867">
                      <w:marLeft w:val="0"/>
                      <w:marRight w:val="0"/>
                      <w:marTop w:val="0"/>
                      <w:marBottom w:val="0"/>
                      <w:divBdr>
                        <w:top w:val="none" w:sz="0" w:space="0" w:color="auto"/>
                        <w:left w:val="none" w:sz="0" w:space="0" w:color="auto"/>
                        <w:bottom w:val="none" w:sz="0" w:space="0" w:color="auto"/>
                        <w:right w:val="none" w:sz="0" w:space="0" w:color="auto"/>
                      </w:divBdr>
                      <w:divsChild>
                        <w:div w:id="1465611970">
                          <w:marLeft w:val="0"/>
                          <w:marRight w:val="0"/>
                          <w:marTop w:val="0"/>
                          <w:marBottom w:val="0"/>
                          <w:divBdr>
                            <w:top w:val="none" w:sz="0" w:space="0" w:color="auto"/>
                            <w:left w:val="none" w:sz="0" w:space="0" w:color="auto"/>
                            <w:bottom w:val="none" w:sz="0" w:space="0" w:color="auto"/>
                            <w:right w:val="none" w:sz="0" w:space="0" w:color="auto"/>
                          </w:divBdr>
                          <w:divsChild>
                            <w:div w:id="1978487269">
                              <w:marLeft w:val="0"/>
                              <w:marRight w:val="0"/>
                              <w:marTop w:val="0"/>
                              <w:marBottom w:val="0"/>
                              <w:divBdr>
                                <w:top w:val="none" w:sz="0" w:space="0" w:color="auto"/>
                                <w:left w:val="none" w:sz="0" w:space="0" w:color="auto"/>
                                <w:bottom w:val="none" w:sz="0" w:space="0" w:color="auto"/>
                                <w:right w:val="none" w:sz="0" w:space="0" w:color="auto"/>
                              </w:divBdr>
                              <w:divsChild>
                                <w:div w:id="6785820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0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reenclimate.fund/documents/20182/751020/GCF_B.17_08_-_Operational_Framework_on_complementarity_and_coherence.pdf/55b8605f-518a-4b91-8362-02eaee5a56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49EF-1E26-4416-9201-4D40AA7B1E9D}">
  <ds:schemaRefs>
    <ds:schemaRef ds:uri="http://schemas.openxmlformats.org/officeDocument/2006/bibliography"/>
  </ds:schemaRefs>
</ds:datastoreItem>
</file>

<file path=customXml/itemProps2.xml><?xml version="1.0" encoding="utf-8"?>
<ds:datastoreItem xmlns:ds="http://schemas.openxmlformats.org/officeDocument/2006/customXml" ds:itemID="{F356AC28-CACD-4CEA-8672-F72AC512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WB359033</dc:creator>
  <cp:keywords/>
  <dc:description/>
  <cp:lastModifiedBy>Young Hee Lee</cp:lastModifiedBy>
  <cp:revision>2</cp:revision>
  <cp:lastPrinted>2018-09-18T14:37:00Z</cp:lastPrinted>
  <dcterms:created xsi:type="dcterms:W3CDTF">2018-09-29T13:54:00Z</dcterms:created>
  <dcterms:modified xsi:type="dcterms:W3CDTF">2018-09-29T13:54:00Z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The World Bank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