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A136" w14:textId="78C4D62E" w:rsidR="00957819" w:rsidRDefault="00957819" w:rsidP="00957819">
      <w:pPr>
        <w:spacing w:after="160"/>
        <w:jc w:val="center"/>
        <w:rPr>
          <w:rFonts w:asciiTheme="minorHAnsi" w:hAnsiTheme="minorHAnsi"/>
          <w:b/>
          <w:sz w:val="28"/>
        </w:rPr>
      </w:pPr>
      <w:bookmarkStart w:id="0" w:name="_GoBack"/>
      <w:bookmarkEnd w:id="0"/>
      <w:r>
        <w:rPr>
          <w:rFonts w:asciiTheme="minorHAnsi" w:hAnsiTheme="minorHAnsi"/>
          <w:b/>
          <w:sz w:val="28"/>
        </w:rPr>
        <w:t>CONCEPT NOTE</w:t>
      </w:r>
    </w:p>
    <w:p w14:paraId="571C7FFD" w14:textId="77777777" w:rsidR="00957819" w:rsidRPr="000C78A6" w:rsidRDefault="00957819" w:rsidP="00957819">
      <w:pPr>
        <w:spacing w:after="160"/>
        <w:jc w:val="center"/>
        <w:rPr>
          <w:rFonts w:asciiTheme="minorHAnsi" w:hAnsiTheme="minorHAnsi"/>
          <w:b/>
          <w:sz w:val="28"/>
        </w:rPr>
      </w:pPr>
    </w:p>
    <w:p w14:paraId="3B27316E" w14:textId="7E5F1D6B" w:rsidR="00437B1C" w:rsidRDefault="00437B1C" w:rsidP="00957819">
      <w:pPr>
        <w:spacing w:after="160"/>
        <w:jc w:val="center"/>
        <w:rPr>
          <w:b/>
          <w:sz w:val="26"/>
          <w:szCs w:val="26"/>
        </w:rPr>
      </w:pPr>
      <w:r>
        <w:rPr>
          <w:b/>
          <w:sz w:val="26"/>
          <w:szCs w:val="26"/>
        </w:rPr>
        <w:t>Community of practice</w:t>
      </w:r>
      <w:r w:rsidRPr="000C78A6">
        <w:rPr>
          <w:b/>
          <w:sz w:val="26"/>
          <w:szCs w:val="26"/>
        </w:rPr>
        <w:t xml:space="preserve"> </w:t>
      </w:r>
      <w:r w:rsidR="000713C4">
        <w:rPr>
          <w:b/>
          <w:sz w:val="26"/>
          <w:szCs w:val="26"/>
        </w:rPr>
        <w:t>for</w:t>
      </w:r>
      <w:r>
        <w:rPr>
          <w:b/>
          <w:sz w:val="26"/>
          <w:szCs w:val="26"/>
        </w:rPr>
        <w:t xml:space="preserve"> direct access to climate finance</w:t>
      </w:r>
    </w:p>
    <w:p w14:paraId="7B66F1E9" w14:textId="3A1AA8B0" w:rsidR="00957819" w:rsidRPr="000C78A6" w:rsidRDefault="00774338" w:rsidP="00957819">
      <w:pPr>
        <w:spacing w:after="160"/>
        <w:jc w:val="center"/>
        <w:rPr>
          <w:sz w:val="26"/>
          <w:szCs w:val="26"/>
        </w:rPr>
      </w:pPr>
      <w:r>
        <w:rPr>
          <w:b/>
          <w:sz w:val="26"/>
          <w:szCs w:val="26"/>
        </w:rPr>
        <w:t xml:space="preserve">Direct Access Entities (DAE) </w:t>
      </w:r>
      <w:r w:rsidR="00437B1C">
        <w:rPr>
          <w:b/>
          <w:sz w:val="26"/>
          <w:szCs w:val="26"/>
        </w:rPr>
        <w:t>meeting: Governance of the Community of Practice and road map</w:t>
      </w:r>
    </w:p>
    <w:p w14:paraId="375B7227" w14:textId="0593459F" w:rsidR="00EC605B" w:rsidRDefault="00570404" w:rsidP="00EC605B">
      <w:pPr>
        <w:autoSpaceDE w:val="0"/>
        <w:autoSpaceDN w:val="0"/>
        <w:adjustRightInd w:val="0"/>
        <w:jc w:val="center"/>
        <w:rPr>
          <w:rFonts w:cs="Calibri"/>
          <w:b/>
          <w:bCs/>
          <w:color w:val="000000"/>
        </w:rPr>
      </w:pPr>
      <w:r>
        <w:rPr>
          <w:rFonts w:cs="Calibri"/>
          <w:b/>
          <w:bCs/>
          <w:color w:val="FF0000"/>
        </w:rPr>
        <w:t>5-7</w:t>
      </w:r>
      <w:r>
        <w:rPr>
          <w:rFonts w:cs="Calibri"/>
          <w:b/>
          <w:bCs/>
          <w:color w:val="000000"/>
        </w:rPr>
        <w:t xml:space="preserve"> </w:t>
      </w:r>
      <w:r w:rsidR="00075A9B">
        <w:rPr>
          <w:rFonts w:cs="Calibri"/>
          <w:b/>
          <w:bCs/>
          <w:color w:val="000000"/>
        </w:rPr>
        <w:t xml:space="preserve">June </w:t>
      </w:r>
      <w:r w:rsidR="00131BA2">
        <w:rPr>
          <w:rFonts w:cs="Calibri"/>
          <w:b/>
          <w:bCs/>
          <w:color w:val="000000"/>
        </w:rPr>
        <w:t>2019</w:t>
      </w:r>
      <w:r w:rsidR="00774338">
        <w:rPr>
          <w:rFonts w:cs="Calibri"/>
          <w:b/>
          <w:bCs/>
          <w:color w:val="000000"/>
        </w:rPr>
        <w:t>, Durban, South Africa</w:t>
      </w:r>
      <w:r w:rsidR="00437B1C" w:rsidRPr="00EC605B">
        <w:rPr>
          <w:rFonts w:cs="Calibri"/>
          <w:b/>
          <w:bCs/>
          <w:color w:val="000000"/>
        </w:rPr>
        <w:t xml:space="preserve"> </w:t>
      </w:r>
    </w:p>
    <w:p w14:paraId="493AF2F1" w14:textId="77777777" w:rsidR="00447B5C" w:rsidRDefault="00447B5C" w:rsidP="00EC605B">
      <w:pPr>
        <w:autoSpaceDE w:val="0"/>
        <w:autoSpaceDN w:val="0"/>
        <w:adjustRightInd w:val="0"/>
        <w:jc w:val="center"/>
        <w:rPr>
          <w:rFonts w:cs="Calibri"/>
          <w:b/>
          <w:bCs/>
          <w:color w:val="000000"/>
        </w:rPr>
      </w:pPr>
    </w:p>
    <w:p w14:paraId="7586EDAD" w14:textId="3CBD4A35" w:rsidR="00447B5C" w:rsidRDefault="00447B5C" w:rsidP="00EC605B">
      <w:pPr>
        <w:autoSpaceDE w:val="0"/>
        <w:autoSpaceDN w:val="0"/>
        <w:adjustRightInd w:val="0"/>
        <w:jc w:val="center"/>
        <w:rPr>
          <w:rFonts w:cs="Calibri"/>
          <w:b/>
          <w:bCs/>
          <w:color w:val="000000"/>
        </w:rPr>
      </w:pPr>
      <w:r>
        <w:rPr>
          <w:rFonts w:cs="Calibri"/>
          <w:b/>
          <w:bCs/>
          <w:color w:val="000000"/>
        </w:rPr>
        <w:t xml:space="preserve">Financing by </w:t>
      </w:r>
    </w:p>
    <w:p w14:paraId="44D4A022" w14:textId="25E77890" w:rsidR="00447B5C" w:rsidRDefault="00447B5C" w:rsidP="00EC605B">
      <w:pPr>
        <w:autoSpaceDE w:val="0"/>
        <w:autoSpaceDN w:val="0"/>
        <w:adjustRightInd w:val="0"/>
        <w:jc w:val="center"/>
        <w:rPr>
          <w:rFonts w:cs="Calibri"/>
          <w:b/>
          <w:bCs/>
          <w:color w:val="000000"/>
        </w:rPr>
      </w:pPr>
      <w:r>
        <w:rPr>
          <w:rFonts w:cs="Calibri"/>
          <w:b/>
          <w:bCs/>
          <w:color w:val="000000"/>
        </w:rPr>
        <w:t xml:space="preserve">                                                                                                         </w:t>
      </w:r>
    </w:p>
    <w:p w14:paraId="623397DF" w14:textId="14624F55" w:rsidR="008F0F38" w:rsidRDefault="008F0F38" w:rsidP="00447B5C">
      <w:pPr>
        <w:tabs>
          <w:tab w:val="left" w:pos="1275"/>
        </w:tabs>
        <w:rPr>
          <w:rFonts w:cs="Calibri"/>
        </w:rPr>
      </w:pPr>
      <w:r>
        <w:rPr>
          <w:rFonts w:cs="Calibri"/>
          <w:b/>
          <w:bCs/>
          <w:noProof/>
          <w:color w:val="000000"/>
          <w:lang w:val="en-ZA" w:eastAsia="en-ZA"/>
        </w:rPr>
        <w:drawing>
          <wp:anchor distT="0" distB="0" distL="114300" distR="114300" simplePos="0" relativeHeight="251663360" behindDoc="1" locked="0" layoutInCell="1" allowOverlap="1" wp14:anchorId="389777EE" wp14:editId="5CB9097E">
            <wp:simplePos x="0" y="0"/>
            <wp:positionH relativeFrom="column">
              <wp:posOffset>4333875</wp:posOffset>
            </wp:positionH>
            <wp:positionV relativeFrom="paragraph">
              <wp:posOffset>6350</wp:posOffset>
            </wp:positionV>
            <wp:extent cx="1115060" cy="790575"/>
            <wp:effectExtent l="0" t="0" r="8890" b="9525"/>
            <wp:wrapTight wrapText="bothSides">
              <wp:wrapPolygon edited="0">
                <wp:start x="0" y="0"/>
                <wp:lineTo x="0" y="21340"/>
                <wp:lineTo x="21403" y="21340"/>
                <wp:lineTo x="2140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F.png"/>
                    <pic:cNvPicPr/>
                  </pic:nvPicPr>
                  <pic:blipFill>
                    <a:blip r:embed="rId7">
                      <a:extLst>
                        <a:ext uri="{28A0092B-C50C-407E-A947-70E740481C1C}">
                          <a14:useLocalDpi xmlns:a14="http://schemas.microsoft.com/office/drawing/2010/main" val="0"/>
                        </a:ext>
                      </a:extLst>
                    </a:blip>
                    <a:stretch>
                      <a:fillRect/>
                    </a:stretch>
                  </pic:blipFill>
                  <pic:spPr>
                    <a:xfrm>
                      <a:off x="0" y="0"/>
                      <a:ext cx="1115060" cy="790575"/>
                    </a:xfrm>
                    <a:prstGeom prst="rect">
                      <a:avLst/>
                    </a:prstGeom>
                  </pic:spPr>
                </pic:pic>
              </a:graphicData>
            </a:graphic>
            <wp14:sizeRelH relativeFrom="page">
              <wp14:pctWidth>0</wp14:pctWidth>
            </wp14:sizeRelH>
            <wp14:sizeRelV relativeFrom="page">
              <wp14:pctHeight>0</wp14:pctHeight>
            </wp14:sizeRelV>
          </wp:anchor>
        </w:drawing>
      </w:r>
      <w:r w:rsidRPr="00447B5C">
        <w:rPr>
          <w:rFonts w:eastAsia="Calibri"/>
          <w:noProof/>
          <w:lang w:val="en-ZA" w:eastAsia="en-ZA"/>
        </w:rPr>
        <w:drawing>
          <wp:anchor distT="0" distB="0" distL="114300" distR="114300" simplePos="0" relativeHeight="251659264" behindDoc="1" locked="0" layoutInCell="1" allowOverlap="1" wp14:anchorId="717DFCA0" wp14:editId="2F8E174B">
            <wp:simplePos x="0" y="0"/>
            <wp:positionH relativeFrom="column">
              <wp:posOffset>1800225</wp:posOffset>
            </wp:positionH>
            <wp:positionV relativeFrom="paragraph">
              <wp:posOffset>63500</wp:posOffset>
            </wp:positionV>
            <wp:extent cx="1151890" cy="614680"/>
            <wp:effectExtent l="0" t="0" r="0" b="0"/>
            <wp:wrapTight wrapText="bothSides">
              <wp:wrapPolygon edited="0">
                <wp:start x="0" y="0"/>
                <wp:lineTo x="0" y="20752"/>
                <wp:lineTo x="21076" y="20752"/>
                <wp:lineTo x="210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noProof/>
          <w:color w:val="000000"/>
          <w:lang w:val="en-ZA" w:eastAsia="en-ZA"/>
        </w:rPr>
        <w:drawing>
          <wp:anchor distT="0" distB="0" distL="114300" distR="114300" simplePos="0" relativeHeight="251662336" behindDoc="1" locked="0" layoutInCell="1" allowOverlap="1" wp14:anchorId="02707029" wp14:editId="1A8A3351">
            <wp:simplePos x="0" y="0"/>
            <wp:positionH relativeFrom="column">
              <wp:posOffset>781050</wp:posOffset>
            </wp:positionH>
            <wp:positionV relativeFrom="paragraph">
              <wp:posOffset>6350</wp:posOffset>
            </wp:positionV>
            <wp:extent cx="704850" cy="710565"/>
            <wp:effectExtent l="0" t="0" r="0" b="0"/>
            <wp:wrapTight wrapText="bothSides">
              <wp:wrapPolygon edited="0">
                <wp:start x="0" y="0"/>
                <wp:lineTo x="0" y="20847"/>
                <wp:lineTo x="21016" y="20847"/>
                <wp:lineTo x="2101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tion Fund.jpg"/>
                    <pic:cNvPicPr/>
                  </pic:nvPicPr>
                  <pic:blipFill>
                    <a:blip r:embed="rId9">
                      <a:extLst>
                        <a:ext uri="{28A0092B-C50C-407E-A947-70E740481C1C}">
                          <a14:useLocalDpi xmlns:a14="http://schemas.microsoft.com/office/drawing/2010/main" val="0"/>
                        </a:ext>
                      </a:extLst>
                    </a:blip>
                    <a:stretch>
                      <a:fillRect/>
                    </a:stretch>
                  </pic:blipFill>
                  <pic:spPr>
                    <a:xfrm>
                      <a:off x="0" y="0"/>
                      <a:ext cx="704850" cy="710565"/>
                    </a:xfrm>
                    <a:prstGeom prst="rect">
                      <a:avLst/>
                    </a:prstGeom>
                  </pic:spPr>
                </pic:pic>
              </a:graphicData>
            </a:graphic>
            <wp14:sizeRelH relativeFrom="page">
              <wp14:pctWidth>0</wp14:pctWidth>
            </wp14:sizeRelH>
            <wp14:sizeRelV relativeFrom="page">
              <wp14:pctHeight>0</wp14:pctHeight>
            </wp14:sizeRelV>
          </wp:anchor>
        </w:drawing>
      </w:r>
      <w:r w:rsidRPr="00447B5C">
        <w:rPr>
          <w:rFonts w:eastAsia="Calibri"/>
          <w:noProof/>
          <w:lang w:val="en-ZA" w:eastAsia="en-ZA"/>
        </w:rPr>
        <w:drawing>
          <wp:anchor distT="0" distB="0" distL="114300" distR="114300" simplePos="0" relativeHeight="251661312" behindDoc="1" locked="0" layoutInCell="1" allowOverlap="1" wp14:anchorId="79EB63C6" wp14:editId="0FF7C6B0">
            <wp:simplePos x="0" y="0"/>
            <wp:positionH relativeFrom="margin">
              <wp:posOffset>3362325</wp:posOffset>
            </wp:positionH>
            <wp:positionV relativeFrom="margin">
              <wp:posOffset>2190750</wp:posOffset>
            </wp:positionV>
            <wp:extent cx="638175" cy="582295"/>
            <wp:effectExtent l="0" t="0" r="9525" b="8255"/>
            <wp:wrapTight wrapText="bothSides">
              <wp:wrapPolygon edited="0">
                <wp:start x="0" y="0"/>
                <wp:lineTo x="0" y="21200"/>
                <wp:lineTo x="21278" y="21200"/>
                <wp:lineTo x="2127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B5C">
        <w:rPr>
          <w:rFonts w:cs="Calibri"/>
        </w:rPr>
        <w:t xml:space="preserve">              </w:t>
      </w:r>
    </w:p>
    <w:p w14:paraId="343032F0" w14:textId="77777777" w:rsidR="008F0F38" w:rsidRDefault="008F0F38" w:rsidP="00447B5C">
      <w:pPr>
        <w:tabs>
          <w:tab w:val="left" w:pos="1275"/>
        </w:tabs>
        <w:rPr>
          <w:rFonts w:cs="Calibri"/>
        </w:rPr>
      </w:pPr>
    </w:p>
    <w:p w14:paraId="381EDE1B" w14:textId="77777777" w:rsidR="008F0F38" w:rsidRDefault="008F0F38" w:rsidP="00447B5C">
      <w:pPr>
        <w:tabs>
          <w:tab w:val="left" w:pos="1275"/>
        </w:tabs>
        <w:rPr>
          <w:rFonts w:cs="Calibri"/>
        </w:rPr>
      </w:pPr>
    </w:p>
    <w:p w14:paraId="133B7F23" w14:textId="77777777" w:rsidR="008F0F38" w:rsidRDefault="008F0F38" w:rsidP="00447B5C">
      <w:pPr>
        <w:tabs>
          <w:tab w:val="left" w:pos="1275"/>
        </w:tabs>
        <w:rPr>
          <w:rFonts w:cs="Calibri"/>
        </w:rPr>
      </w:pPr>
    </w:p>
    <w:p w14:paraId="24BA21E4" w14:textId="6C892692" w:rsidR="00447B5C" w:rsidRPr="00447B5C" w:rsidRDefault="00447B5C" w:rsidP="00447B5C">
      <w:pPr>
        <w:tabs>
          <w:tab w:val="left" w:pos="1275"/>
        </w:tabs>
        <w:rPr>
          <w:rFonts w:cs="Calibri"/>
        </w:rPr>
      </w:pPr>
      <w:r>
        <w:rPr>
          <w:rFonts w:cs="Calibri"/>
        </w:rPr>
        <w:t xml:space="preserve">   </w:t>
      </w:r>
    </w:p>
    <w:p w14:paraId="6A65D604" w14:textId="0BD182A3" w:rsidR="0021039B" w:rsidRPr="00447B5C" w:rsidRDefault="00447B5C" w:rsidP="00447B5C">
      <w:pPr>
        <w:autoSpaceDE w:val="0"/>
        <w:autoSpaceDN w:val="0"/>
        <w:adjustRightInd w:val="0"/>
        <w:rPr>
          <w:rFonts w:cs="Calibri"/>
          <w:b/>
          <w:bCs/>
          <w:color w:val="000000"/>
        </w:rPr>
      </w:pPr>
      <w:r>
        <w:rPr>
          <w:rFonts w:cs="Calibri"/>
          <w:b/>
          <w:bCs/>
          <w:color w:val="000000"/>
        </w:rPr>
        <w:t xml:space="preserve">        </w:t>
      </w:r>
    </w:p>
    <w:p w14:paraId="7E5A6334" w14:textId="77777777" w:rsidR="0021039B" w:rsidRDefault="0021039B" w:rsidP="00532A9F">
      <w:pPr>
        <w:jc w:val="both"/>
      </w:pPr>
    </w:p>
    <w:p w14:paraId="6C9CB02F" w14:textId="77777777" w:rsidR="0021039B" w:rsidRDefault="0021039B" w:rsidP="00532A9F">
      <w:pPr>
        <w:jc w:val="both"/>
        <w:rPr>
          <w:rFonts w:asciiTheme="minorHAnsi" w:hAnsiTheme="minorHAnsi" w:cstheme="minorHAnsi"/>
          <w:b/>
          <w:i/>
        </w:rPr>
      </w:pPr>
      <w:r w:rsidRPr="00593EE8">
        <w:rPr>
          <w:rFonts w:asciiTheme="minorHAnsi" w:hAnsiTheme="minorHAnsi" w:cstheme="minorHAnsi"/>
          <w:b/>
          <w:i/>
        </w:rPr>
        <w:t>Context</w:t>
      </w:r>
    </w:p>
    <w:p w14:paraId="7FF18B8F" w14:textId="77777777" w:rsidR="00593EE8" w:rsidRPr="00593EE8" w:rsidRDefault="00593EE8" w:rsidP="00532A9F">
      <w:pPr>
        <w:jc w:val="both"/>
        <w:rPr>
          <w:rFonts w:asciiTheme="minorHAnsi" w:hAnsiTheme="minorHAnsi" w:cstheme="minorHAnsi"/>
          <w:b/>
          <w:i/>
        </w:rPr>
      </w:pPr>
    </w:p>
    <w:p w14:paraId="521FE34C" w14:textId="740E1E14" w:rsidR="0039198E" w:rsidRPr="00B7225D" w:rsidRDefault="00EC605B" w:rsidP="00532A9F">
      <w:pPr>
        <w:jc w:val="both"/>
        <w:rPr>
          <w:rFonts w:asciiTheme="minorHAnsi" w:hAnsiTheme="minorHAnsi" w:cstheme="minorHAnsi"/>
          <w:lang w:val="en-GB"/>
        </w:rPr>
      </w:pPr>
      <w:r w:rsidRPr="00B7225D">
        <w:rPr>
          <w:rFonts w:asciiTheme="minorHAnsi" w:hAnsiTheme="minorHAnsi" w:cstheme="minorHAnsi"/>
          <w:lang w:val="en-GB"/>
        </w:rPr>
        <w:t xml:space="preserve">Direct access has become widely recognised as a good practice in the architecture of climate finance. </w:t>
      </w:r>
      <w:r w:rsidR="00345233" w:rsidRPr="00B7225D">
        <w:rPr>
          <w:rFonts w:asciiTheme="minorHAnsi" w:hAnsiTheme="minorHAnsi" w:cstheme="minorHAnsi"/>
          <w:lang w:val="en-GB"/>
        </w:rPr>
        <w:t xml:space="preserve">It </w:t>
      </w:r>
      <w:r w:rsidR="00345233" w:rsidRPr="00B7225D">
        <w:rPr>
          <w:rFonts w:asciiTheme="minorHAnsi" w:hAnsiTheme="minorHAnsi" w:cstheme="minorHAnsi"/>
        </w:rPr>
        <w:t xml:space="preserve">allows developing countries to access climate finance and manage all aspects of the project cycle, from design through implementation and monitoring, directly through accredited national institutions, using their own procedures and systems. This has several advantages for developing countries – it provides an opportunity to access international climate finance through the institutions that are often best placed to respond to the most pressing needs and deliver climate-compatible development results that are tailored to the local context. At the same time, it provides an opportunity to strengthen the capacity of national institutions, and </w:t>
      </w:r>
      <w:r w:rsidR="00D51460" w:rsidRPr="00B7225D">
        <w:rPr>
          <w:rFonts w:asciiTheme="minorHAnsi" w:hAnsiTheme="minorHAnsi" w:cstheme="minorHAnsi"/>
        </w:rPr>
        <w:t xml:space="preserve">to build a pool of climate finance experts </w:t>
      </w:r>
      <w:r w:rsidR="00345233" w:rsidRPr="00B7225D">
        <w:rPr>
          <w:rFonts w:asciiTheme="minorHAnsi" w:hAnsiTheme="minorHAnsi" w:cstheme="minorHAnsi"/>
        </w:rPr>
        <w:t>to scale up their operations with time and experience.</w:t>
      </w:r>
      <w:r w:rsidR="00D51460" w:rsidRPr="00B7225D">
        <w:rPr>
          <w:rFonts w:asciiTheme="minorHAnsi" w:hAnsiTheme="minorHAnsi" w:cstheme="minorHAnsi"/>
        </w:rPr>
        <w:t xml:space="preserve"> </w:t>
      </w:r>
      <w:r w:rsidR="00345233" w:rsidRPr="00B7225D">
        <w:rPr>
          <w:rFonts w:asciiTheme="minorHAnsi" w:hAnsiTheme="minorHAnsi" w:cstheme="minorHAnsi"/>
        </w:rPr>
        <w:t xml:space="preserve"> </w:t>
      </w:r>
    </w:p>
    <w:p w14:paraId="2C5FCDED" w14:textId="77777777" w:rsidR="0039198E" w:rsidRPr="00B7225D" w:rsidRDefault="0039198E" w:rsidP="00532A9F">
      <w:pPr>
        <w:jc w:val="both"/>
        <w:rPr>
          <w:rFonts w:asciiTheme="minorHAnsi" w:hAnsiTheme="minorHAnsi" w:cstheme="minorHAnsi"/>
          <w:lang w:val="en-GB"/>
        </w:rPr>
      </w:pPr>
    </w:p>
    <w:p w14:paraId="6A7F1678" w14:textId="3C37C906" w:rsidR="000A5CA8" w:rsidRPr="00B7225D" w:rsidRDefault="00EC605B" w:rsidP="00532A9F">
      <w:pPr>
        <w:jc w:val="both"/>
        <w:rPr>
          <w:rFonts w:asciiTheme="minorHAnsi" w:hAnsiTheme="minorHAnsi" w:cstheme="minorHAnsi"/>
          <w:lang w:val="en-GB"/>
        </w:rPr>
      </w:pPr>
      <w:r w:rsidRPr="00B7225D">
        <w:rPr>
          <w:rFonts w:asciiTheme="minorHAnsi" w:hAnsiTheme="minorHAnsi" w:cstheme="minorHAnsi"/>
          <w:lang w:val="en-GB"/>
        </w:rPr>
        <w:t xml:space="preserve">To date, the </w:t>
      </w:r>
      <w:r w:rsidR="0039198E" w:rsidRPr="00B7225D">
        <w:rPr>
          <w:rFonts w:asciiTheme="minorHAnsi" w:hAnsiTheme="minorHAnsi" w:cstheme="minorHAnsi"/>
          <w:lang w:val="en-GB"/>
        </w:rPr>
        <w:t xml:space="preserve">AF </w:t>
      </w:r>
      <w:r w:rsidRPr="00B7225D">
        <w:rPr>
          <w:rFonts w:asciiTheme="minorHAnsi" w:hAnsiTheme="minorHAnsi" w:cstheme="minorHAnsi"/>
          <w:lang w:val="en-GB"/>
        </w:rPr>
        <w:t xml:space="preserve">has </w:t>
      </w:r>
      <w:r w:rsidR="00DC785B" w:rsidRPr="00B7225D">
        <w:rPr>
          <w:rFonts w:asciiTheme="minorHAnsi" w:hAnsiTheme="minorHAnsi" w:cstheme="minorHAnsi"/>
          <w:lang w:val="en-GB"/>
        </w:rPr>
        <w:t xml:space="preserve">29 </w:t>
      </w:r>
      <w:r w:rsidRPr="00B7225D">
        <w:rPr>
          <w:rFonts w:asciiTheme="minorHAnsi" w:hAnsiTheme="minorHAnsi" w:cstheme="minorHAnsi"/>
          <w:lang w:val="en-GB"/>
        </w:rPr>
        <w:t xml:space="preserve">accredited </w:t>
      </w:r>
      <w:r w:rsidR="005A54B0" w:rsidRPr="00B7225D">
        <w:rPr>
          <w:rFonts w:asciiTheme="minorHAnsi" w:hAnsiTheme="minorHAnsi" w:cstheme="minorHAnsi"/>
          <w:lang w:val="en-GB"/>
        </w:rPr>
        <w:t>DAEs</w:t>
      </w:r>
      <w:r w:rsidR="001C7671" w:rsidRPr="00B7225D">
        <w:rPr>
          <w:rFonts w:asciiTheme="minorHAnsi" w:hAnsiTheme="minorHAnsi" w:cstheme="minorHAnsi"/>
          <w:lang w:val="en-GB"/>
        </w:rPr>
        <w:t xml:space="preserve"> </w:t>
      </w:r>
      <w:r w:rsidR="00DC785B" w:rsidRPr="00B7225D">
        <w:rPr>
          <w:rFonts w:asciiTheme="minorHAnsi" w:hAnsiTheme="minorHAnsi" w:cstheme="minorHAnsi"/>
          <w:lang w:val="en-GB"/>
        </w:rPr>
        <w:t xml:space="preserve">(all national) </w:t>
      </w:r>
      <w:r w:rsidR="001C7671" w:rsidRPr="00B7225D">
        <w:rPr>
          <w:rFonts w:asciiTheme="minorHAnsi" w:hAnsiTheme="minorHAnsi" w:cstheme="minorHAnsi"/>
          <w:lang w:val="en-GB"/>
        </w:rPr>
        <w:t>while the</w:t>
      </w:r>
      <w:r w:rsidRPr="00B7225D">
        <w:rPr>
          <w:rFonts w:asciiTheme="minorHAnsi" w:hAnsiTheme="minorHAnsi" w:cstheme="minorHAnsi"/>
          <w:lang w:val="en-GB"/>
        </w:rPr>
        <w:t xml:space="preserve"> </w:t>
      </w:r>
      <w:r w:rsidR="0039198E" w:rsidRPr="00B7225D">
        <w:rPr>
          <w:rFonts w:asciiTheme="minorHAnsi" w:hAnsiTheme="minorHAnsi" w:cstheme="minorHAnsi"/>
          <w:lang w:val="en-GB"/>
        </w:rPr>
        <w:t xml:space="preserve">GCF </w:t>
      </w:r>
      <w:r w:rsidRPr="00B7225D">
        <w:rPr>
          <w:rFonts w:asciiTheme="minorHAnsi" w:hAnsiTheme="minorHAnsi" w:cstheme="minorHAnsi"/>
          <w:lang w:val="en-GB"/>
        </w:rPr>
        <w:t xml:space="preserve">has </w:t>
      </w:r>
      <w:r w:rsidR="00BF743E" w:rsidRPr="00B7225D">
        <w:rPr>
          <w:rFonts w:asciiTheme="minorHAnsi" w:hAnsiTheme="minorHAnsi" w:cstheme="minorHAnsi"/>
          <w:lang w:val="en-GB"/>
        </w:rPr>
        <w:t xml:space="preserve">39 </w:t>
      </w:r>
      <w:r w:rsidR="00AB7B23" w:rsidRPr="00B7225D">
        <w:rPr>
          <w:rFonts w:asciiTheme="minorHAnsi" w:hAnsiTheme="minorHAnsi" w:cstheme="minorHAnsi"/>
          <w:lang w:val="en-GB"/>
        </w:rPr>
        <w:t>(</w:t>
      </w:r>
      <w:r w:rsidR="00BF743E" w:rsidRPr="00B7225D">
        <w:rPr>
          <w:rFonts w:asciiTheme="minorHAnsi" w:hAnsiTheme="minorHAnsi" w:cstheme="minorHAnsi"/>
          <w:lang w:val="en-GB"/>
        </w:rPr>
        <w:t xml:space="preserve">28 </w:t>
      </w:r>
      <w:r w:rsidR="00AB7B23" w:rsidRPr="00B7225D">
        <w:rPr>
          <w:rFonts w:asciiTheme="minorHAnsi" w:hAnsiTheme="minorHAnsi" w:cstheme="minorHAnsi"/>
          <w:lang w:val="en-GB"/>
        </w:rPr>
        <w:t xml:space="preserve">national and </w:t>
      </w:r>
      <w:r w:rsidR="00BF743E" w:rsidRPr="00B7225D">
        <w:rPr>
          <w:rFonts w:asciiTheme="minorHAnsi" w:hAnsiTheme="minorHAnsi" w:cstheme="minorHAnsi"/>
          <w:lang w:val="en-GB"/>
        </w:rPr>
        <w:t xml:space="preserve">11 </w:t>
      </w:r>
      <w:r w:rsidR="00AB7B23" w:rsidRPr="00B7225D">
        <w:rPr>
          <w:rFonts w:asciiTheme="minorHAnsi" w:hAnsiTheme="minorHAnsi" w:cstheme="minorHAnsi"/>
          <w:lang w:val="en-GB"/>
        </w:rPr>
        <w:t>regional)</w:t>
      </w:r>
      <w:r w:rsidRPr="00B7225D">
        <w:rPr>
          <w:rFonts w:asciiTheme="minorHAnsi" w:hAnsiTheme="minorHAnsi" w:cstheme="minorHAnsi"/>
          <w:lang w:val="en-GB"/>
        </w:rPr>
        <w:t xml:space="preserve">. </w:t>
      </w:r>
      <w:r w:rsidR="00890619" w:rsidRPr="00B7225D">
        <w:rPr>
          <w:rFonts w:asciiTheme="minorHAnsi" w:hAnsiTheme="minorHAnsi" w:cstheme="minorHAnsi"/>
          <w:lang w:val="en-GB"/>
        </w:rPr>
        <w:t>Among the D</w:t>
      </w:r>
      <w:r w:rsidRPr="00B7225D">
        <w:rPr>
          <w:rFonts w:asciiTheme="minorHAnsi" w:hAnsiTheme="minorHAnsi" w:cstheme="minorHAnsi"/>
          <w:lang w:val="en-GB"/>
        </w:rPr>
        <w:t>AEs, some have already developed project</w:t>
      </w:r>
      <w:r w:rsidR="000D0872" w:rsidRPr="00B7225D">
        <w:rPr>
          <w:rFonts w:asciiTheme="minorHAnsi" w:hAnsiTheme="minorHAnsi" w:cstheme="minorHAnsi"/>
          <w:lang w:val="en-GB"/>
        </w:rPr>
        <w:t>s</w:t>
      </w:r>
      <w:r w:rsidRPr="00B7225D">
        <w:rPr>
          <w:rFonts w:asciiTheme="minorHAnsi" w:hAnsiTheme="minorHAnsi" w:cstheme="minorHAnsi"/>
          <w:lang w:val="en-GB"/>
        </w:rPr>
        <w:t xml:space="preserve"> which </w:t>
      </w:r>
      <w:r w:rsidR="000B6F53" w:rsidRPr="00B7225D">
        <w:rPr>
          <w:rFonts w:asciiTheme="minorHAnsi" w:hAnsiTheme="minorHAnsi" w:cstheme="minorHAnsi"/>
          <w:lang w:val="en-GB"/>
        </w:rPr>
        <w:t xml:space="preserve">have </w:t>
      </w:r>
      <w:r w:rsidRPr="00B7225D">
        <w:rPr>
          <w:rFonts w:asciiTheme="minorHAnsi" w:hAnsiTheme="minorHAnsi" w:cstheme="minorHAnsi"/>
          <w:lang w:val="en-GB"/>
        </w:rPr>
        <w:t xml:space="preserve">been approved for funding, while others are still in the process. </w:t>
      </w:r>
      <w:r w:rsidR="0039198E" w:rsidRPr="00B7225D">
        <w:rPr>
          <w:rFonts w:asciiTheme="minorHAnsi" w:hAnsiTheme="minorHAnsi" w:cstheme="minorHAnsi"/>
          <w:lang w:val="en-GB"/>
        </w:rPr>
        <w:t>However, b</w:t>
      </w:r>
      <w:r w:rsidRPr="00B7225D">
        <w:rPr>
          <w:rFonts w:asciiTheme="minorHAnsi" w:hAnsiTheme="minorHAnsi" w:cstheme="minorHAnsi"/>
          <w:lang w:val="en-GB"/>
        </w:rPr>
        <w:t xml:space="preserve">oth accreditation and development of projects for the AF and the GCF are complex processes which pose a number of challenges for these institutions and countries. </w:t>
      </w:r>
      <w:r w:rsidR="000A5CA8" w:rsidRPr="00B7225D">
        <w:rPr>
          <w:rFonts w:asciiTheme="minorHAnsi" w:hAnsiTheme="minorHAnsi" w:cstheme="minorHAnsi"/>
          <w:lang w:val="en-GB"/>
        </w:rPr>
        <w:t xml:space="preserve">While some institutions in </w:t>
      </w:r>
      <w:r w:rsidR="00112FE5" w:rsidRPr="00B7225D">
        <w:rPr>
          <w:rFonts w:asciiTheme="minorHAnsi" w:hAnsiTheme="minorHAnsi" w:cstheme="minorHAnsi"/>
          <w:lang w:val="en-GB"/>
        </w:rPr>
        <w:t>developing countries</w:t>
      </w:r>
      <w:r w:rsidR="000A5CA8" w:rsidRPr="00B7225D">
        <w:rPr>
          <w:rFonts w:asciiTheme="minorHAnsi" w:hAnsiTheme="minorHAnsi" w:cstheme="minorHAnsi"/>
          <w:lang w:val="en-GB"/>
        </w:rPr>
        <w:t xml:space="preserve"> have successfully surmounted the hurdles to access the Fund, others are still lagging behind for inadequate technical capacities. </w:t>
      </w:r>
      <w:r w:rsidRPr="00B7225D">
        <w:rPr>
          <w:rFonts w:asciiTheme="minorHAnsi" w:hAnsiTheme="minorHAnsi" w:cstheme="minorHAnsi"/>
          <w:lang w:val="en-GB"/>
        </w:rPr>
        <w:t xml:space="preserve">In going through the processes, there is also a great deal of learning which enriches the experience and capacities of the </w:t>
      </w:r>
      <w:r w:rsidR="000A5CA8" w:rsidRPr="00B7225D">
        <w:rPr>
          <w:rFonts w:asciiTheme="minorHAnsi" w:hAnsiTheme="minorHAnsi" w:cstheme="minorHAnsi"/>
          <w:lang w:val="en-GB"/>
        </w:rPr>
        <w:t xml:space="preserve">accredited </w:t>
      </w:r>
      <w:r w:rsidRPr="00B7225D">
        <w:rPr>
          <w:rFonts w:asciiTheme="minorHAnsi" w:hAnsiTheme="minorHAnsi" w:cstheme="minorHAnsi"/>
          <w:lang w:val="en-GB"/>
        </w:rPr>
        <w:t>institution.</w:t>
      </w:r>
    </w:p>
    <w:p w14:paraId="726BC57A" w14:textId="4CC06CDE" w:rsidR="00EC605B" w:rsidRPr="00B7225D" w:rsidRDefault="000A5CA8" w:rsidP="00532A9F">
      <w:pPr>
        <w:jc w:val="both"/>
        <w:rPr>
          <w:rFonts w:asciiTheme="minorHAnsi" w:hAnsiTheme="minorHAnsi" w:cstheme="minorHAnsi"/>
          <w:lang w:val="en-GB"/>
        </w:rPr>
      </w:pPr>
      <w:r w:rsidRPr="00B7225D">
        <w:rPr>
          <w:rFonts w:asciiTheme="minorHAnsi" w:hAnsiTheme="minorHAnsi" w:cstheme="minorHAnsi"/>
          <w:lang w:val="en-GB"/>
        </w:rPr>
        <w:t xml:space="preserve"> </w:t>
      </w:r>
      <w:r w:rsidR="00EC605B" w:rsidRPr="00B7225D">
        <w:rPr>
          <w:rFonts w:asciiTheme="minorHAnsi" w:hAnsiTheme="minorHAnsi" w:cstheme="minorHAnsi"/>
          <w:lang w:val="en-GB"/>
        </w:rPr>
        <w:t xml:space="preserve"> </w:t>
      </w:r>
    </w:p>
    <w:p w14:paraId="2B83C4FE" w14:textId="1746FDC7" w:rsidR="0039198E" w:rsidRPr="00B7225D" w:rsidRDefault="0039198E" w:rsidP="00532A9F">
      <w:pPr>
        <w:jc w:val="both"/>
        <w:rPr>
          <w:rFonts w:asciiTheme="minorHAnsi" w:hAnsiTheme="minorHAnsi" w:cstheme="minorHAnsi"/>
          <w:lang w:val="en-GB"/>
        </w:rPr>
      </w:pPr>
    </w:p>
    <w:p w14:paraId="198266E7" w14:textId="06B4B1D0" w:rsidR="002C122A" w:rsidRDefault="002C122A" w:rsidP="00532A9F">
      <w:pPr>
        <w:jc w:val="both"/>
        <w:rPr>
          <w:rFonts w:asciiTheme="minorHAnsi" w:hAnsiTheme="minorHAnsi" w:cstheme="minorHAnsi"/>
          <w:b/>
          <w:i/>
          <w:lang w:val="en-GB"/>
        </w:rPr>
      </w:pPr>
      <w:r w:rsidRPr="00593EE8">
        <w:rPr>
          <w:rFonts w:asciiTheme="minorHAnsi" w:hAnsiTheme="minorHAnsi" w:cstheme="minorHAnsi"/>
          <w:b/>
          <w:i/>
          <w:lang w:val="en-GB"/>
        </w:rPr>
        <w:t>The Community of Practice</w:t>
      </w:r>
      <w:r w:rsidR="00602A7A" w:rsidRPr="00593EE8">
        <w:rPr>
          <w:rFonts w:asciiTheme="minorHAnsi" w:hAnsiTheme="minorHAnsi" w:cstheme="minorHAnsi"/>
          <w:b/>
          <w:i/>
          <w:lang w:val="en-GB"/>
        </w:rPr>
        <w:t xml:space="preserve"> for Direct Access Entities</w:t>
      </w:r>
      <w:r w:rsidR="009C6CFD">
        <w:rPr>
          <w:rFonts w:asciiTheme="minorHAnsi" w:hAnsiTheme="minorHAnsi" w:cstheme="minorHAnsi"/>
          <w:b/>
          <w:i/>
          <w:lang w:val="en-GB"/>
        </w:rPr>
        <w:t xml:space="preserve"> (CPDAE)</w:t>
      </w:r>
    </w:p>
    <w:p w14:paraId="7F231535" w14:textId="77777777" w:rsidR="00593EE8" w:rsidRPr="00593EE8" w:rsidRDefault="00593EE8" w:rsidP="00532A9F">
      <w:pPr>
        <w:jc w:val="both"/>
        <w:rPr>
          <w:rFonts w:asciiTheme="minorHAnsi" w:hAnsiTheme="minorHAnsi" w:cstheme="minorHAnsi"/>
          <w:b/>
          <w:i/>
          <w:lang w:val="en-GB"/>
        </w:rPr>
      </w:pPr>
    </w:p>
    <w:p w14:paraId="79291EDC" w14:textId="2C22FB63" w:rsidR="00EC605B" w:rsidRPr="00B7225D" w:rsidRDefault="00EC605B" w:rsidP="00532A9F">
      <w:pPr>
        <w:jc w:val="both"/>
        <w:rPr>
          <w:rFonts w:asciiTheme="minorHAnsi" w:hAnsiTheme="minorHAnsi" w:cstheme="minorHAnsi"/>
          <w:lang w:val="en-GB"/>
        </w:rPr>
      </w:pPr>
      <w:r w:rsidRPr="00B7225D">
        <w:rPr>
          <w:rFonts w:asciiTheme="minorHAnsi" w:hAnsiTheme="minorHAnsi" w:cstheme="minorHAnsi"/>
          <w:lang w:val="en-GB"/>
        </w:rPr>
        <w:t xml:space="preserve">It is from these experiences that the idea of establishing a community of practice to facilitate the exchange of experiences </w:t>
      </w:r>
      <w:r w:rsidR="00890619" w:rsidRPr="00B7225D">
        <w:rPr>
          <w:rFonts w:asciiTheme="minorHAnsi" w:hAnsiTheme="minorHAnsi" w:cstheme="minorHAnsi"/>
          <w:lang w:val="en-GB"/>
        </w:rPr>
        <w:t>among D</w:t>
      </w:r>
      <w:r w:rsidR="0039198E" w:rsidRPr="00B7225D">
        <w:rPr>
          <w:rFonts w:asciiTheme="minorHAnsi" w:hAnsiTheme="minorHAnsi" w:cstheme="minorHAnsi"/>
          <w:lang w:val="en-GB"/>
        </w:rPr>
        <w:t>A</w:t>
      </w:r>
      <w:r w:rsidRPr="00B7225D">
        <w:rPr>
          <w:rFonts w:asciiTheme="minorHAnsi" w:hAnsiTheme="minorHAnsi" w:cstheme="minorHAnsi"/>
          <w:lang w:val="en-GB"/>
        </w:rPr>
        <w:t xml:space="preserve">Es and to enable mutual learning was born. </w:t>
      </w:r>
      <w:r w:rsidR="002C122A" w:rsidRPr="00B7225D">
        <w:rPr>
          <w:rFonts w:asciiTheme="minorHAnsi" w:hAnsiTheme="minorHAnsi" w:cstheme="minorHAnsi"/>
          <w:lang w:val="en-GB"/>
        </w:rPr>
        <w:t>In October 2016, a</w:t>
      </w:r>
      <w:r w:rsidRPr="00B7225D">
        <w:rPr>
          <w:rFonts w:asciiTheme="minorHAnsi" w:hAnsiTheme="minorHAnsi" w:cstheme="minorHAnsi"/>
          <w:lang w:val="en-GB"/>
        </w:rPr>
        <w:t xml:space="preserve"> workshop was organised on this topic in Nairobi by WRI and NEMA with the support of </w:t>
      </w:r>
      <w:r w:rsidR="0039180F" w:rsidRPr="00B7225D">
        <w:rPr>
          <w:rFonts w:asciiTheme="minorHAnsi" w:hAnsiTheme="minorHAnsi" w:cstheme="minorHAnsi"/>
          <w:lang w:val="en-GB"/>
        </w:rPr>
        <w:t>A</w:t>
      </w:r>
      <w:r w:rsidR="000A5CA8" w:rsidRPr="00B7225D">
        <w:rPr>
          <w:rFonts w:asciiTheme="minorHAnsi" w:hAnsiTheme="minorHAnsi" w:cstheme="minorHAnsi"/>
          <w:lang w:val="en-GB"/>
        </w:rPr>
        <w:t xml:space="preserve">frica </w:t>
      </w:r>
      <w:r w:rsidR="0039180F" w:rsidRPr="00B7225D">
        <w:rPr>
          <w:rFonts w:asciiTheme="minorHAnsi" w:hAnsiTheme="minorHAnsi" w:cstheme="minorHAnsi"/>
          <w:lang w:val="en-GB"/>
        </w:rPr>
        <w:t>C</w:t>
      </w:r>
      <w:r w:rsidR="000A5CA8" w:rsidRPr="00B7225D">
        <w:rPr>
          <w:rFonts w:asciiTheme="minorHAnsi" w:hAnsiTheme="minorHAnsi" w:cstheme="minorHAnsi"/>
          <w:lang w:val="en-GB"/>
        </w:rPr>
        <w:t xml:space="preserve">limate </w:t>
      </w:r>
      <w:r w:rsidR="0039180F" w:rsidRPr="00B7225D">
        <w:rPr>
          <w:rFonts w:asciiTheme="minorHAnsi" w:hAnsiTheme="minorHAnsi" w:cstheme="minorHAnsi"/>
          <w:lang w:val="en-GB"/>
        </w:rPr>
        <w:t>C</w:t>
      </w:r>
      <w:r w:rsidR="000A5CA8" w:rsidRPr="00B7225D">
        <w:rPr>
          <w:rFonts w:asciiTheme="minorHAnsi" w:hAnsiTheme="minorHAnsi" w:cstheme="minorHAnsi"/>
          <w:lang w:val="en-GB"/>
        </w:rPr>
        <w:t xml:space="preserve">hange </w:t>
      </w:r>
      <w:r w:rsidR="0039180F" w:rsidRPr="00B7225D">
        <w:rPr>
          <w:rFonts w:asciiTheme="minorHAnsi" w:hAnsiTheme="minorHAnsi" w:cstheme="minorHAnsi"/>
          <w:lang w:val="en-GB"/>
        </w:rPr>
        <w:t>F</w:t>
      </w:r>
      <w:r w:rsidR="000A5CA8" w:rsidRPr="00B7225D">
        <w:rPr>
          <w:rFonts w:asciiTheme="minorHAnsi" w:hAnsiTheme="minorHAnsi" w:cstheme="minorHAnsi"/>
          <w:lang w:val="en-GB"/>
        </w:rPr>
        <w:t>und (ACCF)</w:t>
      </w:r>
      <w:r w:rsidR="0039180F" w:rsidRPr="00B7225D">
        <w:rPr>
          <w:rFonts w:asciiTheme="minorHAnsi" w:hAnsiTheme="minorHAnsi" w:cstheme="minorHAnsi"/>
          <w:lang w:val="en-GB"/>
        </w:rPr>
        <w:t xml:space="preserve"> and </w:t>
      </w:r>
      <w:r w:rsidRPr="00B7225D">
        <w:rPr>
          <w:rFonts w:asciiTheme="minorHAnsi" w:hAnsiTheme="minorHAnsi" w:cstheme="minorHAnsi"/>
          <w:lang w:val="en-GB"/>
        </w:rPr>
        <w:t xml:space="preserve">other partners. A second workshop was later organised </w:t>
      </w:r>
      <w:r w:rsidR="0039198E" w:rsidRPr="00B7225D">
        <w:rPr>
          <w:rFonts w:asciiTheme="minorHAnsi" w:hAnsiTheme="minorHAnsi" w:cstheme="minorHAnsi"/>
          <w:lang w:val="en-GB"/>
        </w:rPr>
        <w:t xml:space="preserve">by WRI, CSE, NEMA and ACCF </w:t>
      </w:r>
      <w:r w:rsidRPr="00B7225D">
        <w:rPr>
          <w:rFonts w:asciiTheme="minorHAnsi" w:hAnsiTheme="minorHAnsi" w:cstheme="minorHAnsi"/>
          <w:lang w:val="en-GB"/>
        </w:rPr>
        <w:t xml:space="preserve">on the side of </w:t>
      </w:r>
      <w:r w:rsidRPr="00B7225D">
        <w:rPr>
          <w:rFonts w:asciiTheme="minorHAnsi" w:hAnsiTheme="minorHAnsi" w:cstheme="minorHAnsi"/>
          <w:lang w:val="en-GB"/>
        </w:rPr>
        <w:lastRenderedPageBreak/>
        <w:t>the CoP22 in Marrakech to broaden t</w:t>
      </w:r>
      <w:r w:rsidR="00890619" w:rsidRPr="00B7225D">
        <w:rPr>
          <w:rFonts w:asciiTheme="minorHAnsi" w:hAnsiTheme="minorHAnsi" w:cstheme="minorHAnsi"/>
          <w:lang w:val="en-GB"/>
        </w:rPr>
        <w:t>he exchange to include other DAE</w:t>
      </w:r>
      <w:r w:rsidRPr="00B7225D">
        <w:rPr>
          <w:rFonts w:asciiTheme="minorHAnsi" w:hAnsiTheme="minorHAnsi" w:cstheme="minorHAnsi"/>
          <w:lang w:val="en-GB"/>
        </w:rPr>
        <w:t xml:space="preserve">s and institutions providing readiness support to help </w:t>
      </w:r>
      <w:r w:rsidR="00112FE5" w:rsidRPr="00B7225D">
        <w:rPr>
          <w:rFonts w:asciiTheme="minorHAnsi" w:hAnsiTheme="minorHAnsi" w:cstheme="minorHAnsi"/>
          <w:lang w:val="en-GB"/>
        </w:rPr>
        <w:t xml:space="preserve">developing </w:t>
      </w:r>
      <w:r w:rsidRPr="00B7225D">
        <w:rPr>
          <w:rFonts w:asciiTheme="minorHAnsi" w:hAnsiTheme="minorHAnsi" w:cstheme="minorHAnsi"/>
          <w:lang w:val="en-GB"/>
        </w:rPr>
        <w:t xml:space="preserve">countries access climate finance. </w:t>
      </w:r>
      <w:r w:rsidR="0039198E" w:rsidRPr="00B7225D">
        <w:rPr>
          <w:rFonts w:asciiTheme="minorHAnsi" w:hAnsiTheme="minorHAnsi" w:cstheme="minorHAnsi"/>
          <w:lang w:val="en-GB"/>
        </w:rPr>
        <w:t xml:space="preserve">At this meeting, a committee was set up to elaborate a concept note on the community of practice and propose a way forward. A draft concept note was developed and shared with </w:t>
      </w:r>
      <w:r w:rsidR="002C122A" w:rsidRPr="00B7225D">
        <w:rPr>
          <w:rFonts w:asciiTheme="minorHAnsi" w:hAnsiTheme="minorHAnsi" w:cstheme="minorHAnsi"/>
          <w:lang w:val="en-GB"/>
        </w:rPr>
        <w:t>participants at the</w:t>
      </w:r>
      <w:r w:rsidR="0039198E" w:rsidRPr="00B7225D">
        <w:rPr>
          <w:rFonts w:asciiTheme="minorHAnsi" w:hAnsiTheme="minorHAnsi" w:cstheme="minorHAnsi"/>
          <w:lang w:val="en-GB"/>
        </w:rPr>
        <w:t xml:space="preserve"> GCF’s Direct Access Week in Songdo, Korea in April 2017</w:t>
      </w:r>
      <w:r w:rsidR="002C122A" w:rsidRPr="00B7225D">
        <w:rPr>
          <w:rFonts w:asciiTheme="minorHAnsi" w:hAnsiTheme="minorHAnsi" w:cstheme="minorHAnsi"/>
          <w:lang w:val="en-GB"/>
        </w:rPr>
        <w:t xml:space="preserve"> where t</w:t>
      </w:r>
      <w:r w:rsidR="0039198E" w:rsidRPr="00B7225D">
        <w:rPr>
          <w:rFonts w:asciiTheme="minorHAnsi" w:hAnsiTheme="minorHAnsi" w:cstheme="minorHAnsi"/>
          <w:lang w:val="en-GB"/>
        </w:rPr>
        <w:t>he idea received broad support from DAEs</w:t>
      </w:r>
      <w:r w:rsidR="002C122A" w:rsidRPr="00B7225D">
        <w:rPr>
          <w:rFonts w:asciiTheme="minorHAnsi" w:hAnsiTheme="minorHAnsi" w:cstheme="minorHAnsi"/>
          <w:lang w:val="en-GB"/>
        </w:rPr>
        <w:t>, the</w:t>
      </w:r>
      <w:r w:rsidR="0039198E" w:rsidRPr="00B7225D">
        <w:rPr>
          <w:rFonts w:asciiTheme="minorHAnsi" w:hAnsiTheme="minorHAnsi" w:cstheme="minorHAnsi"/>
          <w:lang w:val="en-GB"/>
        </w:rPr>
        <w:t xml:space="preserve"> GCF Secretariat</w:t>
      </w:r>
      <w:r w:rsidR="002C122A" w:rsidRPr="00B7225D">
        <w:rPr>
          <w:rFonts w:asciiTheme="minorHAnsi" w:hAnsiTheme="minorHAnsi" w:cstheme="minorHAnsi"/>
          <w:lang w:val="en-GB"/>
        </w:rPr>
        <w:t>,</w:t>
      </w:r>
      <w:r w:rsidR="0039198E" w:rsidRPr="00B7225D">
        <w:rPr>
          <w:rFonts w:asciiTheme="minorHAnsi" w:hAnsiTheme="minorHAnsi" w:cstheme="minorHAnsi"/>
          <w:lang w:val="en-GB"/>
        </w:rPr>
        <w:t xml:space="preserve"> and </w:t>
      </w:r>
      <w:r w:rsidR="00890619" w:rsidRPr="00B7225D">
        <w:rPr>
          <w:rFonts w:asciiTheme="minorHAnsi" w:hAnsiTheme="minorHAnsi" w:cstheme="minorHAnsi"/>
          <w:lang w:val="en-GB"/>
        </w:rPr>
        <w:t>several readiness partners who expressed interest in supporting the initiative.</w:t>
      </w:r>
      <w:r w:rsidR="0039198E" w:rsidRPr="00B7225D">
        <w:rPr>
          <w:rFonts w:asciiTheme="minorHAnsi" w:hAnsiTheme="minorHAnsi" w:cstheme="minorHAnsi"/>
          <w:lang w:val="en-GB"/>
        </w:rPr>
        <w:t xml:space="preserve"> </w:t>
      </w:r>
      <w:r w:rsidR="00112FE5" w:rsidRPr="00B7225D">
        <w:rPr>
          <w:rFonts w:asciiTheme="minorHAnsi" w:hAnsiTheme="minorHAnsi" w:cstheme="minorHAnsi"/>
          <w:lang w:val="en-GB"/>
        </w:rPr>
        <w:t>Workshops were also organized on the topic in th</w:t>
      </w:r>
      <w:r w:rsidR="0088165D" w:rsidRPr="00B7225D">
        <w:rPr>
          <w:rFonts w:asciiTheme="minorHAnsi" w:hAnsiTheme="minorHAnsi" w:cstheme="minorHAnsi"/>
          <w:lang w:val="en-GB"/>
        </w:rPr>
        <w:t>e</w:t>
      </w:r>
      <w:r w:rsidR="00112FE5" w:rsidRPr="00B7225D">
        <w:rPr>
          <w:rFonts w:asciiTheme="minorHAnsi" w:hAnsiTheme="minorHAnsi" w:cstheme="minorHAnsi"/>
          <w:lang w:val="en-GB"/>
        </w:rPr>
        <w:t xml:space="preserve"> margin of COP 23 in Bonn and COP 24 in Katowice. Over time, the community has evolved to include DAEs from the globe, regardless of the funding mechanisms they are accredited with.</w:t>
      </w:r>
    </w:p>
    <w:p w14:paraId="3991CEEA" w14:textId="77777777" w:rsidR="00E8073E" w:rsidRPr="00B7225D" w:rsidRDefault="00E8073E" w:rsidP="00532A9F">
      <w:pPr>
        <w:jc w:val="both"/>
        <w:rPr>
          <w:rFonts w:asciiTheme="minorHAnsi" w:hAnsiTheme="minorHAnsi" w:cstheme="minorHAnsi"/>
          <w:lang w:val="en-GB"/>
        </w:rPr>
      </w:pPr>
    </w:p>
    <w:p w14:paraId="29BBBD8D" w14:textId="1D795883" w:rsidR="00E8073E" w:rsidRDefault="001C7671" w:rsidP="00D84E10">
      <w:pPr>
        <w:pStyle w:val="Letterbody"/>
        <w:tabs>
          <w:tab w:val="left" w:pos="8280"/>
        </w:tabs>
        <w:ind w:left="0" w:right="0"/>
        <w:jc w:val="both"/>
        <w:rPr>
          <w:rFonts w:asciiTheme="minorHAnsi" w:hAnsiTheme="minorHAnsi" w:cstheme="minorHAnsi"/>
          <w:color w:val="auto"/>
          <w:sz w:val="22"/>
          <w:szCs w:val="22"/>
        </w:rPr>
      </w:pPr>
      <w:r w:rsidRPr="00B7225D">
        <w:rPr>
          <w:rFonts w:asciiTheme="minorHAnsi" w:hAnsiTheme="minorHAnsi" w:cstheme="minorHAnsi"/>
          <w:color w:val="auto"/>
          <w:sz w:val="22"/>
          <w:szCs w:val="22"/>
          <w:lang w:val="en-GB"/>
        </w:rPr>
        <w:t xml:space="preserve">In parallel, the Adaptation Fund </w:t>
      </w:r>
      <w:r w:rsidR="0005023B" w:rsidRPr="00B7225D">
        <w:rPr>
          <w:rFonts w:asciiTheme="minorHAnsi" w:hAnsiTheme="minorHAnsi" w:cstheme="minorHAnsi"/>
          <w:color w:val="auto"/>
          <w:sz w:val="22"/>
          <w:szCs w:val="22"/>
          <w:lang w:val="en-GB"/>
        </w:rPr>
        <w:t xml:space="preserve">since May 2014 </w:t>
      </w:r>
      <w:r w:rsidRPr="00B7225D">
        <w:rPr>
          <w:rFonts w:asciiTheme="minorHAnsi" w:hAnsiTheme="minorHAnsi" w:cstheme="minorHAnsi"/>
          <w:color w:val="auto"/>
          <w:sz w:val="22"/>
          <w:szCs w:val="22"/>
          <w:lang w:val="en-GB"/>
        </w:rPr>
        <w:t>has organised a series of workshops on direct access</w:t>
      </w:r>
      <w:r w:rsidR="00112FE5" w:rsidRPr="00B7225D">
        <w:rPr>
          <w:rFonts w:asciiTheme="minorHAnsi" w:hAnsiTheme="minorHAnsi" w:cstheme="minorHAnsi"/>
          <w:color w:val="auto"/>
          <w:sz w:val="22"/>
          <w:szCs w:val="22"/>
          <w:lang w:val="en-GB"/>
        </w:rPr>
        <w:t xml:space="preserve"> (Climate Finance Readiness Workshops and webinars)</w:t>
      </w:r>
      <w:r w:rsidRPr="00B7225D">
        <w:rPr>
          <w:rFonts w:asciiTheme="minorHAnsi" w:hAnsiTheme="minorHAnsi" w:cstheme="minorHAnsi"/>
          <w:color w:val="auto"/>
          <w:sz w:val="22"/>
          <w:szCs w:val="22"/>
          <w:lang w:val="en-GB"/>
        </w:rPr>
        <w:t xml:space="preserve">, out of which a community of practice of national institutions accredited to the AF has emerged. </w:t>
      </w:r>
      <w:r w:rsidR="004671ED" w:rsidRPr="00B7225D">
        <w:rPr>
          <w:rFonts w:asciiTheme="minorHAnsi" w:hAnsiTheme="minorHAnsi" w:cstheme="minorHAnsi"/>
          <w:color w:val="auto"/>
          <w:sz w:val="22"/>
          <w:szCs w:val="22"/>
        </w:rPr>
        <w:t xml:space="preserve">This community has, among other things, discussed the establishment of an online platform that would provide an avenue for knowledge sharing, collaboration and peer support to increase the effectiveness of adaptation projects and programmes implemented through direct access. </w:t>
      </w:r>
    </w:p>
    <w:p w14:paraId="53455455" w14:textId="77777777" w:rsidR="00602A7A" w:rsidRPr="00B7225D" w:rsidRDefault="00602A7A" w:rsidP="00D84E10">
      <w:pPr>
        <w:pStyle w:val="Letterbody"/>
        <w:tabs>
          <w:tab w:val="left" w:pos="8280"/>
        </w:tabs>
        <w:ind w:left="0" w:right="0"/>
        <w:jc w:val="both"/>
        <w:rPr>
          <w:rFonts w:asciiTheme="minorHAnsi" w:hAnsiTheme="minorHAnsi" w:cstheme="minorHAnsi"/>
          <w:color w:val="auto"/>
          <w:sz w:val="22"/>
          <w:szCs w:val="22"/>
          <w:lang w:val="en-GB"/>
        </w:rPr>
      </w:pPr>
    </w:p>
    <w:p w14:paraId="626BF910" w14:textId="40285D36" w:rsidR="00890619" w:rsidRPr="00B7225D" w:rsidRDefault="00890619" w:rsidP="00D84E10">
      <w:pPr>
        <w:jc w:val="both"/>
        <w:rPr>
          <w:rFonts w:asciiTheme="minorHAnsi" w:hAnsiTheme="minorHAnsi" w:cstheme="minorHAnsi"/>
          <w:lang w:val="en-GB"/>
        </w:rPr>
      </w:pPr>
      <w:r w:rsidRPr="00B7225D">
        <w:rPr>
          <w:rFonts w:asciiTheme="minorHAnsi" w:hAnsiTheme="minorHAnsi" w:cstheme="minorHAnsi"/>
          <w:lang w:val="en-GB"/>
        </w:rPr>
        <w:t xml:space="preserve">The </w:t>
      </w:r>
      <w:r w:rsidR="000713C4" w:rsidRPr="00B7225D">
        <w:rPr>
          <w:rFonts w:asciiTheme="minorHAnsi" w:hAnsiTheme="minorHAnsi" w:cstheme="minorHAnsi"/>
          <w:lang w:val="en-GB"/>
        </w:rPr>
        <w:t xml:space="preserve">Community of </w:t>
      </w:r>
      <w:r w:rsidR="00602A7A">
        <w:rPr>
          <w:rFonts w:asciiTheme="minorHAnsi" w:hAnsiTheme="minorHAnsi" w:cstheme="minorHAnsi"/>
          <w:lang w:val="en-GB"/>
        </w:rPr>
        <w:t xml:space="preserve">Practice for </w:t>
      </w:r>
      <w:r w:rsidR="004671ED" w:rsidRPr="00B7225D">
        <w:rPr>
          <w:rFonts w:asciiTheme="minorHAnsi" w:hAnsiTheme="minorHAnsi" w:cstheme="minorHAnsi"/>
          <w:lang w:val="en-GB"/>
        </w:rPr>
        <w:t xml:space="preserve">Direct Access </w:t>
      </w:r>
      <w:r w:rsidR="000713C4" w:rsidRPr="00B7225D">
        <w:rPr>
          <w:rFonts w:asciiTheme="minorHAnsi" w:hAnsiTheme="minorHAnsi" w:cstheme="minorHAnsi"/>
          <w:lang w:val="en-GB"/>
        </w:rPr>
        <w:t>Entities</w:t>
      </w:r>
      <w:r w:rsidRPr="00B7225D">
        <w:rPr>
          <w:rFonts w:asciiTheme="minorHAnsi" w:hAnsiTheme="minorHAnsi" w:cstheme="minorHAnsi"/>
          <w:lang w:val="en-GB"/>
        </w:rPr>
        <w:t xml:space="preserve"> </w:t>
      </w:r>
      <w:r w:rsidR="009A0526" w:rsidRPr="00B7225D">
        <w:rPr>
          <w:rFonts w:asciiTheme="minorHAnsi" w:hAnsiTheme="minorHAnsi" w:cstheme="minorHAnsi"/>
          <w:lang w:val="en-GB"/>
        </w:rPr>
        <w:t>(</w:t>
      </w:r>
      <w:r w:rsidR="00602A7A">
        <w:rPr>
          <w:rFonts w:asciiTheme="minorHAnsi" w:hAnsiTheme="minorHAnsi" w:cstheme="minorHAnsi"/>
          <w:lang w:val="en-GB"/>
        </w:rPr>
        <w:t>CPDAE</w:t>
      </w:r>
      <w:r w:rsidR="009A0526" w:rsidRPr="00B7225D">
        <w:rPr>
          <w:rFonts w:asciiTheme="minorHAnsi" w:hAnsiTheme="minorHAnsi" w:cstheme="minorHAnsi"/>
          <w:lang w:val="en-GB"/>
        </w:rPr>
        <w:t xml:space="preserve">) </w:t>
      </w:r>
      <w:r w:rsidR="002C122A" w:rsidRPr="00B7225D">
        <w:rPr>
          <w:rFonts w:asciiTheme="minorHAnsi" w:hAnsiTheme="minorHAnsi" w:cstheme="minorHAnsi"/>
          <w:lang w:val="en-GB"/>
        </w:rPr>
        <w:t xml:space="preserve">is the combined result of these two parallel initiatives. </w:t>
      </w:r>
      <w:r w:rsidR="00ED3115" w:rsidRPr="00B7225D">
        <w:rPr>
          <w:rFonts w:asciiTheme="minorHAnsi" w:hAnsiTheme="minorHAnsi" w:cstheme="minorHAnsi"/>
          <w:lang w:val="en-GB"/>
        </w:rPr>
        <w:t>The Community is governed directly by DAEs, with secretarial and financial assistance from partner institutions</w:t>
      </w:r>
      <w:r w:rsidR="00D51460" w:rsidRPr="00B7225D">
        <w:rPr>
          <w:rFonts w:asciiTheme="minorHAnsi" w:hAnsiTheme="minorHAnsi" w:cstheme="minorHAnsi"/>
          <w:lang w:val="en-GB"/>
        </w:rPr>
        <w:t xml:space="preserve"> (including the Africa Climate </w:t>
      </w:r>
      <w:r w:rsidR="00AA0E50" w:rsidRPr="00B7225D">
        <w:rPr>
          <w:rFonts w:asciiTheme="minorHAnsi" w:hAnsiTheme="minorHAnsi" w:cstheme="minorHAnsi"/>
          <w:lang w:val="en-GB"/>
        </w:rPr>
        <w:t xml:space="preserve">Change </w:t>
      </w:r>
      <w:r w:rsidR="00D51460" w:rsidRPr="00B7225D">
        <w:rPr>
          <w:rFonts w:asciiTheme="minorHAnsi" w:hAnsiTheme="minorHAnsi" w:cstheme="minorHAnsi"/>
          <w:lang w:val="en-GB"/>
        </w:rPr>
        <w:t>Fund</w:t>
      </w:r>
      <w:r w:rsidR="00AA0E50" w:rsidRPr="00B7225D">
        <w:rPr>
          <w:rFonts w:asciiTheme="minorHAnsi" w:hAnsiTheme="minorHAnsi" w:cstheme="minorHAnsi"/>
          <w:lang w:val="en-GB"/>
        </w:rPr>
        <w:t>, the World Resources Institute</w:t>
      </w:r>
      <w:r w:rsidR="00D51460" w:rsidRPr="00B7225D">
        <w:rPr>
          <w:rFonts w:asciiTheme="minorHAnsi" w:hAnsiTheme="minorHAnsi" w:cstheme="minorHAnsi"/>
          <w:lang w:val="en-GB"/>
        </w:rPr>
        <w:t xml:space="preserve"> and the Adaptation Fund)</w:t>
      </w:r>
      <w:r w:rsidR="00ED3115" w:rsidRPr="00B7225D">
        <w:rPr>
          <w:rFonts w:asciiTheme="minorHAnsi" w:hAnsiTheme="minorHAnsi" w:cstheme="minorHAnsi"/>
          <w:lang w:val="en-GB"/>
        </w:rPr>
        <w:t xml:space="preserve">. </w:t>
      </w:r>
      <w:r w:rsidR="002C122A" w:rsidRPr="00B7225D">
        <w:rPr>
          <w:rFonts w:asciiTheme="minorHAnsi" w:hAnsiTheme="minorHAnsi" w:cstheme="minorHAnsi"/>
          <w:lang w:val="en-GB"/>
        </w:rPr>
        <w:t>Community</w:t>
      </w:r>
      <w:r w:rsidR="000B5A0B" w:rsidRPr="00B7225D">
        <w:rPr>
          <w:rFonts w:asciiTheme="minorHAnsi" w:hAnsiTheme="minorHAnsi" w:cstheme="minorHAnsi"/>
          <w:lang w:val="en-GB"/>
        </w:rPr>
        <w:t xml:space="preserve"> members have expressed interest in</w:t>
      </w:r>
      <w:r w:rsidR="004671ED" w:rsidRPr="00B7225D">
        <w:rPr>
          <w:rFonts w:asciiTheme="minorHAnsi" w:hAnsiTheme="minorHAnsi" w:cstheme="minorHAnsi"/>
          <w:lang w:val="en-GB"/>
        </w:rPr>
        <w:t>, among other things</w:t>
      </w:r>
      <w:r w:rsidRPr="00B7225D">
        <w:rPr>
          <w:rFonts w:asciiTheme="minorHAnsi" w:hAnsiTheme="minorHAnsi" w:cstheme="minorHAnsi"/>
          <w:lang w:val="en-GB"/>
        </w:rPr>
        <w:t xml:space="preserve">: </w:t>
      </w:r>
    </w:p>
    <w:p w14:paraId="633EBEEA" w14:textId="77777777" w:rsidR="00890619" w:rsidRPr="00B7225D" w:rsidRDefault="00890619" w:rsidP="00D84E10">
      <w:pPr>
        <w:jc w:val="both"/>
        <w:rPr>
          <w:rFonts w:asciiTheme="minorHAnsi" w:hAnsiTheme="minorHAnsi" w:cstheme="minorHAnsi"/>
          <w:lang w:val="en-GB"/>
        </w:rPr>
      </w:pPr>
    </w:p>
    <w:p w14:paraId="792F0A9E" w14:textId="43015736" w:rsidR="00890619" w:rsidRPr="00B7225D" w:rsidRDefault="00ED3115" w:rsidP="00D84E10">
      <w:pPr>
        <w:pStyle w:val="ListParagraph"/>
        <w:numPr>
          <w:ilvl w:val="0"/>
          <w:numId w:val="4"/>
        </w:numPr>
        <w:spacing w:after="200" w:line="276" w:lineRule="auto"/>
        <w:jc w:val="both"/>
        <w:rPr>
          <w:rFonts w:asciiTheme="minorHAnsi" w:hAnsiTheme="minorHAnsi" w:cstheme="minorHAnsi"/>
          <w:lang w:val="en-GB"/>
        </w:rPr>
      </w:pPr>
      <w:r w:rsidRPr="00B7225D">
        <w:rPr>
          <w:rFonts w:asciiTheme="minorHAnsi" w:hAnsiTheme="minorHAnsi" w:cstheme="minorHAnsi"/>
          <w:lang w:val="en-GB"/>
        </w:rPr>
        <w:t>D</w:t>
      </w:r>
      <w:r w:rsidR="00890619" w:rsidRPr="00B7225D">
        <w:rPr>
          <w:rFonts w:asciiTheme="minorHAnsi" w:hAnsiTheme="minorHAnsi" w:cstheme="minorHAnsi"/>
          <w:lang w:val="en-GB"/>
        </w:rPr>
        <w:t xml:space="preserve">evelopment of an online platform for experience sharing. This platform will be composed of various groups which will allow DAEs to have a private space for communication and sharing of material among themselves, while also providing a space for public exchange. </w:t>
      </w:r>
    </w:p>
    <w:p w14:paraId="1CB75A05" w14:textId="5EDB4198" w:rsidR="00890619" w:rsidRPr="008F0F38" w:rsidRDefault="00890619" w:rsidP="00D84E10">
      <w:pPr>
        <w:pStyle w:val="ListParagraph"/>
        <w:numPr>
          <w:ilvl w:val="0"/>
          <w:numId w:val="4"/>
        </w:numPr>
        <w:spacing w:after="200" w:line="276" w:lineRule="auto"/>
        <w:jc w:val="both"/>
        <w:rPr>
          <w:rFonts w:asciiTheme="minorHAnsi" w:hAnsiTheme="minorHAnsi" w:cstheme="minorHAnsi"/>
          <w:lang w:val="en-GB"/>
        </w:rPr>
      </w:pPr>
      <w:r w:rsidRPr="00B7225D">
        <w:rPr>
          <w:rFonts w:asciiTheme="minorHAnsi" w:hAnsiTheme="minorHAnsi" w:cstheme="minorHAnsi"/>
          <w:lang w:val="en-GB"/>
        </w:rPr>
        <w:t xml:space="preserve">Development of a capacity building </w:t>
      </w:r>
      <w:r w:rsidR="00ED3115" w:rsidRPr="00B7225D">
        <w:rPr>
          <w:rFonts w:asciiTheme="minorHAnsi" w:hAnsiTheme="minorHAnsi" w:cstheme="minorHAnsi"/>
          <w:lang w:val="en-GB"/>
        </w:rPr>
        <w:t xml:space="preserve">and training of trainers </w:t>
      </w:r>
      <w:r w:rsidRPr="00B7225D">
        <w:rPr>
          <w:rFonts w:asciiTheme="minorHAnsi" w:hAnsiTheme="minorHAnsi" w:cstheme="minorHAnsi"/>
          <w:lang w:val="en-GB"/>
        </w:rPr>
        <w:t>programme</w:t>
      </w:r>
      <w:r w:rsidR="00ED3115" w:rsidRPr="00B7225D">
        <w:rPr>
          <w:rFonts w:asciiTheme="minorHAnsi" w:hAnsiTheme="minorHAnsi" w:cstheme="minorHAnsi"/>
          <w:lang w:val="en-GB"/>
        </w:rPr>
        <w:t>s</w:t>
      </w:r>
      <w:r w:rsidRPr="00B7225D">
        <w:rPr>
          <w:rFonts w:asciiTheme="minorHAnsi" w:hAnsiTheme="minorHAnsi" w:cstheme="minorHAnsi"/>
          <w:lang w:val="en-GB"/>
        </w:rPr>
        <w:t xml:space="preserve"> with training modules in several languages on the themes relevant to </w:t>
      </w:r>
      <w:r w:rsidR="00BD64C5" w:rsidRPr="00B7225D">
        <w:rPr>
          <w:rFonts w:asciiTheme="minorHAnsi" w:hAnsiTheme="minorHAnsi" w:cstheme="minorHAnsi"/>
          <w:lang w:val="en-GB"/>
        </w:rPr>
        <w:t>DAEs</w:t>
      </w:r>
      <w:r w:rsidRPr="00B7225D">
        <w:rPr>
          <w:rFonts w:asciiTheme="minorHAnsi" w:hAnsiTheme="minorHAnsi" w:cstheme="minorHAnsi"/>
          <w:lang w:val="en-GB"/>
        </w:rPr>
        <w:t>, with a focus on direct access (</w:t>
      </w:r>
      <w:r w:rsidR="0005023B" w:rsidRPr="00B7225D">
        <w:rPr>
          <w:rFonts w:asciiTheme="minorHAnsi" w:hAnsiTheme="minorHAnsi" w:cstheme="minorHAnsi"/>
          <w:lang w:val="en-GB"/>
        </w:rPr>
        <w:t xml:space="preserve">through </w:t>
      </w:r>
      <w:r w:rsidRPr="008F0F38">
        <w:rPr>
          <w:rFonts w:asciiTheme="minorHAnsi" w:hAnsiTheme="minorHAnsi" w:cstheme="minorHAnsi"/>
          <w:lang w:val="en-GB"/>
        </w:rPr>
        <w:t xml:space="preserve">accreditation), project development, and monitoring and evaluation of projects. </w:t>
      </w:r>
      <w:r w:rsidR="004C2959" w:rsidRPr="008F0F38">
        <w:rPr>
          <w:rFonts w:asciiTheme="minorHAnsi" w:hAnsiTheme="minorHAnsi" w:cstheme="minorHAnsi"/>
          <w:lang w:val="en-GB"/>
        </w:rPr>
        <w:t xml:space="preserve">These programs </w:t>
      </w:r>
      <w:r w:rsidR="00ED3115" w:rsidRPr="008F0F38">
        <w:rPr>
          <w:rFonts w:asciiTheme="minorHAnsi" w:hAnsiTheme="minorHAnsi" w:cstheme="minorHAnsi"/>
          <w:lang w:val="en-GB"/>
        </w:rPr>
        <w:t>would</w:t>
      </w:r>
      <w:r w:rsidR="004C2959" w:rsidRPr="008F0F38">
        <w:rPr>
          <w:rFonts w:asciiTheme="minorHAnsi" w:hAnsiTheme="minorHAnsi" w:cstheme="minorHAnsi"/>
          <w:lang w:val="en-GB"/>
        </w:rPr>
        <w:t xml:space="preserve"> support the capacity within DAEs themselves, as well as </w:t>
      </w:r>
      <w:r w:rsidR="00ED3115" w:rsidRPr="008F0F38">
        <w:rPr>
          <w:rFonts w:asciiTheme="minorHAnsi" w:hAnsiTheme="minorHAnsi" w:cstheme="minorHAnsi"/>
          <w:lang w:val="en-GB"/>
        </w:rPr>
        <w:t xml:space="preserve">the development of a roster of </w:t>
      </w:r>
      <w:r w:rsidR="0096501D" w:rsidRPr="008F0F38">
        <w:rPr>
          <w:rFonts w:asciiTheme="minorHAnsi" w:hAnsiTheme="minorHAnsi" w:cstheme="minorHAnsi"/>
          <w:lang w:val="en-GB"/>
        </w:rPr>
        <w:t xml:space="preserve">certified </w:t>
      </w:r>
      <w:r w:rsidR="00ED3115" w:rsidRPr="008F0F38">
        <w:rPr>
          <w:rFonts w:asciiTheme="minorHAnsi" w:hAnsiTheme="minorHAnsi" w:cstheme="minorHAnsi"/>
          <w:lang w:val="en-GB"/>
        </w:rPr>
        <w:t xml:space="preserve">experts to support national institutions with the accreditation and project development process.  </w:t>
      </w:r>
    </w:p>
    <w:p w14:paraId="362307A0" w14:textId="60C10D6E" w:rsidR="004C2959" w:rsidRPr="008F0F38" w:rsidRDefault="001B1DBD" w:rsidP="00D84E10">
      <w:pPr>
        <w:pStyle w:val="ListParagraph"/>
        <w:numPr>
          <w:ilvl w:val="0"/>
          <w:numId w:val="4"/>
        </w:numPr>
        <w:spacing w:after="200" w:line="276" w:lineRule="auto"/>
        <w:jc w:val="both"/>
        <w:rPr>
          <w:rFonts w:asciiTheme="minorHAnsi" w:hAnsiTheme="minorHAnsi" w:cstheme="minorHAnsi"/>
          <w:lang w:val="en-GB"/>
        </w:rPr>
      </w:pPr>
      <w:r w:rsidRPr="008F0F38">
        <w:rPr>
          <w:rFonts w:asciiTheme="minorHAnsi" w:hAnsiTheme="minorHAnsi" w:cstheme="minorHAnsi"/>
          <w:lang w:val="en-GB"/>
        </w:rPr>
        <w:t xml:space="preserve">Sharing of knowledge through different actions: </w:t>
      </w:r>
      <w:r w:rsidR="00ED3115" w:rsidRPr="008F0F38">
        <w:rPr>
          <w:rFonts w:asciiTheme="minorHAnsi" w:hAnsiTheme="minorHAnsi" w:cstheme="minorHAnsi"/>
          <w:lang w:val="en-GB"/>
        </w:rPr>
        <w:t xml:space="preserve">regional or </w:t>
      </w:r>
      <w:r w:rsidR="00890619" w:rsidRPr="008F0F38">
        <w:rPr>
          <w:rFonts w:asciiTheme="minorHAnsi" w:hAnsiTheme="minorHAnsi" w:cstheme="minorHAnsi"/>
          <w:lang w:val="en-GB"/>
        </w:rPr>
        <w:t>sub-regional forums</w:t>
      </w:r>
      <w:r w:rsidRPr="008F0F38">
        <w:rPr>
          <w:rFonts w:asciiTheme="minorHAnsi" w:hAnsiTheme="minorHAnsi" w:cstheme="minorHAnsi"/>
          <w:lang w:val="en-GB"/>
        </w:rPr>
        <w:t xml:space="preserve">, </w:t>
      </w:r>
      <w:r w:rsidR="004671ED" w:rsidRPr="008F0F38">
        <w:rPr>
          <w:rFonts w:asciiTheme="minorHAnsi" w:hAnsiTheme="minorHAnsi" w:cstheme="minorHAnsi"/>
          <w:lang w:val="en-GB"/>
        </w:rPr>
        <w:t>global</w:t>
      </w:r>
      <w:r w:rsidR="00ED3115" w:rsidRPr="008F0F38">
        <w:rPr>
          <w:rFonts w:asciiTheme="minorHAnsi" w:hAnsiTheme="minorHAnsi" w:cstheme="minorHAnsi"/>
          <w:lang w:val="en-GB"/>
        </w:rPr>
        <w:t xml:space="preserve"> </w:t>
      </w:r>
      <w:r w:rsidR="00890619" w:rsidRPr="008F0F38">
        <w:rPr>
          <w:rFonts w:asciiTheme="minorHAnsi" w:hAnsiTheme="minorHAnsi" w:cstheme="minorHAnsi"/>
          <w:lang w:val="en-GB"/>
        </w:rPr>
        <w:t>workshop</w:t>
      </w:r>
      <w:r w:rsidR="004671ED" w:rsidRPr="008F0F38">
        <w:rPr>
          <w:rFonts w:asciiTheme="minorHAnsi" w:hAnsiTheme="minorHAnsi" w:cstheme="minorHAnsi"/>
          <w:lang w:val="en-GB"/>
        </w:rPr>
        <w:t>s</w:t>
      </w:r>
      <w:r w:rsidRPr="008F0F38">
        <w:rPr>
          <w:rFonts w:asciiTheme="minorHAnsi" w:hAnsiTheme="minorHAnsi" w:cstheme="minorHAnsi"/>
          <w:lang w:val="en-GB"/>
        </w:rPr>
        <w:t>, south-south cooperation projects, annual meetings, virtual meetings</w:t>
      </w:r>
      <w:r w:rsidR="00890619" w:rsidRPr="008F0F38">
        <w:rPr>
          <w:rFonts w:asciiTheme="minorHAnsi" w:hAnsiTheme="minorHAnsi" w:cstheme="minorHAnsi"/>
          <w:lang w:val="en-GB"/>
        </w:rPr>
        <w:t xml:space="preserve">. These </w:t>
      </w:r>
      <w:r w:rsidRPr="008F0F38">
        <w:rPr>
          <w:rFonts w:asciiTheme="minorHAnsi" w:hAnsiTheme="minorHAnsi" w:cstheme="minorHAnsi"/>
          <w:lang w:val="en-GB"/>
        </w:rPr>
        <w:t xml:space="preserve">actions </w:t>
      </w:r>
      <w:r w:rsidR="00890619" w:rsidRPr="008F0F38">
        <w:rPr>
          <w:rFonts w:asciiTheme="minorHAnsi" w:hAnsiTheme="minorHAnsi" w:cstheme="minorHAnsi"/>
          <w:lang w:val="en-GB"/>
        </w:rPr>
        <w:t>will allow both for a</w:t>
      </w:r>
      <w:r w:rsidR="004C2959" w:rsidRPr="008F0F38">
        <w:rPr>
          <w:rFonts w:asciiTheme="minorHAnsi" w:hAnsiTheme="minorHAnsi" w:cstheme="minorHAnsi"/>
          <w:lang w:val="en-GB"/>
        </w:rPr>
        <w:t xml:space="preserve"> direct</w:t>
      </w:r>
      <w:r w:rsidR="00890619" w:rsidRPr="008F0F38">
        <w:rPr>
          <w:rFonts w:asciiTheme="minorHAnsi" w:hAnsiTheme="minorHAnsi" w:cstheme="minorHAnsi"/>
          <w:lang w:val="en-GB"/>
        </w:rPr>
        <w:t xml:space="preserve"> exchange of experiences among NIE</w:t>
      </w:r>
      <w:r w:rsidR="004C2959" w:rsidRPr="008F0F38">
        <w:rPr>
          <w:rFonts w:asciiTheme="minorHAnsi" w:hAnsiTheme="minorHAnsi" w:cstheme="minorHAnsi"/>
          <w:lang w:val="en-GB"/>
        </w:rPr>
        <w:t xml:space="preserve">, and the development </w:t>
      </w:r>
      <w:r w:rsidR="000B6F53" w:rsidRPr="008F0F38">
        <w:rPr>
          <w:rFonts w:asciiTheme="minorHAnsi" w:hAnsiTheme="minorHAnsi" w:cstheme="minorHAnsi"/>
          <w:lang w:val="en-GB"/>
        </w:rPr>
        <w:t xml:space="preserve">of </w:t>
      </w:r>
      <w:r w:rsidR="004C2959" w:rsidRPr="008F0F38">
        <w:rPr>
          <w:rFonts w:asciiTheme="minorHAnsi" w:hAnsiTheme="minorHAnsi" w:cstheme="minorHAnsi"/>
          <w:lang w:val="en-GB"/>
        </w:rPr>
        <w:t>a true community of practitioners.</w:t>
      </w:r>
    </w:p>
    <w:p w14:paraId="0FB8889B" w14:textId="4D77C4CA" w:rsidR="004C2959" w:rsidRPr="00567259" w:rsidRDefault="00173BAC" w:rsidP="00567259">
      <w:pPr>
        <w:pStyle w:val="ListParagraph"/>
        <w:numPr>
          <w:ilvl w:val="0"/>
          <w:numId w:val="4"/>
        </w:numPr>
        <w:spacing w:after="200" w:line="276" w:lineRule="auto"/>
        <w:jc w:val="both"/>
        <w:rPr>
          <w:rFonts w:asciiTheme="minorHAnsi" w:hAnsiTheme="minorHAnsi" w:cstheme="minorHAnsi"/>
          <w:lang w:val="en-GB"/>
        </w:rPr>
      </w:pPr>
      <w:r w:rsidRPr="008F0F38">
        <w:rPr>
          <w:rFonts w:asciiTheme="minorHAnsi" w:hAnsiTheme="minorHAnsi" w:cstheme="minorHAnsi"/>
          <w:lang w:val="en-GB"/>
        </w:rPr>
        <w:t>Support for b</w:t>
      </w:r>
      <w:r w:rsidR="00890619" w:rsidRPr="008F0F38">
        <w:rPr>
          <w:rFonts w:asciiTheme="minorHAnsi" w:hAnsiTheme="minorHAnsi" w:cstheme="minorHAnsi"/>
          <w:lang w:val="en-GB"/>
        </w:rPr>
        <w:t>ilateral cooperation</w:t>
      </w:r>
      <w:r w:rsidR="007E1983" w:rsidRPr="008F0F38">
        <w:rPr>
          <w:rFonts w:asciiTheme="minorHAnsi" w:hAnsiTheme="minorHAnsi" w:cstheme="minorHAnsi"/>
          <w:lang w:val="en-GB"/>
        </w:rPr>
        <w:t xml:space="preserve"> between DAEs, or between DAEs and future accredited entities</w:t>
      </w:r>
      <w:r w:rsidR="00890619" w:rsidRPr="008F0F38">
        <w:rPr>
          <w:rFonts w:asciiTheme="minorHAnsi" w:hAnsiTheme="minorHAnsi" w:cstheme="minorHAnsi"/>
          <w:lang w:val="en-GB"/>
        </w:rPr>
        <w:t>. Th</w:t>
      </w:r>
      <w:r w:rsidR="000B5A0B" w:rsidRPr="008F0F38">
        <w:rPr>
          <w:rFonts w:asciiTheme="minorHAnsi" w:hAnsiTheme="minorHAnsi" w:cstheme="minorHAnsi"/>
          <w:lang w:val="en-GB"/>
        </w:rPr>
        <w:t xml:space="preserve">e aim is to enable </w:t>
      </w:r>
      <w:r w:rsidR="00890619" w:rsidRPr="008F0F38">
        <w:rPr>
          <w:rFonts w:asciiTheme="minorHAnsi" w:hAnsiTheme="minorHAnsi" w:cstheme="minorHAnsi"/>
          <w:lang w:val="en-GB"/>
        </w:rPr>
        <w:t>DAEs</w:t>
      </w:r>
      <w:r w:rsidR="00890619" w:rsidRPr="00567259">
        <w:rPr>
          <w:rFonts w:asciiTheme="minorHAnsi" w:hAnsiTheme="minorHAnsi" w:cstheme="minorHAnsi"/>
          <w:lang w:val="en-GB"/>
        </w:rPr>
        <w:t xml:space="preserve"> to work </w:t>
      </w:r>
      <w:r w:rsidR="007E1983" w:rsidRPr="00567259">
        <w:rPr>
          <w:rFonts w:asciiTheme="minorHAnsi" w:hAnsiTheme="minorHAnsi" w:cstheme="minorHAnsi"/>
          <w:lang w:val="en-GB"/>
        </w:rPr>
        <w:t>directly in partnership with each other, or with</w:t>
      </w:r>
      <w:r w:rsidR="00890619" w:rsidRPr="00567259">
        <w:rPr>
          <w:rFonts w:asciiTheme="minorHAnsi" w:hAnsiTheme="minorHAnsi" w:cstheme="minorHAnsi"/>
          <w:lang w:val="en-GB"/>
        </w:rPr>
        <w:t xml:space="preserve"> national institutions that are in the process of applying for accreditation</w:t>
      </w:r>
      <w:r w:rsidR="000B5A0B" w:rsidRPr="00567259">
        <w:rPr>
          <w:rFonts w:asciiTheme="minorHAnsi" w:hAnsiTheme="minorHAnsi" w:cstheme="minorHAnsi"/>
          <w:lang w:val="en-GB"/>
        </w:rPr>
        <w:t>,</w:t>
      </w:r>
      <w:r w:rsidR="00890619" w:rsidRPr="00567259">
        <w:rPr>
          <w:rFonts w:asciiTheme="minorHAnsi" w:hAnsiTheme="minorHAnsi" w:cstheme="minorHAnsi"/>
          <w:lang w:val="en-GB"/>
        </w:rPr>
        <w:t xml:space="preserve"> </w:t>
      </w:r>
      <w:r w:rsidR="000B5A0B" w:rsidRPr="00567259">
        <w:rPr>
          <w:rFonts w:asciiTheme="minorHAnsi" w:hAnsiTheme="minorHAnsi" w:cstheme="minorHAnsi"/>
          <w:lang w:val="en-GB"/>
        </w:rPr>
        <w:t>to</w:t>
      </w:r>
      <w:r w:rsidR="00890619" w:rsidRPr="00567259">
        <w:rPr>
          <w:rFonts w:asciiTheme="minorHAnsi" w:hAnsiTheme="minorHAnsi" w:cstheme="minorHAnsi"/>
          <w:lang w:val="en-GB"/>
        </w:rPr>
        <w:t xml:space="preserve"> share experiences</w:t>
      </w:r>
      <w:r w:rsidR="000B5A0B" w:rsidRPr="00567259">
        <w:rPr>
          <w:rFonts w:asciiTheme="minorHAnsi" w:hAnsiTheme="minorHAnsi" w:cstheme="minorHAnsi"/>
          <w:lang w:val="en-GB"/>
        </w:rPr>
        <w:t xml:space="preserve">, collaborate on capacity building initiatives and funding proposals. </w:t>
      </w:r>
    </w:p>
    <w:p w14:paraId="2330D233" w14:textId="307A731E" w:rsidR="00890619" w:rsidRDefault="00890619" w:rsidP="00D84E10">
      <w:pPr>
        <w:jc w:val="both"/>
        <w:rPr>
          <w:rFonts w:asciiTheme="minorHAnsi" w:hAnsiTheme="minorHAnsi" w:cstheme="minorHAnsi"/>
          <w:lang w:val="en-GB"/>
        </w:rPr>
      </w:pPr>
      <w:r w:rsidRPr="00B7225D">
        <w:rPr>
          <w:rFonts w:asciiTheme="minorHAnsi" w:hAnsiTheme="minorHAnsi" w:cstheme="minorHAnsi"/>
          <w:lang w:val="en-GB"/>
        </w:rPr>
        <w:t xml:space="preserve">Some progress has been made since </w:t>
      </w:r>
      <w:r w:rsidR="00173BAC" w:rsidRPr="00B7225D">
        <w:rPr>
          <w:rFonts w:asciiTheme="minorHAnsi" w:hAnsiTheme="minorHAnsi" w:cstheme="minorHAnsi"/>
          <w:lang w:val="en-GB"/>
        </w:rPr>
        <w:t xml:space="preserve">previous Community </w:t>
      </w:r>
      <w:r w:rsidRPr="00B7225D">
        <w:rPr>
          <w:rFonts w:asciiTheme="minorHAnsi" w:hAnsiTheme="minorHAnsi" w:cstheme="minorHAnsi"/>
          <w:lang w:val="en-GB"/>
        </w:rPr>
        <w:t>discussions</w:t>
      </w:r>
      <w:r w:rsidR="00173BAC" w:rsidRPr="00B7225D">
        <w:rPr>
          <w:rFonts w:asciiTheme="minorHAnsi" w:hAnsiTheme="minorHAnsi" w:cstheme="minorHAnsi"/>
          <w:lang w:val="en-GB"/>
        </w:rPr>
        <w:t xml:space="preserve"> to turn the</w:t>
      </w:r>
      <w:r w:rsidRPr="00B7225D">
        <w:rPr>
          <w:rFonts w:asciiTheme="minorHAnsi" w:hAnsiTheme="minorHAnsi" w:cstheme="minorHAnsi"/>
          <w:lang w:val="en-GB"/>
        </w:rPr>
        <w:t xml:space="preserve">se ideas into action. </w:t>
      </w:r>
      <w:r w:rsidR="000E0835" w:rsidRPr="00B7225D">
        <w:rPr>
          <w:rFonts w:asciiTheme="minorHAnsi" w:hAnsiTheme="minorHAnsi" w:cstheme="minorHAnsi"/>
          <w:lang w:val="en-GB"/>
        </w:rPr>
        <w:t xml:space="preserve">To further </w:t>
      </w:r>
      <w:r w:rsidR="000713C4" w:rsidRPr="00B7225D">
        <w:rPr>
          <w:rFonts w:asciiTheme="minorHAnsi" w:hAnsiTheme="minorHAnsi" w:cstheme="minorHAnsi"/>
          <w:lang w:val="en-GB"/>
        </w:rPr>
        <w:t xml:space="preserve">expand and </w:t>
      </w:r>
      <w:r w:rsidR="000E0835" w:rsidRPr="00B7225D">
        <w:rPr>
          <w:rFonts w:asciiTheme="minorHAnsi" w:hAnsiTheme="minorHAnsi" w:cstheme="minorHAnsi"/>
          <w:lang w:val="en-GB"/>
        </w:rPr>
        <w:t xml:space="preserve">refine the </w:t>
      </w:r>
      <w:r w:rsidR="000E0835" w:rsidRPr="00567259">
        <w:rPr>
          <w:rFonts w:asciiTheme="minorHAnsi" w:hAnsiTheme="minorHAnsi" w:cstheme="minorHAnsi"/>
          <w:lang w:val="en-GB"/>
        </w:rPr>
        <w:t xml:space="preserve">above ideas, it is proposed that DAEs hold a </w:t>
      </w:r>
      <w:r w:rsidR="007A7BB7" w:rsidRPr="00567259">
        <w:rPr>
          <w:rFonts w:asciiTheme="minorHAnsi" w:hAnsiTheme="minorHAnsi" w:cstheme="minorHAnsi"/>
          <w:lang w:val="en-GB"/>
        </w:rPr>
        <w:t>three</w:t>
      </w:r>
      <w:r w:rsidR="009915A0" w:rsidRPr="00567259">
        <w:rPr>
          <w:rFonts w:asciiTheme="minorHAnsi" w:hAnsiTheme="minorHAnsi" w:cstheme="minorHAnsi"/>
          <w:lang w:val="en-GB"/>
        </w:rPr>
        <w:t xml:space="preserve">-day meeting from </w:t>
      </w:r>
      <w:r w:rsidR="00075A9B" w:rsidRPr="00567259">
        <w:rPr>
          <w:rFonts w:asciiTheme="minorHAnsi" w:hAnsiTheme="minorHAnsi" w:cstheme="minorHAnsi"/>
          <w:lang w:val="en-GB"/>
        </w:rPr>
        <w:t>5</w:t>
      </w:r>
      <w:r w:rsidR="009915A0" w:rsidRPr="00567259">
        <w:rPr>
          <w:rFonts w:asciiTheme="minorHAnsi" w:hAnsiTheme="minorHAnsi" w:cstheme="minorHAnsi"/>
          <w:lang w:val="en-GB"/>
        </w:rPr>
        <w:t>-</w:t>
      </w:r>
      <w:r w:rsidR="007A7BB7" w:rsidRPr="00567259">
        <w:rPr>
          <w:rFonts w:asciiTheme="minorHAnsi" w:hAnsiTheme="minorHAnsi" w:cstheme="minorHAnsi"/>
          <w:lang w:val="en-GB"/>
        </w:rPr>
        <w:t xml:space="preserve">7 </w:t>
      </w:r>
      <w:r w:rsidR="00075A9B" w:rsidRPr="00567259">
        <w:rPr>
          <w:rFonts w:asciiTheme="minorHAnsi" w:hAnsiTheme="minorHAnsi" w:cstheme="minorHAnsi"/>
          <w:lang w:val="en-GB"/>
        </w:rPr>
        <w:t>June</w:t>
      </w:r>
      <w:r w:rsidR="009915A0" w:rsidRPr="00567259">
        <w:rPr>
          <w:rFonts w:asciiTheme="minorHAnsi" w:hAnsiTheme="minorHAnsi" w:cstheme="minorHAnsi"/>
          <w:lang w:val="en-GB"/>
        </w:rPr>
        <w:t xml:space="preserve"> 2019 in </w:t>
      </w:r>
      <w:r w:rsidR="007A7BB7" w:rsidRPr="00567259">
        <w:rPr>
          <w:rFonts w:asciiTheme="minorHAnsi" w:hAnsiTheme="minorHAnsi" w:cstheme="minorHAnsi"/>
          <w:lang w:val="en-GB"/>
        </w:rPr>
        <w:t>Durban, South Africa</w:t>
      </w:r>
      <w:r w:rsidR="009915A0" w:rsidRPr="00567259">
        <w:rPr>
          <w:rFonts w:asciiTheme="minorHAnsi" w:hAnsiTheme="minorHAnsi" w:cstheme="minorHAnsi"/>
          <w:lang w:val="en-GB"/>
        </w:rPr>
        <w:t>.</w:t>
      </w:r>
    </w:p>
    <w:p w14:paraId="39D77DEE" w14:textId="77777777" w:rsidR="008F0F38" w:rsidRPr="00B7225D" w:rsidRDefault="008F0F38" w:rsidP="00D84E10">
      <w:pPr>
        <w:jc w:val="both"/>
        <w:rPr>
          <w:rFonts w:asciiTheme="minorHAnsi" w:hAnsiTheme="minorHAnsi" w:cstheme="minorHAnsi"/>
          <w:lang w:val="en-GB"/>
        </w:rPr>
      </w:pPr>
    </w:p>
    <w:p w14:paraId="6579B787" w14:textId="77777777" w:rsidR="00890619" w:rsidRPr="00B7225D" w:rsidRDefault="00890619" w:rsidP="00D84E10">
      <w:pPr>
        <w:jc w:val="both"/>
        <w:rPr>
          <w:rFonts w:asciiTheme="minorHAnsi" w:hAnsiTheme="minorHAnsi" w:cstheme="minorHAnsi"/>
          <w:lang w:val="en-GB"/>
        </w:rPr>
      </w:pPr>
    </w:p>
    <w:p w14:paraId="0982ABD5" w14:textId="188D6AAC" w:rsidR="00487B1A" w:rsidRDefault="001D5C0D" w:rsidP="00D84E10">
      <w:pPr>
        <w:jc w:val="both"/>
        <w:rPr>
          <w:rFonts w:asciiTheme="minorHAnsi" w:hAnsiTheme="minorHAnsi" w:cstheme="minorHAnsi"/>
          <w:b/>
          <w:i/>
          <w:lang w:val="en-GB"/>
        </w:rPr>
      </w:pPr>
      <w:r w:rsidRPr="00593EE8">
        <w:rPr>
          <w:rFonts w:asciiTheme="minorHAnsi" w:hAnsiTheme="minorHAnsi" w:cstheme="minorHAnsi"/>
          <w:b/>
          <w:i/>
          <w:lang w:val="en-GB"/>
        </w:rPr>
        <w:t xml:space="preserve">Meeting </w:t>
      </w:r>
      <w:r w:rsidR="00487B1A" w:rsidRPr="00593EE8">
        <w:rPr>
          <w:rFonts w:asciiTheme="minorHAnsi" w:hAnsiTheme="minorHAnsi" w:cstheme="minorHAnsi"/>
          <w:b/>
          <w:i/>
          <w:lang w:val="en-GB"/>
        </w:rPr>
        <w:t>objectives</w:t>
      </w:r>
    </w:p>
    <w:p w14:paraId="7083F025" w14:textId="77777777" w:rsidR="00593EE8" w:rsidRPr="00593EE8" w:rsidRDefault="00593EE8" w:rsidP="00D84E10">
      <w:pPr>
        <w:jc w:val="both"/>
        <w:rPr>
          <w:rFonts w:asciiTheme="minorHAnsi" w:hAnsiTheme="minorHAnsi" w:cstheme="minorHAnsi"/>
          <w:b/>
          <w:i/>
          <w:lang w:val="en-GB"/>
        </w:rPr>
      </w:pPr>
    </w:p>
    <w:p w14:paraId="7506D288" w14:textId="46167A5E" w:rsidR="00487B1A" w:rsidRPr="00B7225D" w:rsidRDefault="00487B1A" w:rsidP="00D84E10">
      <w:pPr>
        <w:jc w:val="both"/>
        <w:rPr>
          <w:rFonts w:asciiTheme="minorHAnsi" w:hAnsiTheme="minorHAnsi" w:cstheme="minorHAnsi"/>
          <w:lang w:val="en-GB"/>
        </w:rPr>
      </w:pPr>
      <w:r w:rsidRPr="00B7225D">
        <w:rPr>
          <w:rFonts w:asciiTheme="minorHAnsi" w:hAnsiTheme="minorHAnsi" w:cstheme="minorHAnsi"/>
          <w:lang w:val="en-GB"/>
        </w:rPr>
        <w:t>The objectives of the</w:t>
      </w:r>
      <w:r w:rsidR="008B53A8" w:rsidRPr="00B7225D">
        <w:rPr>
          <w:rFonts w:asciiTheme="minorHAnsi" w:hAnsiTheme="minorHAnsi" w:cstheme="minorHAnsi"/>
          <w:lang w:val="en-GB"/>
        </w:rPr>
        <w:t xml:space="preserve"> </w:t>
      </w:r>
      <w:r w:rsidR="000D0872" w:rsidRPr="00B7225D">
        <w:rPr>
          <w:rFonts w:asciiTheme="minorHAnsi" w:hAnsiTheme="minorHAnsi" w:cstheme="minorHAnsi"/>
          <w:lang w:val="en-GB"/>
        </w:rPr>
        <w:t>DAEs meeting</w:t>
      </w:r>
      <w:r w:rsidRPr="00B7225D">
        <w:rPr>
          <w:rFonts w:asciiTheme="minorHAnsi" w:hAnsiTheme="minorHAnsi" w:cstheme="minorHAnsi"/>
          <w:lang w:val="en-GB"/>
        </w:rPr>
        <w:t xml:space="preserve"> are as follows: </w:t>
      </w:r>
    </w:p>
    <w:p w14:paraId="1F0988BF" w14:textId="6E5AD209" w:rsidR="00593EE8" w:rsidRDefault="00A763F3" w:rsidP="00593EE8">
      <w:pPr>
        <w:pStyle w:val="ListParagraph"/>
        <w:numPr>
          <w:ilvl w:val="0"/>
          <w:numId w:val="5"/>
        </w:numPr>
        <w:jc w:val="both"/>
        <w:rPr>
          <w:rStyle w:val="CommentReference"/>
          <w:sz w:val="22"/>
          <w:szCs w:val="22"/>
        </w:rPr>
      </w:pPr>
      <w:r>
        <w:rPr>
          <w:rStyle w:val="CommentReference"/>
          <w:sz w:val="22"/>
          <w:szCs w:val="22"/>
        </w:rPr>
        <w:t>Validate and f</w:t>
      </w:r>
      <w:r w:rsidR="0019019B" w:rsidRPr="0019019B">
        <w:rPr>
          <w:rStyle w:val="CommentReference"/>
          <w:sz w:val="22"/>
          <w:szCs w:val="22"/>
        </w:rPr>
        <w:t xml:space="preserve">inalize the Governance framework of the Community of Practice (Organization and functioning, membership, partnering with </w:t>
      </w:r>
      <w:r w:rsidR="007A7BB7" w:rsidRPr="0019019B">
        <w:rPr>
          <w:rStyle w:val="CommentReference"/>
          <w:sz w:val="22"/>
          <w:szCs w:val="22"/>
        </w:rPr>
        <w:t>similar</w:t>
      </w:r>
      <w:r w:rsidR="0019019B" w:rsidRPr="0019019B">
        <w:rPr>
          <w:rStyle w:val="CommentReference"/>
          <w:sz w:val="22"/>
          <w:szCs w:val="22"/>
        </w:rPr>
        <w:t xml:space="preserve"> initiatives</w:t>
      </w:r>
      <w:r w:rsidR="00567259">
        <w:rPr>
          <w:rStyle w:val="CommentReference"/>
          <w:sz w:val="22"/>
          <w:szCs w:val="22"/>
        </w:rPr>
        <w:t>)</w:t>
      </w:r>
      <w:r w:rsidR="007A7BB7">
        <w:rPr>
          <w:rStyle w:val="CommentReference"/>
          <w:sz w:val="22"/>
          <w:szCs w:val="22"/>
        </w:rPr>
        <w:t>.</w:t>
      </w:r>
    </w:p>
    <w:p w14:paraId="2385226F" w14:textId="4BCFD4CA" w:rsidR="0019019B" w:rsidRPr="00593EE8" w:rsidRDefault="0019019B" w:rsidP="00593EE8">
      <w:pPr>
        <w:pStyle w:val="ListParagraph"/>
        <w:jc w:val="both"/>
        <w:rPr>
          <w:rStyle w:val="CommentReference"/>
          <w:sz w:val="22"/>
          <w:szCs w:val="22"/>
        </w:rPr>
      </w:pPr>
      <w:r w:rsidRPr="00593EE8">
        <w:rPr>
          <w:rStyle w:val="CommentReference"/>
          <w:sz w:val="22"/>
          <w:szCs w:val="22"/>
        </w:rPr>
        <w:tab/>
      </w:r>
    </w:p>
    <w:p w14:paraId="039976CD" w14:textId="7B1AE653" w:rsidR="00621490" w:rsidRPr="00593EE8" w:rsidRDefault="000D0872" w:rsidP="0019019B">
      <w:pPr>
        <w:pStyle w:val="ListParagraph"/>
        <w:numPr>
          <w:ilvl w:val="0"/>
          <w:numId w:val="5"/>
        </w:numPr>
        <w:jc w:val="both"/>
        <w:rPr>
          <w:rFonts w:asciiTheme="minorHAnsi" w:hAnsiTheme="minorHAnsi" w:cstheme="minorHAnsi"/>
          <w:lang w:val="en-GB"/>
        </w:rPr>
      </w:pPr>
      <w:r w:rsidRPr="0019019B">
        <w:rPr>
          <w:rFonts w:asciiTheme="minorHAnsi" w:hAnsiTheme="minorHAnsi" w:cstheme="minorHAnsi"/>
          <w:lang w:val="en-GB"/>
        </w:rPr>
        <w:t>Develop a strategy</w:t>
      </w:r>
      <w:r w:rsidR="00A763F3">
        <w:rPr>
          <w:rFonts w:asciiTheme="minorHAnsi" w:hAnsiTheme="minorHAnsi" w:cstheme="minorHAnsi"/>
          <w:lang w:val="en-GB"/>
        </w:rPr>
        <w:t xml:space="preserve"> to operationalise the COP with an</w:t>
      </w:r>
      <w:r w:rsidRPr="0019019B">
        <w:rPr>
          <w:rFonts w:asciiTheme="minorHAnsi" w:hAnsiTheme="minorHAnsi" w:cstheme="minorHAnsi"/>
          <w:lang w:val="en-GB"/>
        </w:rPr>
        <w:t xml:space="preserve"> </w:t>
      </w:r>
      <w:r w:rsidR="00D84E10" w:rsidRPr="0019019B">
        <w:rPr>
          <w:rFonts w:asciiTheme="minorHAnsi" w:hAnsiTheme="minorHAnsi" w:cstheme="minorHAnsi"/>
          <w:lang w:val="en-GB"/>
        </w:rPr>
        <w:t>action plan</w:t>
      </w:r>
      <w:r w:rsidRPr="00593EE8">
        <w:rPr>
          <w:rFonts w:asciiTheme="minorHAnsi" w:hAnsiTheme="minorHAnsi" w:cstheme="minorHAnsi"/>
          <w:lang w:val="en-GB"/>
        </w:rPr>
        <w:t xml:space="preserve"> </w:t>
      </w:r>
      <w:r w:rsidR="00A763F3">
        <w:rPr>
          <w:rFonts w:asciiTheme="minorHAnsi" w:hAnsiTheme="minorHAnsi" w:cstheme="minorHAnsi"/>
          <w:lang w:val="en-GB"/>
        </w:rPr>
        <w:t>addressing</w:t>
      </w:r>
      <w:r w:rsidRPr="00593EE8">
        <w:rPr>
          <w:rFonts w:asciiTheme="minorHAnsi" w:hAnsiTheme="minorHAnsi" w:cstheme="minorHAnsi"/>
          <w:lang w:val="en-GB"/>
        </w:rPr>
        <w:t xml:space="preserve"> DAEs challenges and expectations</w:t>
      </w:r>
      <w:r w:rsidR="00CA54FB" w:rsidRPr="00593EE8">
        <w:rPr>
          <w:rFonts w:asciiTheme="minorHAnsi" w:hAnsiTheme="minorHAnsi" w:cstheme="minorHAnsi"/>
          <w:lang w:val="en-GB"/>
        </w:rPr>
        <w:t>: set targets, draft a strategy</w:t>
      </w:r>
      <w:r w:rsidR="00A763F3">
        <w:rPr>
          <w:rFonts w:asciiTheme="minorHAnsi" w:hAnsiTheme="minorHAnsi" w:cstheme="minorHAnsi"/>
          <w:lang w:val="en-GB"/>
        </w:rPr>
        <w:t xml:space="preserve"> and </w:t>
      </w:r>
      <w:r w:rsidR="00CA54FB" w:rsidRPr="00593EE8">
        <w:rPr>
          <w:rFonts w:asciiTheme="minorHAnsi" w:hAnsiTheme="minorHAnsi" w:cstheme="minorHAnsi"/>
          <w:lang w:val="en-GB"/>
        </w:rPr>
        <w:t>develop an action plan</w:t>
      </w:r>
      <w:r w:rsidR="00F60709" w:rsidRPr="00593EE8">
        <w:rPr>
          <w:rFonts w:asciiTheme="minorHAnsi" w:hAnsiTheme="minorHAnsi" w:cstheme="minorHAnsi"/>
          <w:lang w:val="en-GB"/>
        </w:rPr>
        <w:t xml:space="preserve"> </w:t>
      </w:r>
    </w:p>
    <w:p w14:paraId="064749F7" w14:textId="1529BF77" w:rsidR="0021039B" w:rsidRPr="00B7225D" w:rsidRDefault="0021039B" w:rsidP="00D84E10">
      <w:pPr>
        <w:pStyle w:val="ListParagraph"/>
        <w:jc w:val="both"/>
        <w:rPr>
          <w:rFonts w:asciiTheme="minorHAnsi" w:hAnsiTheme="minorHAnsi" w:cstheme="minorHAnsi"/>
        </w:rPr>
      </w:pPr>
    </w:p>
    <w:p w14:paraId="66BDBA4A" w14:textId="77777777" w:rsidR="00106754" w:rsidRDefault="00106754" w:rsidP="00D84E10">
      <w:pPr>
        <w:jc w:val="both"/>
        <w:rPr>
          <w:rFonts w:asciiTheme="minorHAnsi" w:hAnsiTheme="minorHAnsi" w:cstheme="minorHAnsi"/>
          <w:b/>
          <w:i/>
        </w:rPr>
      </w:pPr>
      <w:r w:rsidRPr="00593EE8">
        <w:rPr>
          <w:rFonts w:asciiTheme="minorHAnsi" w:hAnsiTheme="minorHAnsi" w:cstheme="minorHAnsi"/>
          <w:b/>
          <w:i/>
        </w:rPr>
        <w:t>Meeting deliverables</w:t>
      </w:r>
    </w:p>
    <w:p w14:paraId="10A0BDBF" w14:textId="77777777" w:rsidR="00593EE8" w:rsidRPr="00593EE8" w:rsidRDefault="00593EE8" w:rsidP="00D84E10">
      <w:pPr>
        <w:jc w:val="both"/>
        <w:rPr>
          <w:rFonts w:asciiTheme="minorHAnsi" w:hAnsiTheme="minorHAnsi" w:cstheme="minorHAnsi"/>
          <w:b/>
          <w:i/>
        </w:rPr>
      </w:pPr>
    </w:p>
    <w:p w14:paraId="051135E2" w14:textId="2DF15342" w:rsidR="00106754" w:rsidRDefault="00106754" w:rsidP="00D84E10">
      <w:pPr>
        <w:jc w:val="both"/>
        <w:rPr>
          <w:rFonts w:asciiTheme="minorHAnsi" w:hAnsiTheme="minorHAnsi" w:cstheme="minorHAnsi"/>
        </w:rPr>
      </w:pPr>
      <w:r>
        <w:rPr>
          <w:rFonts w:asciiTheme="minorHAnsi" w:hAnsiTheme="minorHAnsi" w:cstheme="minorHAnsi"/>
        </w:rPr>
        <w:t xml:space="preserve">The meeting is expected to achieve the following deliverables, which will be further refined and finalized after the meeting in close consultation with the AF, GCF and ACCF. </w:t>
      </w:r>
    </w:p>
    <w:p w14:paraId="1E13CEF0" w14:textId="78F69D5C" w:rsidR="00106754" w:rsidRDefault="00106754" w:rsidP="00D84E10">
      <w:pPr>
        <w:jc w:val="both"/>
        <w:rPr>
          <w:rFonts w:asciiTheme="minorHAnsi" w:hAnsiTheme="minorHAnsi" w:cstheme="minorHAnsi"/>
        </w:rPr>
      </w:pPr>
    </w:p>
    <w:p w14:paraId="6E881553" w14:textId="3C49E6EE" w:rsidR="009F5855" w:rsidRPr="009F5855" w:rsidRDefault="00106754" w:rsidP="009F5855">
      <w:pPr>
        <w:pStyle w:val="ListParagraph"/>
        <w:numPr>
          <w:ilvl w:val="0"/>
          <w:numId w:val="10"/>
        </w:numPr>
        <w:jc w:val="both"/>
        <w:rPr>
          <w:rFonts w:asciiTheme="minorHAnsi" w:hAnsiTheme="minorHAnsi" w:cstheme="minorHAnsi"/>
        </w:rPr>
      </w:pPr>
      <w:r w:rsidRPr="009F5855">
        <w:rPr>
          <w:rFonts w:asciiTheme="minorHAnsi" w:hAnsiTheme="minorHAnsi" w:cstheme="minorHAnsi"/>
        </w:rPr>
        <w:t xml:space="preserve">An </w:t>
      </w:r>
      <w:r w:rsidR="009F5855" w:rsidRPr="009F5855">
        <w:rPr>
          <w:rFonts w:asciiTheme="minorHAnsi" w:hAnsiTheme="minorHAnsi" w:cstheme="minorHAnsi"/>
        </w:rPr>
        <w:t>action plan outlining proposed activities</w:t>
      </w:r>
      <w:r w:rsidRPr="009F5855">
        <w:rPr>
          <w:rFonts w:asciiTheme="minorHAnsi" w:hAnsiTheme="minorHAnsi" w:cstheme="minorHAnsi"/>
        </w:rPr>
        <w:t xml:space="preserve">, </w:t>
      </w:r>
      <w:r w:rsidR="004837AA" w:rsidRPr="009F5855">
        <w:rPr>
          <w:rFonts w:asciiTheme="minorHAnsi" w:hAnsiTheme="minorHAnsi" w:cstheme="minorHAnsi"/>
        </w:rPr>
        <w:t xml:space="preserve">responsible </w:t>
      </w:r>
      <w:r w:rsidR="009F5855" w:rsidRPr="009F5855">
        <w:rPr>
          <w:rFonts w:asciiTheme="minorHAnsi" w:hAnsiTheme="minorHAnsi" w:cstheme="minorHAnsi"/>
        </w:rPr>
        <w:t xml:space="preserve">parties who will implement, indicators of success and resources needed. </w:t>
      </w:r>
    </w:p>
    <w:p w14:paraId="27FFB9E6" w14:textId="7F2DE74C" w:rsidR="00106754" w:rsidRPr="009F5855" w:rsidRDefault="00106754" w:rsidP="009F5855">
      <w:pPr>
        <w:pStyle w:val="ListParagraph"/>
        <w:numPr>
          <w:ilvl w:val="0"/>
          <w:numId w:val="10"/>
        </w:numPr>
        <w:jc w:val="both"/>
        <w:rPr>
          <w:rFonts w:asciiTheme="minorHAnsi" w:hAnsiTheme="minorHAnsi" w:cstheme="minorHAnsi"/>
        </w:rPr>
      </w:pPr>
      <w:r w:rsidRPr="009F5855">
        <w:rPr>
          <w:rFonts w:asciiTheme="minorHAnsi" w:hAnsiTheme="minorHAnsi" w:cstheme="minorHAnsi"/>
        </w:rPr>
        <w:t xml:space="preserve">An updated charter for </w:t>
      </w:r>
      <w:r w:rsidR="009F5855" w:rsidRPr="009F5855">
        <w:rPr>
          <w:rFonts w:asciiTheme="minorHAnsi" w:hAnsiTheme="minorHAnsi" w:cstheme="minorHAnsi"/>
        </w:rPr>
        <w:t>the CPDAE</w:t>
      </w:r>
      <w:r w:rsidR="00B72B18">
        <w:rPr>
          <w:rFonts w:asciiTheme="minorHAnsi" w:hAnsiTheme="minorHAnsi" w:cstheme="minorHAnsi"/>
        </w:rPr>
        <w:t>.</w:t>
      </w:r>
    </w:p>
    <w:p w14:paraId="3180003A" w14:textId="1F0F5BD0" w:rsidR="009F5855" w:rsidRPr="009F5855" w:rsidRDefault="009F5855" w:rsidP="009F5855">
      <w:pPr>
        <w:pStyle w:val="ListParagraph"/>
        <w:numPr>
          <w:ilvl w:val="0"/>
          <w:numId w:val="10"/>
        </w:numPr>
        <w:jc w:val="both"/>
        <w:rPr>
          <w:rFonts w:asciiTheme="minorHAnsi" w:hAnsiTheme="minorHAnsi" w:cstheme="minorHAnsi"/>
        </w:rPr>
      </w:pPr>
      <w:r w:rsidRPr="009F5855">
        <w:rPr>
          <w:rFonts w:asciiTheme="minorHAnsi" w:hAnsiTheme="minorHAnsi" w:cstheme="minorHAnsi"/>
        </w:rPr>
        <w:t>A report of the meeting submitted to the funders of the meeting</w:t>
      </w:r>
      <w:r w:rsidR="00B72B18">
        <w:rPr>
          <w:rFonts w:asciiTheme="minorHAnsi" w:hAnsiTheme="minorHAnsi" w:cstheme="minorHAnsi"/>
        </w:rPr>
        <w:t>.</w:t>
      </w:r>
    </w:p>
    <w:p w14:paraId="3D5D87A5" w14:textId="5D163733" w:rsidR="009F5855" w:rsidRPr="009F5855" w:rsidRDefault="009F5855" w:rsidP="009F5855">
      <w:pPr>
        <w:pStyle w:val="ListParagraph"/>
        <w:numPr>
          <w:ilvl w:val="0"/>
          <w:numId w:val="10"/>
        </w:numPr>
        <w:jc w:val="both"/>
        <w:rPr>
          <w:rFonts w:asciiTheme="minorHAnsi" w:hAnsiTheme="minorHAnsi" w:cstheme="minorHAnsi"/>
        </w:rPr>
      </w:pPr>
      <w:r w:rsidRPr="009F5855">
        <w:rPr>
          <w:rFonts w:asciiTheme="minorHAnsi" w:hAnsiTheme="minorHAnsi" w:cstheme="minorHAnsi"/>
        </w:rPr>
        <w:t xml:space="preserve">A de-briefing meeting held between the </w:t>
      </w:r>
      <w:r w:rsidR="00530EFA">
        <w:rPr>
          <w:rFonts w:asciiTheme="minorHAnsi" w:hAnsiTheme="minorHAnsi" w:cstheme="minorHAnsi"/>
        </w:rPr>
        <w:t>elected</w:t>
      </w:r>
      <w:r w:rsidRPr="009F5855">
        <w:rPr>
          <w:rFonts w:asciiTheme="minorHAnsi" w:hAnsiTheme="minorHAnsi" w:cstheme="minorHAnsi"/>
        </w:rPr>
        <w:t xml:space="preserve"> CoP committee </w:t>
      </w:r>
      <w:r w:rsidR="00530EFA">
        <w:rPr>
          <w:rFonts w:asciiTheme="minorHAnsi" w:hAnsiTheme="minorHAnsi" w:cstheme="minorHAnsi"/>
        </w:rPr>
        <w:t xml:space="preserve">members </w:t>
      </w:r>
      <w:r w:rsidRPr="009F5855">
        <w:rPr>
          <w:rFonts w:asciiTheme="minorHAnsi" w:hAnsiTheme="minorHAnsi" w:cstheme="minorHAnsi"/>
        </w:rPr>
        <w:t>and the funders of the meeting after meeting closure on day 2</w:t>
      </w:r>
      <w:r w:rsidR="00B72B18">
        <w:rPr>
          <w:rFonts w:asciiTheme="minorHAnsi" w:hAnsiTheme="minorHAnsi" w:cstheme="minorHAnsi"/>
        </w:rPr>
        <w:t xml:space="preserve"> of the works</w:t>
      </w:r>
      <w:r w:rsidR="009C6CFD">
        <w:rPr>
          <w:rFonts w:asciiTheme="minorHAnsi" w:hAnsiTheme="minorHAnsi" w:cstheme="minorHAnsi"/>
        </w:rPr>
        <w:t>h</w:t>
      </w:r>
      <w:r w:rsidR="00B72B18">
        <w:rPr>
          <w:rFonts w:asciiTheme="minorHAnsi" w:hAnsiTheme="minorHAnsi" w:cstheme="minorHAnsi"/>
        </w:rPr>
        <w:t>op.</w:t>
      </w:r>
    </w:p>
    <w:p w14:paraId="1B7FA8BD" w14:textId="77777777" w:rsidR="00106754" w:rsidRPr="00106754" w:rsidRDefault="00106754" w:rsidP="00D84E10">
      <w:pPr>
        <w:jc w:val="both"/>
        <w:rPr>
          <w:rFonts w:asciiTheme="minorHAnsi" w:hAnsiTheme="minorHAnsi" w:cstheme="minorHAnsi"/>
        </w:rPr>
      </w:pPr>
    </w:p>
    <w:p w14:paraId="61E99D69" w14:textId="004CC073" w:rsidR="0021039B" w:rsidRDefault="0021039B" w:rsidP="00D84E10">
      <w:pPr>
        <w:jc w:val="both"/>
        <w:rPr>
          <w:rFonts w:asciiTheme="minorHAnsi" w:hAnsiTheme="minorHAnsi" w:cstheme="minorHAnsi"/>
          <w:b/>
          <w:i/>
        </w:rPr>
      </w:pPr>
      <w:r w:rsidRPr="00593EE8">
        <w:rPr>
          <w:rFonts w:asciiTheme="minorHAnsi" w:hAnsiTheme="minorHAnsi" w:cstheme="minorHAnsi"/>
          <w:b/>
          <w:i/>
        </w:rPr>
        <w:t>Participants</w:t>
      </w:r>
    </w:p>
    <w:p w14:paraId="019BF712" w14:textId="77777777" w:rsidR="00593EE8" w:rsidRPr="00593EE8" w:rsidRDefault="00593EE8" w:rsidP="00D84E10">
      <w:pPr>
        <w:jc w:val="both"/>
        <w:rPr>
          <w:rFonts w:asciiTheme="minorHAnsi" w:hAnsiTheme="minorHAnsi" w:cstheme="minorHAnsi"/>
          <w:b/>
          <w:i/>
        </w:rPr>
      </w:pPr>
    </w:p>
    <w:p w14:paraId="19618533" w14:textId="4BCC99BF" w:rsidR="00D51460" w:rsidRPr="00B7225D" w:rsidRDefault="009A0526" w:rsidP="00D84E10">
      <w:pPr>
        <w:jc w:val="both"/>
        <w:rPr>
          <w:rFonts w:asciiTheme="minorHAnsi" w:hAnsiTheme="minorHAnsi" w:cstheme="minorHAnsi"/>
        </w:rPr>
      </w:pPr>
      <w:r w:rsidRPr="00B7225D">
        <w:rPr>
          <w:rFonts w:asciiTheme="minorHAnsi" w:hAnsiTheme="minorHAnsi" w:cstheme="minorHAnsi"/>
        </w:rPr>
        <w:t>All d</w:t>
      </w:r>
      <w:r w:rsidR="0021039B" w:rsidRPr="00B7225D">
        <w:rPr>
          <w:rFonts w:asciiTheme="minorHAnsi" w:hAnsiTheme="minorHAnsi" w:cstheme="minorHAnsi"/>
        </w:rPr>
        <w:t>irect access entities to</w:t>
      </w:r>
      <w:r w:rsidR="000B5A0B" w:rsidRPr="00B7225D">
        <w:rPr>
          <w:rFonts w:asciiTheme="minorHAnsi" w:hAnsiTheme="minorHAnsi" w:cstheme="minorHAnsi"/>
        </w:rPr>
        <w:t xml:space="preserve"> the</w:t>
      </w:r>
      <w:r w:rsidR="0021039B" w:rsidRPr="00B7225D">
        <w:rPr>
          <w:rFonts w:asciiTheme="minorHAnsi" w:hAnsiTheme="minorHAnsi" w:cstheme="minorHAnsi"/>
        </w:rPr>
        <w:t xml:space="preserve"> AF and </w:t>
      </w:r>
      <w:r w:rsidR="00B7225D" w:rsidRPr="00B7225D">
        <w:rPr>
          <w:rFonts w:asciiTheme="minorHAnsi" w:hAnsiTheme="minorHAnsi" w:cstheme="minorHAnsi"/>
        </w:rPr>
        <w:t xml:space="preserve">entities accredited to both AF and </w:t>
      </w:r>
      <w:r w:rsidR="0021039B" w:rsidRPr="00B7225D">
        <w:rPr>
          <w:rFonts w:asciiTheme="minorHAnsi" w:hAnsiTheme="minorHAnsi" w:cstheme="minorHAnsi"/>
        </w:rPr>
        <w:t>GCF</w:t>
      </w:r>
      <w:r w:rsidR="00173BAC" w:rsidRPr="00B7225D">
        <w:rPr>
          <w:rFonts w:asciiTheme="minorHAnsi" w:hAnsiTheme="minorHAnsi" w:cstheme="minorHAnsi"/>
        </w:rPr>
        <w:t xml:space="preserve"> are invited to the meeting</w:t>
      </w:r>
      <w:r w:rsidR="0099597B" w:rsidRPr="00B7225D">
        <w:rPr>
          <w:rFonts w:asciiTheme="minorHAnsi" w:hAnsiTheme="minorHAnsi" w:cstheme="minorHAnsi"/>
        </w:rPr>
        <w:t>.</w:t>
      </w:r>
    </w:p>
    <w:p w14:paraId="0B7BAEBA" w14:textId="45421BFB" w:rsidR="00377420" w:rsidRPr="00B7225D" w:rsidRDefault="00377420" w:rsidP="00D84E10">
      <w:pPr>
        <w:jc w:val="both"/>
      </w:pPr>
    </w:p>
    <w:p w14:paraId="147EE7B6" w14:textId="409946EA" w:rsidR="006F1F57" w:rsidRDefault="006F1F57" w:rsidP="006F1F57">
      <w:pPr>
        <w:jc w:val="both"/>
        <w:rPr>
          <w:rFonts w:asciiTheme="minorHAnsi" w:hAnsiTheme="minorHAnsi" w:cstheme="minorHAnsi"/>
          <w:b/>
          <w:i/>
          <w:lang w:val="en-GB"/>
        </w:rPr>
      </w:pPr>
      <w:r w:rsidRPr="00593EE8">
        <w:rPr>
          <w:rFonts w:asciiTheme="minorHAnsi" w:hAnsiTheme="minorHAnsi" w:cstheme="minorHAnsi"/>
          <w:b/>
          <w:i/>
          <w:lang w:val="en-GB"/>
        </w:rPr>
        <w:t>Financing</w:t>
      </w:r>
    </w:p>
    <w:p w14:paraId="5762273C" w14:textId="77777777" w:rsidR="00593EE8" w:rsidRPr="00593EE8" w:rsidRDefault="00593EE8" w:rsidP="006F1F57">
      <w:pPr>
        <w:jc w:val="both"/>
        <w:rPr>
          <w:rFonts w:asciiTheme="minorHAnsi" w:hAnsiTheme="minorHAnsi" w:cstheme="minorHAnsi"/>
          <w:b/>
          <w:i/>
          <w:lang w:val="en-GB"/>
        </w:rPr>
      </w:pPr>
    </w:p>
    <w:p w14:paraId="14384B32" w14:textId="59C3EA76" w:rsidR="006F1F57" w:rsidRPr="00B7225D" w:rsidRDefault="006F1F57" w:rsidP="00D84E10">
      <w:pPr>
        <w:jc w:val="both"/>
      </w:pPr>
      <w:r w:rsidRPr="00B7225D">
        <w:t xml:space="preserve">This DAEs meeting is </w:t>
      </w:r>
      <w:r w:rsidR="00CA54FB" w:rsidRPr="00B7225D">
        <w:t>receiving</w:t>
      </w:r>
      <w:r w:rsidRPr="00B7225D">
        <w:t xml:space="preserve"> financial support from the AF</w:t>
      </w:r>
      <w:r w:rsidR="00B7225D" w:rsidRPr="00B7225D">
        <w:t>, GCF</w:t>
      </w:r>
      <w:r w:rsidRPr="00B7225D">
        <w:t xml:space="preserve"> and the ACCF (AfDB)</w:t>
      </w:r>
    </w:p>
    <w:p w14:paraId="572A800A" w14:textId="77777777" w:rsidR="006F1F57" w:rsidRPr="00B7225D" w:rsidRDefault="006F1F57" w:rsidP="00D84E10">
      <w:pPr>
        <w:jc w:val="both"/>
      </w:pPr>
    </w:p>
    <w:p w14:paraId="797A404D" w14:textId="2D53A349" w:rsidR="00377420" w:rsidRDefault="00F60709" w:rsidP="00D84E10">
      <w:pPr>
        <w:jc w:val="both"/>
        <w:rPr>
          <w:rFonts w:asciiTheme="minorHAnsi" w:hAnsiTheme="minorHAnsi" w:cstheme="minorHAnsi"/>
          <w:b/>
          <w:i/>
          <w:lang w:val="en-GB"/>
        </w:rPr>
      </w:pPr>
      <w:r w:rsidRPr="00593EE8">
        <w:rPr>
          <w:rFonts w:asciiTheme="minorHAnsi" w:hAnsiTheme="minorHAnsi" w:cstheme="minorHAnsi"/>
          <w:b/>
          <w:i/>
          <w:lang w:val="en-GB"/>
        </w:rPr>
        <w:t>Observers</w:t>
      </w:r>
    </w:p>
    <w:p w14:paraId="6B87FD64" w14:textId="77777777" w:rsidR="00593EE8" w:rsidRPr="00593EE8" w:rsidRDefault="00593EE8" w:rsidP="00D84E10">
      <w:pPr>
        <w:jc w:val="both"/>
        <w:rPr>
          <w:rFonts w:asciiTheme="minorHAnsi" w:hAnsiTheme="minorHAnsi" w:cstheme="minorHAnsi"/>
          <w:b/>
          <w:i/>
          <w:lang w:val="en-GB"/>
        </w:rPr>
      </w:pPr>
    </w:p>
    <w:p w14:paraId="0E53573C" w14:textId="3DB45BF9" w:rsidR="00377420" w:rsidRPr="00B7225D" w:rsidRDefault="00834CA8" w:rsidP="00AA0E50">
      <w:pPr>
        <w:pStyle w:val="ListParagraph"/>
        <w:numPr>
          <w:ilvl w:val="0"/>
          <w:numId w:val="8"/>
        </w:numPr>
        <w:jc w:val="both"/>
      </w:pPr>
      <w:r w:rsidRPr="00B7225D">
        <w:t>AF</w:t>
      </w:r>
      <w:r w:rsidR="00B7225D" w:rsidRPr="00B7225D">
        <w:t>, GCF</w:t>
      </w:r>
      <w:r w:rsidRPr="00B7225D">
        <w:t xml:space="preserve"> </w:t>
      </w:r>
      <w:r w:rsidR="00377420" w:rsidRPr="00B7225D">
        <w:t xml:space="preserve">and ACCF Secretariat to provide </w:t>
      </w:r>
      <w:r w:rsidR="00F60709" w:rsidRPr="00B7225D">
        <w:t>inputs if needed</w:t>
      </w:r>
    </w:p>
    <w:p w14:paraId="2BDC1962" w14:textId="77777777" w:rsidR="00D51460" w:rsidRPr="00B7225D" w:rsidRDefault="00D51460" w:rsidP="00AA0E50">
      <w:pPr>
        <w:rPr>
          <w:lang w:val="en-GB"/>
        </w:rPr>
      </w:pPr>
    </w:p>
    <w:p w14:paraId="453523B8" w14:textId="0FAE0705" w:rsidR="00F60709" w:rsidRDefault="00F60709" w:rsidP="006F1F57">
      <w:pPr>
        <w:jc w:val="both"/>
        <w:rPr>
          <w:rFonts w:asciiTheme="minorHAnsi" w:hAnsiTheme="minorHAnsi" w:cstheme="minorHAnsi"/>
          <w:b/>
          <w:i/>
          <w:lang w:val="en-GB"/>
        </w:rPr>
      </w:pPr>
      <w:r w:rsidRPr="00593EE8">
        <w:rPr>
          <w:rFonts w:asciiTheme="minorHAnsi" w:hAnsiTheme="minorHAnsi" w:cstheme="minorHAnsi"/>
          <w:b/>
          <w:i/>
          <w:lang w:val="en-GB"/>
        </w:rPr>
        <w:t>Methodology of the workshop</w:t>
      </w:r>
    </w:p>
    <w:p w14:paraId="5B10CD67" w14:textId="77777777" w:rsidR="00593EE8" w:rsidRPr="00593EE8" w:rsidRDefault="00593EE8" w:rsidP="006F1F57">
      <w:pPr>
        <w:jc w:val="both"/>
        <w:rPr>
          <w:rFonts w:asciiTheme="minorHAnsi" w:hAnsiTheme="minorHAnsi" w:cstheme="minorHAnsi"/>
          <w:b/>
          <w:i/>
          <w:lang w:val="en-GB"/>
        </w:rPr>
      </w:pPr>
    </w:p>
    <w:p w14:paraId="1DF7C371" w14:textId="132D6614" w:rsidR="00F60709" w:rsidRPr="00B7225D" w:rsidRDefault="00CA54FB" w:rsidP="00AA0E50">
      <w:pPr>
        <w:pStyle w:val="ListParagraph"/>
        <w:numPr>
          <w:ilvl w:val="0"/>
          <w:numId w:val="9"/>
        </w:numPr>
        <w:tabs>
          <w:tab w:val="left" w:pos="2400"/>
        </w:tabs>
        <w:rPr>
          <w:lang w:val="en-GB"/>
        </w:rPr>
      </w:pPr>
      <w:r w:rsidRPr="00B7225D">
        <w:rPr>
          <w:lang w:val="en-GB"/>
        </w:rPr>
        <w:t>The workshop will use a very interactive approach, with plenaries and groups sessions (see agenda).</w:t>
      </w:r>
    </w:p>
    <w:p w14:paraId="5CDB834A" w14:textId="0F3F076C" w:rsidR="00F60709" w:rsidRDefault="003C1930" w:rsidP="00AA0E50">
      <w:pPr>
        <w:pStyle w:val="ListParagraph"/>
        <w:numPr>
          <w:ilvl w:val="0"/>
          <w:numId w:val="9"/>
        </w:numPr>
        <w:tabs>
          <w:tab w:val="left" w:pos="2400"/>
        </w:tabs>
        <w:rPr>
          <w:lang w:val="en-GB"/>
        </w:rPr>
      </w:pPr>
      <w:r w:rsidRPr="00B7225D">
        <w:rPr>
          <w:lang w:val="en-GB"/>
        </w:rPr>
        <w:t>There will be a daily reporting and a general report of the meeting.</w:t>
      </w:r>
    </w:p>
    <w:p w14:paraId="2E6A5472" w14:textId="77777777" w:rsidR="005036B4" w:rsidRDefault="005036B4" w:rsidP="005036B4">
      <w:pPr>
        <w:tabs>
          <w:tab w:val="left" w:pos="2400"/>
        </w:tabs>
        <w:rPr>
          <w:lang w:val="en-GB"/>
        </w:rPr>
      </w:pPr>
    </w:p>
    <w:p w14:paraId="6BB014FD" w14:textId="77777777" w:rsidR="005036B4" w:rsidRDefault="005036B4" w:rsidP="005036B4">
      <w:pPr>
        <w:tabs>
          <w:tab w:val="left" w:pos="2400"/>
        </w:tabs>
        <w:rPr>
          <w:lang w:val="en-GB"/>
        </w:rPr>
      </w:pPr>
    </w:p>
    <w:p w14:paraId="5D22298A" w14:textId="77777777" w:rsidR="005036B4" w:rsidRDefault="005036B4" w:rsidP="005036B4">
      <w:pPr>
        <w:tabs>
          <w:tab w:val="left" w:pos="2400"/>
        </w:tabs>
        <w:rPr>
          <w:lang w:val="en-GB"/>
        </w:rPr>
      </w:pPr>
    </w:p>
    <w:p w14:paraId="02A08840" w14:textId="77777777" w:rsidR="005036B4" w:rsidRDefault="005036B4" w:rsidP="005036B4">
      <w:pPr>
        <w:tabs>
          <w:tab w:val="left" w:pos="2400"/>
        </w:tabs>
        <w:rPr>
          <w:lang w:val="en-GB"/>
        </w:rPr>
      </w:pPr>
    </w:p>
    <w:p w14:paraId="7FC66753" w14:textId="77777777" w:rsidR="00F60709" w:rsidRPr="00C14275" w:rsidRDefault="00F60709" w:rsidP="00C14275">
      <w:pPr>
        <w:jc w:val="center"/>
        <w:rPr>
          <w:lang w:val="en-GB"/>
        </w:rPr>
      </w:pPr>
    </w:p>
    <w:sectPr w:rsidR="00F60709" w:rsidRPr="00C1427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D910" w14:textId="77777777" w:rsidR="001054DB" w:rsidRDefault="001054DB" w:rsidP="004C2959">
      <w:r>
        <w:separator/>
      </w:r>
    </w:p>
  </w:endnote>
  <w:endnote w:type="continuationSeparator" w:id="0">
    <w:p w14:paraId="206026BF" w14:textId="77777777" w:rsidR="001054DB" w:rsidRDefault="001054DB" w:rsidP="004C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707108"/>
      <w:docPartObj>
        <w:docPartGallery w:val="Page Numbers (Bottom of Page)"/>
        <w:docPartUnique/>
      </w:docPartObj>
    </w:sdtPr>
    <w:sdtEndPr/>
    <w:sdtContent>
      <w:p w14:paraId="71E3BB8D" w14:textId="31B0A17F" w:rsidR="00C14275" w:rsidRDefault="00C14275">
        <w:pPr>
          <w:pStyle w:val="Footer"/>
          <w:jc w:val="center"/>
        </w:pPr>
        <w:r>
          <w:fldChar w:fldCharType="begin"/>
        </w:r>
        <w:r>
          <w:instrText>PAGE   \* MERGEFORMAT</w:instrText>
        </w:r>
        <w:r>
          <w:fldChar w:fldCharType="separate"/>
        </w:r>
        <w:r w:rsidR="008F0F38" w:rsidRPr="008F0F38">
          <w:rPr>
            <w:noProof/>
            <w:lang w:val="fr-FR"/>
          </w:rPr>
          <w:t>3</w:t>
        </w:r>
        <w:r>
          <w:fldChar w:fldCharType="end"/>
        </w:r>
      </w:p>
    </w:sdtContent>
  </w:sdt>
  <w:p w14:paraId="41F961E4" w14:textId="77777777" w:rsidR="00C14275" w:rsidRDefault="00C1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6309F" w14:textId="77777777" w:rsidR="001054DB" w:rsidRDefault="001054DB" w:rsidP="004C2959">
      <w:r>
        <w:separator/>
      </w:r>
    </w:p>
  </w:footnote>
  <w:footnote w:type="continuationSeparator" w:id="0">
    <w:p w14:paraId="562B3168" w14:textId="77777777" w:rsidR="001054DB" w:rsidRDefault="001054DB" w:rsidP="004C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D7A"/>
    <w:multiLevelType w:val="hybridMultilevel"/>
    <w:tmpl w:val="71682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B2F88"/>
    <w:multiLevelType w:val="hybridMultilevel"/>
    <w:tmpl w:val="82D6DD4C"/>
    <w:lvl w:ilvl="0" w:tplc="11B83396">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B05"/>
    <w:multiLevelType w:val="hybridMultilevel"/>
    <w:tmpl w:val="CADC1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37DA1"/>
    <w:multiLevelType w:val="hybridMultilevel"/>
    <w:tmpl w:val="F1DC4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B82C4B"/>
    <w:multiLevelType w:val="hybridMultilevel"/>
    <w:tmpl w:val="ECA4E04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1C7645"/>
    <w:multiLevelType w:val="hybridMultilevel"/>
    <w:tmpl w:val="1F62381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575E05"/>
    <w:multiLevelType w:val="hybridMultilevel"/>
    <w:tmpl w:val="6A522380"/>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D7734"/>
    <w:multiLevelType w:val="hybridMultilevel"/>
    <w:tmpl w:val="145093D2"/>
    <w:lvl w:ilvl="0" w:tplc="3912BBF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40C34"/>
    <w:multiLevelType w:val="hybridMultilevel"/>
    <w:tmpl w:val="EB98BA50"/>
    <w:lvl w:ilvl="0" w:tplc="CC380324">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46BD"/>
    <w:multiLevelType w:val="hybridMultilevel"/>
    <w:tmpl w:val="FBF0B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7"/>
  </w:num>
  <w:num w:numId="6">
    <w:abstractNumId w:val="9"/>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19"/>
    <w:rsid w:val="0005023B"/>
    <w:rsid w:val="00057B34"/>
    <w:rsid w:val="000713C4"/>
    <w:rsid w:val="00075A9B"/>
    <w:rsid w:val="0008128A"/>
    <w:rsid w:val="000A5CA8"/>
    <w:rsid w:val="000B3CF6"/>
    <w:rsid w:val="000B5A0B"/>
    <w:rsid w:val="000B6F53"/>
    <w:rsid w:val="000D0872"/>
    <w:rsid w:val="000E0835"/>
    <w:rsid w:val="00102964"/>
    <w:rsid w:val="001054DB"/>
    <w:rsid w:val="00106754"/>
    <w:rsid w:val="00112FE5"/>
    <w:rsid w:val="00131BA2"/>
    <w:rsid w:val="00143F68"/>
    <w:rsid w:val="00173BAC"/>
    <w:rsid w:val="0019019B"/>
    <w:rsid w:val="00197E0A"/>
    <w:rsid w:val="001B1DBD"/>
    <w:rsid w:val="001C08FE"/>
    <w:rsid w:val="001C7671"/>
    <w:rsid w:val="001D5C0D"/>
    <w:rsid w:val="001D5F00"/>
    <w:rsid w:val="0021039B"/>
    <w:rsid w:val="002278C3"/>
    <w:rsid w:val="0023246E"/>
    <w:rsid w:val="00237BDB"/>
    <w:rsid w:val="00245EC1"/>
    <w:rsid w:val="00271EFF"/>
    <w:rsid w:val="00276E69"/>
    <w:rsid w:val="002A21B1"/>
    <w:rsid w:val="002C122A"/>
    <w:rsid w:val="002D74B0"/>
    <w:rsid w:val="003019DB"/>
    <w:rsid w:val="003313A1"/>
    <w:rsid w:val="00337051"/>
    <w:rsid w:val="00345233"/>
    <w:rsid w:val="00377420"/>
    <w:rsid w:val="0039180F"/>
    <w:rsid w:val="0039198E"/>
    <w:rsid w:val="003C1930"/>
    <w:rsid w:val="003C7797"/>
    <w:rsid w:val="003E7861"/>
    <w:rsid w:val="00437B1C"/>
    <w:rsid w:val="00447B5C"/>
    <w:rsid w:val="004671ED"/>
    <w:rsid w:val="00481544"/>
    <w:rsid w:val="004837AA"/>
    <w:rsid w:val="00485D51"/>
    <w:rsid w:val="00487B1A"/>
    <w:rsid w:val="00497185"/>
    <w:rsid w:val="004B0881"/>
    <w:rsid w:val="004C2959"/>
    <w:rsid w:val="005036B4"/>
    <w:rsid w:val="00530EFA"/>
    <w:rsid w:val="00532A9F"/>
    <w:rsid w:val="00554CD9"/>
    <w:rsid w:val="00567259"/>
    <w:rsid w:val="00570404"/>
    <w:rsid w:val="00593EE8"/>
    <w:rsid w:val="005A54B0"/>
    <w:rsid w:val="005A6514"/>
    <w:rsid w:val="005F7E81"/>
    <w:rsid w:val="00602A7A"/>
    <w:rsid w:val="006163E3"/>
    <w:rsid w:val="00621490"/>
    <w:rsid w:val="006A2EF4"/>
    <w:rsid w:val="006F1F57"/>
    <w:rsid w:val="006F2B79"/>
    <w:rsid w:val="00703AD7"/>
    <w:rsid w:val="00774338"/>
    <w:rsid w:val="007A7BB7"/>
    <w:rsid w:val="007D1331"/>
    <w:rsid w:val="007E1983"/>
    <w:rsid w:val="00825D34"/>
    <w:rsid w:val="00834CA8"/>
    <w:rsid w:val="00875D0D"/>
    <w:rsid w:val="008765E9"/>
    <w:rsid w:val="0088165D"/>
    <w:rsid w:val="00890619"/>
    <w:rsid w:val="008A430A"/>
    <w:rsid w:val="008B53A8"/>
    <w:rsid w:val="008F0F38"/>
    <w:rsid w:val="00902AFE"/>
    <w:rsid w:val="00925CFF"/>
    <w:rsid w:val="00943170"/>
    <w:rsid w:val="009438A4"/>
    <w:rsid w:val="00947C5F"/>
    <w:rsid w:val="00957819"/>
    <w:rsid w:val="0096501D"/>
    <w:rsid w:val="009672C0"/>
    <w:rsid w:val="009915A0"/>
    <w:rsid w:val="0099597B"/>
    <w:rsid w:val="009A0526"/>
    <w:rsid w:val="009C6CFD"/>
    <w:rsid w:val="009E6463"/>
    <w:rsid w:val="009F5855"/>
    <w:rsid w:val="00A04249"/>
    <w:rsid w:val="00A4597E"/>
    <w:rsid w:val="00A52B7A"/>
    <w:rsid w:val="00A636DD"/>
    <w:rsid w:val="00A67992"/>
    <w:rsid w:val="00A763F3"/>
    <w:rsid w:val="00A86AFC"/>
    <w:rsid w:val="00A928C4"/>
    <w:rsid w:val="00AA0E50"/>
    <w:rsid w:val="00AB7B23"/>
    <w:rsid w:val="00B10876"/>
    <w:rsid w:val="00B135FE"/>
    <w:rsid w:val="00B35B80"/>
    <w:rsid w:val="00B544BC"/>
    <w:rsid w:val="00B60F2C"/>
    <w:rsid w:val="00B60F79"/>
    <w:rsid w:val="00B7225D"/>
    <w:rsid w:val="00B72B18"/>
    <w:rsid w:val="00BB2252"/>
    <w:rsid w:val="00BD64C5"/>
    <w:rsid w:val="00BF743E"/>
    <w:rsid w:val="00C11E98"/>
    <w:rsid w:val="00C14275"/>
    <w:rsid w:val="00C71E66"/>
    <w:rsid w:val="00C9343E"/>
    <w:rsid w:val="00C96F2C"/>
    <w:rsid w:val="00CA54FB"/>
    <w:rsid w:val="00CE2E16"/>
    <w:rsid w:val="00D01591"/>
    <w:rsid w:val="00D23C8C"/>
    <w:rsid w:val="00D51460"/>
    <w:rsid w:val="00D84E10"/>
    <w:rsid w:val="00D904FB"/>
    <w:rsid w:val="00DC785B"/>
    <w:rsid w:val="00DD189B"/>
    <w:rsid w:val="00DE3513"/>
    <w:rsid w:val="00E041FE"/>
    <w:rsid w:val="00E50CDD"/>
    <w:rsid w:val="00E55D2A"/>
    <w:rsid w:val="00E67B55"/>
    <w:rsid w:val="00E8073E"/>
    <w:rsid w:val="00EB3AFD"/>
    <w:rsid w:val="00EC605B"/>
    <w:rsid w:val="00ED2D91"/>
    <w:rsid w:val="00ED3115"/>
    <w:rsid w:val="00EF1774"/>
    <w:rsid w:val="00F059D4"/>
    <w:rsid w:val="00F22D21"/>
    <w:rsid w:val="00F60709"/>
    <w:rsid w:val="00F87333"/>
    <w:rsid w:val="00F87EEC"/>
    <w:rsid w:val="00FA445C"/>
    <w:rsid w:val="00FA5210"/>
    <w:rsid w:val="00FC45AB"/>
    <w:rsid w:val="00FC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8FDA"/>
  <w15:docId w15:val="{79987B51-C4B4-481F-B7EE-E52942B4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8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3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039B"/>
    <w:pPr>
      <w:ind w:left="720"/>
      <w:contextualSpacing/>
    </w:pPr>
  </w:style>
  <w:style w:type="character" w:styleId="CommentReference">
    <w:name w:val="annotation reference"/>
    <w:basedOn w:val="DefaultParagraphFont"/>
    <w:uiPriority w:val="99"/>
    <w:semiHidden/>
    <w:unhideWhenUsed/>
    <w:rsid w:val="00621490"/>
    <w:rPr>
      <w:sz w:val="16"/>
      <w:szCs w:val="16"/>
    </w:rPr>
  </w:style>
  <w:style w:type="paragraph" w:styleId="CommentText">
    <w:name w:val="annotation text"/>
    <w:basedOn w:val="Normal"/>
    <w:link w:val="CommentTextChar"/>
    <w:uiPriority w:val="99"/>
    <w:semiHidden/>
    <w:unhideWhenUsed/>
    <w:rsid w:val="00621490"/>
    <w:rPr>
      <w:sz w:val="20"/>
      <w:szCs w:val="20"/>
    </w:rPr>
  </w:style>
  <w:style w:type="character" w:customStyle="1" w:styleId="CommentTextChar">
    <w:name w:val="Comment Text Char"/>
    <w:basedOn w:val="DefaultParagraphFont"/>
    <w:link w:val="CommentText"/>
    <w:uiPriority w:val="99"/>
    <w:semiHidden/>
    <w:rsid w:val="0062149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1490"/>
    <w:rPr>
      <w:b/>
      <w:bCs/>
    </w:rPr>
  </w:style>
  <w:style w:type="character" w:customStyle="1" w:styleId="CommentSubjectChar">
    <w:name w:val="Comment Subject Char"/>
    <w:basedOn w:val="CommentTextChar"/>
    <w:link w:val="CommentSubject"/>
    <w:uiPriority w:val="99"/>
    <w:semiHidden/>
    <w:rsid w:val="00621490"/>
    <w:rPr>
      <w:rFonts w:ascii="Calibri" w:hAnsi="Calibri" w:cs="Times New Roman"/>
      <w:b/>
      <w:bCs/>
      <w:sz w:val="20"/>
      <w:szCs w:val="20"/>
    </w:rPr>
  </w:style>
  <w:style w:type="paragraph" w:styleId="BalloonText">
    <w:name w:val="Balloon Text"/>
    <w:basedOn w:val="Normal"/>
    <w:link w:val="BalloonTextChar"/>
    <w:uiPriority w:val="99"/>
    <w:semiHidden/>
    <w:unhideWhenUsed/>
    <w:rsid w:val="00621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90"/>
    <w:rPr>
      <w:rFonts w:ascii="Segoe UI" w:hAnsi="Segoe UI" w:cs="Segoe UI"/>
      <w:sz w:val="18"/>
      <w:szCs w:val="18"/>
    </w:rPr>
  </w:style>
  <w:style w:type="paragraph" w:customStyle="1" w:styleId="Letterbody">
    <w:name w:val="Letter body"/>
    <w:basedOn w:val="Normal"/>
    <w:qFormat/>
    <w:rsid w:val="004671ED"/>
    <w:pPr>
      <w:tabs>
        <w:tab w:val="left" w:pos="9630"/>
      </w:tabs>
      <w:spacing w:line="280" w:lineRule="exact"/>
      <w:ind w:left="720" w:right="749"/>
    </w:pPr>
    <w:rPr>
      <w:rFonts w:ascii="Georgia" w:eastAsia="Times New Roman" w:hAnsi="Georgia"/>
      <w:color w:val="666666"/>
      <w:sz w:val="20"/>
      <w:szCs w:val="24"/>
    </w:rPr>
  </w:style>
  <w:style w:type="paragraph" w:styleId="Header">
    <w:name w:val="header"/>
    <w:basedOn w:val="Normal"/>
    <w:link w:val="HeaderChar"/>
    <w:uiPriority w:val="99"/>
    <w:unhideWhenUsed/>
    <w:rsid w:val="004C2959"/>
    <w:pPr>
      <w:tabs>
        <w:tab w:val="center" w:pos="4680"/>
        <w:tab w:val="right" w:pos="9360"/>
      </w:tabs>
    </w:pPr>
  </w:style>
  <w:style w:type="character" w:customStyle="1" w:styleId="HeaderChar">
    <w:name w:val="Header Char"/>
    <w:basedOn w:val="DefaultParagraphFont"/>
    <w:link w:val="Header"/>
    <w:uiPriority w:val="99"/>
    <w:rsid w:val="004C2959"/>
    <w:rPr>
      <w:rFonts w:ascii="Calibri" w:hAnsi="Calibri" w:cs="Times New Roman"/>
    </w:rPr>
  </w:style>
  <w:style w:type="paragraph" w:styleId="Footer">
    <w:name w:val="footer"/>
    <w:basedOn w:val="Normal"/>
    <w:link w:val="FooterChar"/>
    <w:uiPriority w:val="99"/>
    <w:unhideWhenUsed/>
    <w:rsid w:val="004C2959"/>
    <w:pPr>
      <w:tabs>
        <w:tab w:val="center" w:pos="4680"/>
        <w:tab w:val="right" w:pos="9360"/>
      </w:tabs>
    </w:pPr>
  </w:style>
  <w:style w:type="character" w:customStyle="1" w:styleId="FooterChar">
    <w:name w:val="Footer Char"/>
    <w:basedOn w:val="DefaultParagraphFont"/>
    <w:link w:val="Footer"/>
    <w:uiPriority w:val="99"/>
    <w:rsid w:val="004C2959"/>
    <w:rPr>
      <w:rFonts w:ascii="Calibri" w:hAnsi="Calibri" w:cs="Times New Roman"/>
    </w:rPr>
  </w:style>
  <w:style w:type="paragraph" w:styleId="Revision">
    <w:name w:val="Revision"/>
    <w:hidden/>
    <w:uiPriority w:val="99"/>
    <w:semiHidden/>
    <w:rsid w:val="0039180F"/>
    <w:pPr>
      <w:spacing w:after="0" w:line="240" w:lineRule="auto"/>
    </w:pPr>
    <w:rPr>
      <w:rFonts w:ascii="Calibri" w:hAnsi="Calibri" w:cs="Times New Roman"/>
    </w:rPr>
  </w:style>
  <w:style w:type="table" w:styleId="TableGrid">
    <w:name w:val="Table Grid"/>
    <w:basedOn w:val="TableNormal"/>
    <w:uiPriority w:val="39"/>
    <w:rsid w:val="00D8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77420"/>
    <w:rPr>
      <w:rFonts w:ascii="Calibri" w:hAnsi="Calibri" w:cs="Calibri" w:hint="default"/>
      <w:b w:val="0"/>
      <w:bCs w:val="0"/>
      <w:i w:val="0"/>
      <w:iCs w:val="0"/>
      <w:color w:val="000000"/>
      <w:sz w:val="22"/>
      <w:szCs w:val="22"/>
    </w:rPr>
  </w:style>
  <w:style w:type="table" w:customStyle="1" w:styleId="Grilledutableau1">
    <w:name w:val="Grille du tableau1"/>
    <w:basedOn w:val="TableNormal"/>
    <w:next w:val="TableGrid"/>
    <w:uiPriority w:val="39"/>
    <w:rsid w:val="00503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89192">
      <w:bodyDiv w:val="1"/>
      <w:marLeft w:val="0"/>
      <w:marRight w:val="0"/>
      <w:marTop w:val="0"/>
      <w:marBottom w:val="0"/>
      <w:divBdr>
        <w:top w:val="none" w:sz="0" w:space="0" w:color="auto"/>
        <w:left w:val="none" w:sz="0" w:space="0" w:color="auto"/>
        <w:bottom w:val="none" w:sz="0" w:space="0" w:color="auto"/>
        <w:right w:val="none" w:sz="0" w:space="0" w:color="auto"/>
      </w:divBdr>
    </w:div>
    <w:div w:id="5937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6184</Characters>
  <Application>Microsoft Office Word</Application>
  <DocSecurity>0</DocSecurity>
  <Lines>51</Lines>
  <Paragraphs>14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AfDB</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LOUISE HELEN</dc:creator>
  <cp:lastModifiedBy>Farayi Onias Madziwa</cp:lastModifiedBy>
  <cp:revision>2</cp:revision>
  <dcterms:created xsi:type="dcterms:W3CDTF">2019-07-18T03:00:00Z</dcterms:created>
  <dcterms:modified xsi:type="dcterms:W3CDTF">2019-07-18T03:00:00Z</dcterms:modified>
</cp:coreProperties>
</file>